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七年级上册第六单元课后作业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第21课  小圣施威降大圣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姓名：________  班级：________  学号：________</w:t>
      </w:r>
    </w:p>
    <w:p/>
    <w:p>
      <w:r>
        <w:rPr>
          <w:rFonts w:ascii="黑体" w:hAnsi="黑体" w:eastAsia="黑体"/>
          <w:b/>
          <w:sz w:val="28"/>
        </w:rPr>
        <w:t>一、积累与运用（共10分）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阅读选段，完成1—5题。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大圣把金箍棒捏做绣花针，藏在耳内，摇身一变，变作个麻雀儿，飞在树梢头钉住。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1."掣棒"的"掣"读音和意思：A.chè拉、抽 B.zhì扔 C.chè跑 D.zhì举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2.书写正确：A.木木樗樗 法天象地 渺无踪迹 B.木木樗樗 法天像地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3."只情"的"情"：A.感情 B.情况 C.只管 D.情形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4.没有语病：A.通过梳理使我们理解 B.斗法展现想象力 C.能否默读是标准 D.作者罗贯中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5.排序：①变二郎入庙 ②变土地庙 ③变麻雀 ④败走被挡 → A.④③②①</w:t>
      </w:r>
    </w:p>
    <w:p>
      <w:r>
        <w:rPr>
          <w:rFonts w:ascii="黑体" w:hAnsi="黑体" w:eastAsia="黑体"/>
          <w:b/>
          <w:sz w:val="28"/>
        </w:rPr>
        <w:t>二、名著阅读（共6分）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6.作者________ 朝代________ 选自第________回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7.孙悟空经典情节两个：________、________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8.推荐孙悟空或二郎神，结合本文说理由（60字以上）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r>
        <w:rPr>
          <w:rFonts w:ascii="黑体" w:hAnsi="黑体" w:eastAsia="黑体"/>
          <w:b/>
          <w:sz w:val="28"/>
        </w:rPr>
        <w:t>三、阅读理解（共14分）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9.概括"变土地庙"选段（40字内）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10.尾巴变旗竿的细节作用（4分）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11.概括孙悟空、二郎神性格并各举依据（4分）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12.鲁迅说"使神魔皆有人情"——课文何处最能体现？（4分）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r>
        <w:rPr>
          <w:rFonts w:ascii="黑体" w:hAnsi="黑体" w:eastAsia="黑体"/>
          <w:b/>
          <w:sz w:val="28"/>
        </w:rPr>
        <w:t>四、语言运用（共10分）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13.写80字推荐语，点明想象特色，联系"自由与规则"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14.续写：二郎神如何识破悟空变庙宇（100字以上）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__________________________________________________________</w:t>
      </w:r>
    </w:p>
    <w:p/>
    <w:p>
      <w:r>
        <w:rPr>
          <w:rFonts w:ascii="黑体" w:hAnsi="黑体" w:eastAsia="黑体"/>
          <w:b/>
          <w:sz w:val="28"/>
        </w:rPr>
        <w:t>参考答案与解析</w:t>
      </w:r>
    </w:p>
    <w:p>
      <w:r>
        <w:rPr>
          <w:rFonts w:ascii="黑体" w:hAnsi="黑体" w:eastAsia="黑体"/>
          <w:b/>
          <w:sz w:val="24"/>
        </w:rPr>
        <w:t>一、1.A 2.A 3.C 4.B 5.A</w:t>
      </w:r>
    </w:p>
    <w:p>
      <w:r>
        <w:rPr>
          <w:rFonts w:ascii="黑体" w:hAnsi="黑体" w:eastAsia="黑体"/>
          <w:b/>
          <w:sz w:val="24"/>
        </w:rPr>
        <w:t>二、6.吴承恩；明代；六 7.大闹天宫；三借芭蕉扇等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8.示例：推荐孙悟空。他机智善变、临危不乱，七十二变令人叹服；也启示我们：自由可贵，但须在规则中行。</w:t>
      </w:r>
    </w:p>
    <w:p>
      <w:r>
        <w:rPr>
          <w:rFonts w:ascii="黑体" w:hAnsi="黑体" w:eastAsia="黑体"/>
          <w:b/>
          <w:sz w:val="24"/>
        </w:rPr>
        <w:t>三、9.悟空变庙，旗竿暴露被识破。10.推动情节，显幽默与游戏笔法。11.悟空机智；二郎细心（需结合课文）。12.变花鸨、变庙宇等富人情童趣。</w:t>
      </w:r>
    </w:p>
    <w:p>
      <w:r>
        <w:rPr>
          <w:rFonts w:ascii="黑体" w:hAnsi="黑体" w:eastAsia="黑体"/>
          <w:b/>
          <w:sz w:val="24"/>
        </w:rPr>
        <w:t>四、13.示例：一回精彩斗法，既见想象奇趣，也思自由与规则。14.示例：二郎指出庙宇不该有旗竿后识破。（合理即可）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