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da4h3x4y4y4f" w:id="0"/>
      <w:bookmarkEnd w:id="0"/>
      <w:r w:rsidDel="00000000" w:rsidR="00000000" w:rsidRPr="00000000">
        <w:rPr>
          <w:rtl w:val="0"/>
        </w:rPr>
        <w:t xml:space="preserve">How to encrypt a wallet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First, let's open our wallet (in this case Trittium).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After this, as we can see in the image below, there is a padlock icon that is used to encrypt our wallet.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important to encrypt our wallet to ensure greater security for our coins.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Now let's click on the padlock icon and the following window will open</w:t>
        <w:br w:type="textWrapping"/>
      </w:r>
      <w:r w:rsidDel="00000000" w:rsidR="00000000" w:rsidRPr="00000000">
        <w:rPr>
          <w:b w:val="1"/>
          <w:rtl w:val="0"/>
        </w:rPr>
        <w:t xml:space="preserve">We recommend that you put a secure password that is not already used elsewhere.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important to take care not to lose this password because without the password it will no longer be possible to access funds.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Then we click the OK button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A further confirmation screen will open so press the ENCRYPT button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Once this is done, a further confirmation window will open and the wallet will be closed to complete the operation.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As in the next image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Now we can restart our wallet and as we can see in the image below it will be encrypted.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You will be required to enter your password in case you want to send funds or perform other operations that require it.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