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Georgia" w:cs="Georgia" w:eastAsia="Georgia" w:hAnsi="Georgia"/>
          <w:b/>
          <w:bCs/>
          <w:color w:val="1A2233"/>
          <w:spacing w:val="60"/>
          <w:sz w:val="72"/>
          <w:szCs w:val="72"/>
        </w:rPr>
        <w:t xml:space="preserve">MERGVS</w:t>
      </w:r>
    </w:p>
    <w:p>
      <w:pPr>
        <w:spacing w:after="600"/>
        <w:jc w:val="center"/>
      </w:pPr>
      <w:r>
        <w:rPr>
          <w:rFonts w:ascii="Georgia" w:cs="Georgia" w:eastAsia="Georgia" w:hAnsi="Georgia"/>
          <w:color w:val="8A6D3B"/>
          <w:sz w:val="30"/>
          <w:szCs w:val="30"/>
        </w:rPr>
        <w:t xml:space="preserve">Lüks 3D Emlak Pazarlama Platformu</w:t>
      </w:r>
    </w:p>
    <w:p>
      <w:pPr>
        <w:spacing w:after="200"/>
        <w:jc w:val="center"/>
      </w:pPr>
      <w:r>
        <w:rPr>
          <w:rFonts w:ascii="Georgia" w:cs="Georgia" w:eastAsia="Georgia" w:hAnsi="Georgia"/>
          <w:color w:val="666666"/>
          <w:sz w:val="24"/>
          <w:szCs w:val="24"/>
        </w:rPr>
        <w:t xml:space="preserve">İş Modeli, Konumlandırma, İçerik Güvenilirliği ve Teknik Mimari</w:t>
      </w:r>
    </w:p>
    <w:p>
      <w:pPr>
        <w:spacing w:after="2400"/>
        <w:jc w:val="center"/>
      </w:pPr>
      <w:r>
        <w:rPr>
          <w:rFonts w:ascii="Georgia" w:cs="Georgia" w:eastAsia="Georgia" w:hAnsi="Georgia"/>
          <w:i/>
          <w:iCs/>
          <w:color w:val="666666"/>
          <w:sz w:val="24"/>
          <w:szCs w:val="24"/>
        </w:rPr>
        <w:t xml:space="preserve">Kapsamlı Analiz Raporu</w:t>
      </w:r>
    </w:p>
    <w:p>
      <w:pPr>
        <w:jc w:val="center"/>
      </w:pPr>
      <w:r>
        <w:rPr>
          <w:rFonts w:ascii="Georgia" w:cs="Georgia" w:eastAsia="Georgia" w:hAnsi="Georgia"/>
          <w:color w:val="666666"/>
          <w:sz w:val="22"/>
          <w:szCs w:val="22"/>
        </w:rPr>
        <w:t xml:space="preserve">3 Temmuz 2026</w:t>
      </w:r>
    </w:p>
    <w:p>
      <w:pPr>
        <w:jc w:val="center"/>
      </w:pPr>
      <w:r>
        <w:rPr>
          <w:rFonts w:ascii="Georgia" w:cs="Georgia" w:eastAsia="Georgia" w:hAnsi="Georgia"/>
          <w:color w:val="666666"/>
          <w:sz w:val="18"/>
          <w:szCs w:val="18"/>
        </w:rPr>
        <w:t xml:space="preserve">Kaynaklar: mergvs.com · mergvs.com/mergvs-site-summary.md · mergvs.com/demo4/summary</w:t>
      </w:r>
    </w:p>
    <w:p>
      <w:r>
        <w:br w:type="page"/>
      </w:r>
    </w:p>
    <w:p>
      <w:pPr>
        <w:spacing w:after="300"/>
      </w:pPr>
      <w:r>
        <w:rPr>
          <w:rFonts w:ascii="Georgia" w:cs="Georgia" w:eastAsia="Georgia" w:hAnsi="Georgia"/>
          <w:b/>
          <w:bCs/>
          <w:color w:val="1A2233"/>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A2233"/>
          <w:sz w:val="32"/>
          <w:szCs w:val="32"/>
        </w:rPr>
        <w:t xml:space="preserve">Yönetici Özeti</w:t>
      </w:r>
    </w:p>
    <w:p>
      <w:pPr>
        <w:spacing w:after="120" w:line="276"/>
        <w:jc w:val="both"/>
      </w:pPr>
      <w:r>
        <w:rPr>
          <w:rFonts w:ascii="Georgia" w:cs="Georgia" w:eastAsia="Georgia" w:hAnsi="Georgia"/>
          <w:color w:val="222222"/>
          <w:sz w:val="22"/>
          <w:szCs w:val="22"/>
        </w:rPr>
        <w:t xml:space="preserve">MERGVS, istisnai konut mülkleri için sinematik 3D mikrositeler üreten, 2026 yılında kurulmuş bir lüks emlak medya stüdyosudur. Ürünün temel vaadi nettir: her mülk, tek bir URL üzerinden telefon, masaüstü ve VR başlığında açılan; uygulama, hesap veya indirme gerektirmeyen kendi dijital dünyasına kavuşur. Bu rapor; şirketin kamuya açık web sitesi, sitenin yapay zekâ ajanları için hazırlanmış özet dosyası ve canlı demo ortamının (Demo4/VEA) teknik mimari özeti üzerinden yürütülen dört eksenli bir incelemenin bulgularını sunmaktadır.</w:t>
      </w:r>
    </w:p>
    <w:p>
      <w:pPr>
        <w:spacing w:after="120" w:line="276"/>
        <w:jc w:val="both"/>
      </w:pPr>
      <w:r>
        <w:rPr>
          <w:rFonts w:ascii="Georgia" w:cs="Georgia" w:eastAsia="Georgia" w:hAnsi="Georgia"/>
          <w:color w:val="222222"/>
          <w:sz w:val="22"/>
          <w:szCs w:val="22"/>
        </w:rPr>
        <w:t xml:space="preserve">İncelemenin ana yargısı şudur: ürün ve teknik altyapı, pazarlama vaadinin arkasını dolduracak olgunluktadır; asıl kırılganlık ticari taraftadır. Demo4 ortamı, konfigürasyon güdümlü mimarisi, dört farklı sahne tipi, mobil optimizasyonu ve hata toleransıyla bir demo değil, üretim seviyesinde bir ürün izlenimi vermektedir. Buna karşılık şirketin fark yaratma iddiasının merkezindeki komisyon-bazlı gelir modeli, henüz sahada doğrulanmamış varsayımlara dayanmakta ve yapısal riskler taşımaktadır.</w:t>
      </w:r>
    </w:p>
    <w:p>
      <w:pPr>
        <w:spacing w:after="120" w:line="276"/>
        <w:jc w:val="both"/>
      </w:pPr>
      <w:r>
        <w:rPr>
          <w:rFonts w:ascii="Georgia" w:cs="Georgia" w:eastAsia="Georgia" w:hAnsi="Georgia"/>
          <w:color w:val="222222"/>
          <w:sz w:val="22"/>
          <w:szCs w:val="22"/>
        </w:rPr>
        <w:t xml:space="preserve">Öne çıkan dört bulgu şu şekilde özetlenebilir. Birincisi, komisyon modeli aracılar nezdinde neredeyse reddedilemez bir satış argümanı sunarken, lüks segmentin 12–24 aya uzayabilen satış döngüleri nedeniyle stüdyo üzerinde ciddi bir işletme sermayesi baskısı yaratma potansiyeli taşımaktadır. İkincisi, özel satıcılara sunulan sabit fiyatlı paket ile aracılara uygulanan komisyon arasındaki makas, rasyonel aktörleri ucuz kanala yönlendirecek bir arbitraj riski doğurmaktadır. Üçüncüsü, sitedeki istatistik-yoğun anlatı ciddiyet katmakla birlikte, iç tutarsızlıklar ve bağlamından koparılmış bayat sektör verileri sofistike bir muhatap karşısında güven zedeleyebilir. Dördüncüsü, pazarlamanın en görünür vaatlerinden biri olan VR deneyimi, teknik olarak hazırlanmış ancak kullanıcıya açılan kapısı (VR giriş düğmesi) henüz eklenmemiş durumdadır.</w:t>
      </w:r>
    </w:p>
    <w:p>
      <w:pPr>
        <w:spacing w:after="120" w:line="276"/>
        <w:jc w:val="both"/>
      </w:pPr>
      <w:r>
        <w:rPr>
          <w:rFonts w:ascii="Georgia" w:cs="Georgia" w:eastAsia="Georgia" w:hAnsi="Georgia"/>
          <w:color w:val="222222"/>
          <w:sz w:val="22"/>
          <w:szCs w:val="22"/>
        </w:rPr>
        <w:t xml:space="preserve">Rapor, kısa vadede en yüksek getiriyi sağlayacak üç aksiyonu önermektedir: canlı demonun web sitesine tek tıkla bağlanması, VR giriş düğmesinin tamamlanarak başlık seviyesindeki vaadin kapatılması ve istatistik setinin inceltilerek iç tutarsızlıkların giderilmesi. Orta vadede ise komisyon modelinin finansal simülasyonunun yapılması, arbitraj makasının daraltılması ve ilk referans portföyünün agresif biçimde inşa edilmesi kritik görülmektedir.</w:t>
      </w:r>
    </w:p>
    <w:p>
      <w:pPr>
        <w:pStyle w:val="Heading1"/>
        <w:spacing w:after="200" w:before="360"/>
      </w:pPr>
      <w:r>
        <w:rPr>
          <w:rFonts w:ascii="Georgia" w:cs="Georgia" w:eastAsia="Georgia" w:hAnsi="Georgia"/>
          <w:b/>
          <w:bCs/>
          <w:color w:val="1A2233"/>
          <w:sz w:val="32"/>
          <w:szCs w:val="32"/>
        </w:rPr>
        <w:t xml:space="preserve">1. Giriş, Kapsam ve Metodoloji</w:t>
      </w:r>
    </w:p>
    <w:p>
      <w:pPr>
        <w:spacing w:after="120" w:line="276"/>
        <w:jc w:val="both"/>
      </w:pPr>
      <w:r>
        <w:rPr>
          <w:rFonts w:ascii="Georgia" w:cs="Georgia" w:eastAsia="Georgia" w:hAnsi="Georgia"/>
          <w:color w:val="222222"/>
          <w:sz w:val="22"/>
          <w:szCs w:val="22"/>
        </w:rPr>
        <w:t xml:space="preserve">Bu raporun amacı, MERGVS markasının kamuya açık dijital varlıkları üzerinden şirketin konumlandırmasını, iş modelini, içerik güvenilirliğini ve teknik altyapısını bütüncül biçimde değerlendirmektir. İnceleme üç kaynağa dayanmaktadır: şirketin ana web sitesi (mergvs.com), sitenin tamamını yapılandırılmış biçimde özetleyen ve yapay zekâ ajanlarının siteyi doğru yorumlaması için yayımlanmış olan site özeti dosyası (mergvs-site-summary.md) ile canlı demo ortamının mimarisini sonraki geliştirici ajanlar için belgeleyen teknik özet (demo4/summary).</w:t>
      </w:r>
    </w:p>
    <w:p>
      <w:pPr>
        <w:spacing w:after="120" w:line="276"/>
        <w:jc w:val="both"/>
      </w:pPr>
      <w:r>
        <w:rPr>
          <w:rFonts w:ascii="Georgia" w:cs="Georgia" w:eastAsia="Georgia" w:hAnsi="Georgia"/>
          <w:color w:val="222222"/>
          <w:sz w:val="22"/>
          <w:szCs w:val="22"/>
        </w:rPr>
        <w:t xml:space="preserve">Metodolojik olarak rapor dört analiz ekseni üzerine kuruludur. Konumlandırma ekseni, marka dilini, değer önerisini ve rekabet iddialarını değerlendirir. İş modeli ekseni, komisyon-bazlı gelir yapısının ekonomik mantığını, nakit akışı dinamiklerini ve sözleşmesel mekanizmalarını inceler. Güvenilirlik ekseni, sitede kullanılan istatistiklerin kaynak sağlamlığını ve metinler arası tutarlılığı sorgular. Teknik eksen ise Demo4/VEA ortamının mimari kararlarını, güçlü yönlerini ve kırılganlık noktalarını ele alır.</w:t>
      </w:r>
    </w:p>
    <w:p>
      <w:pPr>
        <w:spacing w:after="120" w:line="276"/>
        <w:jc w:val="both"/>
      </w:pPr>
      <w:r>
        <w:rPr>
          <w:rFonts w:ascii="Georgia" w:cs="Georgia" w:eastAsia="Georgia" w:hAnsi="Georgia"/>
          <w:color w:val="222222"/>
          <w:sz w:val="22"/>
          <w:szCs w:val="22"/>
        </w:rPr>
        <w:t xml:space="preserve">Kapsam sınırlaması olarak belirtilmelidir ki bu inceleme yalnızca kamuya açık materyale dayanmaktadır. Şirketin fiili sözleşme metinleri, finansal tabloları, müşteri görüşmeleri veya iç operasyon verileri incelemeye dahil değildir. Dolayısıyla ticari modele ilişkin değerlendirmeler, yayımlanmış koşulların yapısal analizinden ibarettir ve şirketin fiili performansına dair bir tespit niteliği taşımaz. Rapordaki tüm sayısal örnekler, sitede ilan edilen oran ve fiyatlardan türetilmiş senaryo hesaplarıdır.</w:t>
      </w:r>
    </w:p>
    <w:p>
      <w:pPr>
        <w:pStyle w:val="Heading1"/>
        <w:spacing w:after="200" w:before="360"/>
      </w:pPr>
      <w:r>
        <w:rPr>
          <w:rFonts w:ascii="Georgia" w:cs="Georgia" w:eastAsia="Georgia" w:hAnsi="Georgia"/>
          <w:b/>
          <w:bCs/>
          <w:color w:val="1A2233"/>
          <w:sz w:val="32"/>
          <w:szCs w:val="32"/>
        </w:rPr>
        <w:t xml:space="preserve">2. Şirket ve Ürün Genel Bakışı</w:t>
      </w:r>
    </w:p>
    <w:p>
      <w:pPr>
        <w:spacing w:after="120" w:line="276"/>
        <w:jc w:val="both"/>
      </w:pPr>
      <w:r>
        <w:rPr>
          <w:rFonts w:ascii="Georgia" w:cs="Georgia" w:eastAsia="Georgia" w:hAnsi="Georgia"/>
          <w:color w:val="222222"/>
          <w:sz w:val="22"/>
          <w:szCs w:val="22"/>
        </w:rPr>
        <w:t xml:space="preserve">MERGVS kendini bir emlak fotoğrafçılığı tedarikçisi olarak değil, bir "lüks mülk deneyim stüdyosu" olarak tanımlamaktadır. Marka anlatısı özenle kurulmuştur: isim, suya dalarak avlanan Mergus kuşu cinsinden ve Latince "dalmak, gömülmek" anlamındaki mergere fiilinden türetilmiş; "Old World Prestige · New World Technology" mottosuyla klasik prestij ile güncel teknolojinin sentezi vurgulanmıştır. Bu anlatı, hedeflenen lüks segmentin beklediği tonu tutturmakta ve markayı jenerik emlak-teknoloji şirketlerinden ayrıştırmaktadır.</w:t>
      </w:r>
    </w:p>
    <w:p>
      <w:pPr>
        <w:spacing w:after="120" w:line="276"/>
        <w:jc w:val="both"/>
      </w:pPr>
      <w:r>
        <w:rPr>
          <w:rFonts w:ascii="Georgia" w:cs="Georgia" w:eastAsia="Georgia" w:hAnsi="Georgia"/>
          <w:color w:val="222222"/>
          <w:sz w:val="22"/>
          <w:szCs w:val="22"/>
        </w:rPr>
        <w:t xml:space="preserve">Ürünün çekirdeği, her mülk için üretilen ısmarlama bir 3D mikrositedir. Bu mikrosite üç ana deneyim modülü sunar: mülkün çevresiyle birlikte kuşbakışı incelenebildiği yörünge (orbit) görünümü, kat ve kesit bazlı kamera modu ile mülk içinde serbest dolaşım sağlayan birinci şahıs yürüyüş (walkthrough) modu. Bunlara panoramik sahne desteği eşlik eder. Deneyim tarayıcı tabanlıdır; alıcı adayı herhangi bir uygulama indirmeden, hesap açmadan, kendisine iletilen tek bir bağlantıyla mülkün dijital dünyasına girer. Mikrosite, müşterinin kendi alan adı altında barındırılır.</w:t>
      </w:r>
    </w:p>
    <w:p>
      <w:pPr>
        <w:spacing w:after="120" w:line="276"/>
        <w:jc w:val="both"/>
      </w:pPr>
      <w:r>
        <w:rPr>
          <w:rFonts w:ascii="Georgia" w:cs="Georgia" w:eastAsia="Georgia" w:hAnsi="Georgia"/>
          <w:color w:val="222222"/>
          <w:sz w:val="22"/>
          <w:szCs w:val="22"/>
        </w:rPr>
        <w:t xml:space="preserve">Şirket üç pazarda faaliyet göstermeyi hedeflemektedir ve iki müşteri kanalı tanımlamıştır. Birinci kanal emlak aracıları ve aracı kurumlardır; bu kanalda üretim maliyetinin tamamını MERGVS üstlenir ve gelir yalnızca mülk satıldığında, satış bedeli üzerinden alınan komisyonla elde edilir. İkinci kanal doğrudan mülk sahipleridir (özel satıcılar); bu kanalda hizmet sabit fiyatlı paketler halinde satılır ve üretilen varlıkların kullanımı satıcıya geçer. Bu ikili yapı, ilerleyen bölümlerde ayrıntılı olarak analiz edilecek bir iç gerilimin de kaynağıdır.</w:t>
      </w:r>
    </w:p>
    <w:p>
      <w:pPr>
        <w:spacing w:after="120" w:line="276"/>
        <w:jc w:val="both"/>
      </w:pPr>
      <w:r>
        <w:rPr>
          <w:rFonts w:ascii="Georgia" w:cs="Georgia" w:eastAsia="Georgia" w:hAnsi="Georgia"/>
          <w:color w:val="222222"/>
          <w:sz w:val="22"/>
          <w:szCs w:val="22"/>
        </w:rPr>
        <w:t xml:space="preserve">Dikkat çekici bir kurumsal detay, şirketin dijital varlıklarını yapay zekâ çağına göre konumlandırmış olmasıdır. Ana sitenin kök dizininde yayımlanan makine-okunur site özeti ile demo ortamının teknik özeti, büyük dil modeli tabanlı arama ve özetleme sistemlerinin (ve bu raporu üreten türden ajanların) siteyi doğru anlamasını sağlamaya yönelik, llms.txt yaklaşımına benzer bir katmandır. 2026 itibarıyla dahi az rastlanan bu üretken motor optimizasyonu (GEO/AEO) pratiği, ekibin teknik öngörüsüne dair olumlu bir sinyaldir.</w:t>
      </w:r>
    </w:p>
    <w:p>
      <w:pPr>
        <w:pStyle w:val="Heading1"/>
        <w:spacing w:after="200" w:before="360"/>
      </w:pPr>
      <w:r>
        <w:rPr>
          <w:rFonts w:ascii="Georgia" w:cs="Georgia" w:eastAsia="Georgia" w:hAnsi="Georgia"/>
          <w:b/>
          <w:bCs/>
          <w:color w:val="1A2233"/>
          <w:sz w:val="32"/>
          <w:szCs w:val="32"/>
        </w:rPr>
        <w:t xml:space="preserve">3. Konumlandırma ve Pazar Bağlamı</w:t>
      </w:r>
    </w:p>
    <w:p>
      <w:pPr>
        <w:spacing w:after="120" w:line="276"/>
        <w:jc w:val="both"/>
      </w:pPr>
      <w:r>
        <w:rPr>
          <w:rFonts w:ascii="Georgia" w:cs="Georgia" w:eastAsia="Georgia" w:hAnsi="Georgia"/>
          <w:color w:val="222222"/>
          <w:sz w:val="22"/>
          <w:szCs w:val="22"/>
        </w:rPr>
        <w:t xml:space="preserve">MERGVS'nin konumlandırması iki katmanlıdır. Ürün katmanında şirket, standart emlak ilanı fotoğrafçılığının ve şablon sanal tur araçlarının karşısına "her istisnai mülk kendi dünyasını hak eder" önermesiyle çıkar. Lüks segmentte pazarlama materyalinin mülkün algılanan değerini doğrudan etkilediği kabulünden hareketle, mikrosite bir ilan aracı değil, mülkün dijital ikizi ve prestij nesnesi olarak sunulur. Bu çerçeveleme, fiyat hassasiyeti düşük ancak kalite ve ayrıcalık beklentisi yüksek bir alıcı kitlesine hitap etmek için doğru kurgulanmıştır.</w:t>
      </w:r>
    </w:p>
    <w:p>
      <w:pPr>
        <w:spacing w:after="120" w:line="276"/>
        <w:jc w:val="both"/>
      </w:pPr>
      <w:r>
        <w:rPr>
          <w:rFonts w:ascii="Georgia" w:cs="Georgia" w:eastAsia="Georgia" w:hAnsi="Georgia"/>
          <w:color w:val="222222"/>
          <w:sz w:val="22"/>
          <w:szCs w:val="22"/>
        </w:rPr>
        <w:t xml:space="preserve">Asıl fark yaratma iddiası ise ürün katmanında değil, ticari katmandadır. Şirket kendini "Avrupa'da üretim riskinin tamamını stüdyonun taşıdığı tek komisyon-bazlı emlak medya modeli" olarak tanımlamaktadır. Bu iddia pazarlama açısından güçlüdür; çünkü aracının peşin maliyet riskini sıfırlar ve teklif reddi için rasyonel gerekçe bırakmaz. Ancak "tek" olma iddiası iki yönden risklidir: doğrulanması güçtür ve düşük giriş bariyerli bir modelde ilk taklitçi ortaya çıktığında iddianın kendisi güvenilirlik yükümlülüğüne dönüşür. Konumlandırmanın "tek" sıfatına değil, modelin işleyiş kalitesine ve referanslara yaslanması daha sürdürülebilir olacaktır.</w:t>
      </w:r>
    </w:p>
    <w:p>
      <w:pPr>
        <w:spacing w:after="120" w:line="276"/>
        <w:jc w:val="both"/>
      </w:pPr>
      <w:r>
        <w:rPr>
          <w:rFonts w:ascii="Georgia" w:cs="Georgia" w:eastAsia="Georgia" w:hAnsi="Georgia"/>
          <w:color w:val="222222"/>
          <w:sz w:val="22"/>
          <w:szCs w:val="22"/>
        </w:rPr>
        <w:t xml:space="preserve">Pazar bağlamı açısından şirketin seçtiği dikey rasyoneldir. Lüks konut pazarlaması, sınır ötesi alıcıların yoğun olduğu, mülkü fiziksel olarak görmeden karar sürecinin büyük bölümünün dijitalde yürüdüğü bir alandır. Uzaktan inceleme araçlarının işlem üzerindeki etkisine dair sektör literatürü de siteye taşınmıştır. Ne var ki şirketin "Est. 2026" ibaresiyle açıkça beyan ettiği yenilik, lüks segmentin en temel karar kriteriyle çelişir: bu segment referansla çalışır ve sitede henüz tek bir vaka çalışması, müşteri logosu veya tamamlanmış portföy örneği bulunmamaktadır. Demo4 ortamı tam da bu boşluğu doldurmak üzere kurgulanmıştır; "her aday, imza öncesinde mevcut bir deneyimi inceler" yaklaşımı doğrudur. Ancak incelenen sürümde web sitesinden canlı demoya doğrudan bir bağlantı tespit edilememiştir; çağrı düğmeleri boş bağlantılara ve e-posta adresine yönlenmektedir. Satış stratejisinin kalbine yerleştirilen varlığın, satış hunisinin girişinden tek tıkla erişilememesi, kısa vadede giderilmesi gereken en bariz kopukluktur.</w:t>
      </w:r>
    </w:p>
    <w:p>
      <w:pPr>
        <w:pStyle w:val="Heading1"/>
        <w:spacing w:after="200" w:before="360"/>
      </w:pPr>
      <w:r>
        <w:rPr>
          <w:rFonts w:ascii="Georgia" w:cs="Georgia" w:eastAsia="Georgia" w:hAnsi="Georgia"/>
          <w:b/>
          <w:bCs/>
          <w:color w:val="1A2233"/>
          <w:sz w:val="32"/>
          <w:szCs w:val="32"/>
        </w:rPr>
        <w:t xml:space="preserve">4. İş Modeli Analizi</w:t>
      </w:r>
    </w:p>
    <w:p>
      <w:pPr>
        <w:pStyle w:val="Heading2"/>
        <w:spacing w:after="160" w:before="280"/>
      </w:pPr>
      <w:r>
        <w:rPr>
          <w:rFonts w:ascii="Georgia" w:cs="Georgia" w:eastAsia="Georgia" w:hAnsi="Georgia"/>
          <w:b/>
          <w:bCs/>
          <w:color w:val="8A6D3B"/>
          <w:sz w:val="26"/>
          <w:szCs w:val="26"/>
        </w:rPr>
        <w:t xml:space="preserve">4.1 Komisyon Modelinin Ekonomik Mantığı</w:t>
      </w:r>
    </w:p>
    <w:p>
      <w:pPr>
        <w:spacing w:after="120" w:line="276"/>
        <w:jc w:val="both"/>
      </w:pPr>
      <w:r>
        <w:rPr>
          <w:rFonts w:ascii="Georgia" w:cs="Georgia" w:eastAsia="Georgia" w:hAnsi="Georgia"/>
          <w:color w:val="222222"/>
          <w:sz w:val="22"/>
          <w:szCs w:val="22"/>
        </w:rPr>
        <w:t xml:space="preserve">Aracı kanalında model şu şekilde işler: MERGVS, mülk başına düşen tüm üretim maliyetini (çekim, modelleme, mikrosite geliştirme, barındırma) üstlenir; aracıdan peşin hiçbir ödeme alınmaz ve münhasırlık şartı koşulmaz. Gelir, yalnızca mülk satıldığında doğar: satış bedeli 2 milyon Euro ve üzerindeyse yüzde 0,8; altındaysa yüzde 1,2 oranında komisyon, kapanıştan 14 gün sonra tek faturayla tahsil edilir. Örneklemek gerekirse 2 milyon Euro bedelli bir mülkte MERGVS'nin alacağı 16.000 Euro, 1,2 milyon Euro bedelli bir mülkte ise 14.400 Euro'dur.</w:t>
      </w:r>
    </w:p>
    <w:p>
      <w:pPr>
        <w:spacing w:after="120" w:line="276"/>
        <w:jc w:val="both"/>
      </w:pPr>
      <w:r>
        <w:rPr>
          <w:rFonts w:ascii="Georgia" w:cs="Georgia" w:eastAsia="Georgia" w:hAnsi="Georgia"/>
          <w:color w:val="222222"/>
          <w:sz w:val="22"/>
          <w:szCs w:val="22"/>
        </w:rPr>
        <w:t xml:space="preserve">Modelin satış tarafındaki gücü tartışmasızdır. Aracı açısından teklif, kelimenin tam anlamıyla riski sıfırlanmış bir yukarı yönlü opsiyondur: mülk satılmazsa hiçbir maliyet doğmaz, satılırsa maliyet zaten satış hasılatının küçük bir kesrinden ibarettir ve pazarlama kalitesindeki artışın satış fiyatına katkısıyla kısmen ya da tamamen telafi edilmesi beklenir. Bu yapı, yeni bir markanın referanssız dönemde kapı açması için son derece isabetli bir tasarımdır.</w:t>
      </w:r>
    </w:p>
    <w:p>
      <w:pPr>
        <w:pStyle w:val="Heading2"/>
        <w:spacing w:after="160" w:before="280"/>
      </w:pPr>
      <w:r>
        <w:rPr>
          <w:rFonts w:ascii="Georgia" w:cs="Georgia" w:eastAsia="Georgia" w:hAnsi="Georgia"/>
          <w:b/>
          <w:bCs/>
          <w:color w:val="8A6D3B"/>
          <w:sz w:val="26"/>
          <w:szCs w:val="26"/>
        </w:rPr>
        <w:t xml:space="preserve">4.2 Nakit Akışı ve İşletme Sermayesi Riski</w:t>
      </w:r>
    </w:p>
    <w:p>
      <w:pPr>
        <w:spacing w:after="120" w:line="276"/>
        <w:jc w:val="both"/>
      </w:pPr>
      <w:r>
        <w:rPr>
          <w:rFonts w:ascii="Georgia" w:cs="Georgia" w:eastAsia="Georgia" w:hAnsi="Georgia"/>
          <w:color w:val="222222"/>
          <w:sz w:val="22"/>
          <w:szCs w:val="22"/>
        </w:rPr>
        <w:t xml:space="preserve">Aynı tasarım, riskin tamamını stüdyonun bilançosuna taşır. Lüks mülklerde satış döngüsü 12 ila 24 aya uzayabilir; bazı mülkler hiç satılmadan piyasadan çekilir. Her yeni üretim, tahsilatı belirsiz bir vadeye bağlı bir yatırımdır. On aktif üretimin eşzamanlı yürüdüğü bir senaryoda, mülk başına üretim maliyeti muhafazakâr biçimde 4.000–8.000 Euro aralığında varsayılsa dahi, stüdyo 40.000–80.000 Euro tutarında bir alacağı aylarca finanse etmek durumundadır. Model, portföyün satılma oranına ve ortalama satış süresine dair örtük varsayımlara dayanır; bu varsayımlar sitede herhangi bir geçmiş veriyle desteklenmemektedir. Şirketin bu yıl kurulmuş olması bunu doğal kılar, ancak ölçeklenme kararlarının bir portföy simülasyonuna (satılma oranı, ortalama vade, üretim maliyeti ve komisyon dağılımı parametreleriyle) bağlanması, modelin sürdürülebilirliği açısından elzemdir.</w:t>
      </w:r>
    </w:p>
    <w:p>
      <w:pPr>
        <w:pStyle w:val="Heading2"/>
        <w:spacing w:after="160" w:before="280"/>
      </w:pPr>
      <w:r>
        <w:rPr>
          <w:rFonts w:ascii="Georgia" w:cs="Georgia" w:eastAsia="Georgia" w:hAnsi="Georgia"/>
          <w:b/>
          <w:bCs/>
          <w:color w:val="8A6D3B"/>
          <w:sz w:val="26"/>
          <w:szCs w:val="26"/>
        </w:rPr>
        <w:t xml:space="preserve">4.3 Geri Çekilme Maddesi</w:t>
      </w:r>
    </w:p>
    <w:p>
      <w:pPr>
        <w:spacing w:after="120" w:line="276"/>
        <w:jc w:val="both"/>
      </w:pPr>
      <w:r>
        <w:rPr>
          <w:rFonts w:ascii="Georgia" w:cs="Georgia" w:eastAsia="Georgia" w:hAnsi="Georgia"/>
          <w:color w:val="222222"/>
          <w:sz w:val="22"/>
          <w:szCs w:val="22"/>
        </w:rPr>
        <w:t xml:space="preserve">Sözleşme koşulları arasında modeli koruyan akıllıca bir sigorta yer alır: mülk satış gerçekleşmeden piyasadan çekilirse, hesaplanan komisyonun yarısı muaccel olur. Bu madde, stüdyoyu "bedava üretim alıp mülkü geri çekme" istismarına karşı korur ve üretim maliyetinin en azından kısmi telafisini garanti eder. Ne var ki iletişim açısından hassas bir noktadır: "sıfır risk, sıfır peşin maliyet" başlığıyla pazarlanan bir modelde, aracının sözleşmede ilk takılacağı hüküm bu olacaktır. Maddenin ana mesajda değil sıkça sorulan sorular katmanında konumlanması doğru bir tercihtir; ancak satış görüşmelerinde proaktif olarak, gerekçesiyle birlikte anlatılması, sonradan keşfedilip güven zedelemesine yol açmasından iyidir.</w:t>
      </w:r>
    </w:p>
    <w:p>
      <w:pPr>
        <w:pStyle w:val="Heading2"/>
        <w:spacing w:after="160" w:before="280"/>
      </w:pPr>
      <w:r>
        <w:rPr>
          <w:rFonts w:ascii="Georgia" w:cs="Georgia" w:eastAsia="Georgia" w:hAnsi="Georgia"/>
          <w:b/>
          <w:bCs/>
          <w:color w:val="8A6D3B"/>
          <w:sz w:val="26"/>
          <w:szCs w:val="26"/>
        </w:rPr>
        <w:t xml:space="preserve">4.4 Fikri Mülkiyet Yapısındaki Gerilim</w:t>
      </w:r>
    </w:p>
    <w:p>
      <w:pPr>
        <w:spacing w:after="120" w:line="276"/>
        <w:jc w:val="both"/>
      </w:pPr>
      <w:r>
        <w:rPr>
          <w:rFonts w:ascii="Georgia" w:cs="Georgia" w:eastAsia="Georgia" w:hAnsi="Georgia"/>
          <w:color w:val="222222"/>
          <w:sz w:val="22"/>
          <w:szCs w:val="22"/>
        </w:rPr>
        <w:t xml:space="preserve">Sitenin soru-cevap katmanında, üretilen deneyimin her koşulda MERGVS'nin fikri mülkiyeti olarak kaldığı ve sahipliğin devredilmediği belirtilmektedir. Buna karşılık hizmet sayfası, mikrositenin müşterinin kendi alan adında barındırıldığını, MERGVS'nin alan adında olmadığını vurgular. "Sizin alan adınızda, ama bizim mülkiyetimizde" kombinasyonu hukuken kurulabilir bir lisans yapısıdır; ancak aracıya anlatılması güçtür ve sitedeki rakip karşılaştırmasında öne çıkarılan "tedarikçiye bağımlılık yok" mesajıyla kısmen çelişir. Ayrıca özel satıcı kanalında varlık kullanımının satıcıya geçmesi, iki kanal arasındaki mülkiyet rejimini de asimetrik hale getirir. Bu yapının tek bir sayfada, sade bir dille (neyin lisanslandığı, neyin devredildiği, sözleşme bitiminde ne olduğu) netleştirilmesi önerilir.</w:t>
      </w:r>
    </w:p>
    <w:p>
      <w:pPr>
        <w:pStyle w:val="Heading2"/>
        <w:spacing w:after="160" w:before="280"/>
      </w:pPr>
      <w:r>
        <w:rPr>
          <w:rFonts w:ascii="Georgia" w:cs="Georgia" w:eastAsia="Georgia" w:hAnsi="Georgia"/>
          <w:b/>
          <w:bCs/>
          <w:color w:val="8A6D3B"/>
          <w:sz w:val="26"/>
          <w:szCs w:val="26"/>
        </w:rPr>
        <w:t xml:space="preserve">4.5 Satışın Doğrulanması ve Tahsilat Mekanizması</w:t>
      </w:r>
    </w:p>
    <w:p>
      <w:pPr>
        <w:spacing w:after="120" w:line="276"/>
        <w:jc w:val="both"/>
      </w:pPr>
      <w:r>
        <w:rPr>
          <w:rFonts w:ascii="Georgia" w:cs="Georgia" w:eastAsia="Georgia" w:hAnsi="Georgia"/>
          <w:color w:val="222222"/>
          <w:sz w:val="22"/>
          <w:szCs w:val="22"/>
        </w:rPr>
        <w:t xml:space="preserve">Komisyon-bazlı modelin en zayıf halkası, gelirin doğduğu anın (satışın kapanışı) stüdyonun kontrolü dışındaki bir olay olmasıdır. Şirketin bulduğu çözüm, satış sözleşmesinde "ilgili taraf" olarak yer almaktır; böylece kapanış stüdyodan gizlenemez ve alacak hukuken görünür kılınır. Kavramsal olarak zekice olan bu mekanizmanın pratikteki gücü, faaliyet gösterilen üç ülkenin noterlik ve tapu rejimlerine göre değişecektir. Özellikle tapu devrinde üçüncü taraf alacaklarının görünürlüğünün zayıf olduğu hukuk düzenlerinde, mekanizmanın yerel sözleşme hukukuyla (örneğin aracıyla imzalanan çerçeve sözleşmeye bağlanmış bilgilendirme ve cezai şart hükümleriyle) desteklenmesi gerekir. Üç ülkede üç farklı KDV ve fatura rejiminin yönetimi de operasyonel karmaşıklığa eklenmelidir.</w:t>
      </w:r>
    </w:p>
    <w:p>
      <w:pPr>
        <w:pStyle w:val="Heading1"/>
        <w:spacing w:after="200" w:before="360"/>
      </w:pPr>
      <w:r>
        <w:rPr>
          <w:rFonts w:ascii="Georgia" w:cs="Georgia" w:eastAsia="Georgia" w:hAnsi="Georgia"/>
          <w:b/>
          <w:bCs/>
          <w:color w:val="1A2233"/>
          <w:sz w:val="32"/>
          <w:szCs w:val="32"/>
        </w:rPr>
        <w:t xml:space="preserve">5. Fiyatlandırma Yapısı ve Arbitraj Riski</w:t>
      </w:r>
    </w:p>
    <w:p>
      <w:pPr>
        <w:spacing w:after="120" w:line="276"/>
        <w:jc w:val="both"/>
      </w:pPr>
      <w:r>
        <w:rPr>
          <w:rFonts w:ascii="Georgia" w:cs="Georgia" w:eastAsia="Georgia" w:hAnsi="Georgia"/>
          <w:color w:val="222222"/>
          <w:sz w:val="22"/>
          <w:szCs w:val="22"/>
        </w:rPr>
        <w:t xml:space="preserve">İki müşteri kanalının fiyatlandırması yan yana konulduğunda yapısal bir sorun görünür hale gelir. Aracı kanalı tamamen komisyona dayalıyken, özel satıcı kanalında sabit fiyatlı paketler bulunmakta ve tam kapsamlı üretim 6.500 Euro seviyesinden, giriş paketi ise daha düşük bir bedelden başlamaktadır. Aşağıdaki tablo, aynı mülk için iki kanalın maliyetini karşılaştırmaktadır.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EEE8DC" w:val="clear"/>
            <w:tcMar>
              <w:top w:type="dxa" w:w="100"/>
              <w:left w:type="dxa" w:w="120"/>
              <w:bottom w:type="dxa" w:w="100"/>
              <w:right w:type="dxa" w:w="120"/>
            </w:tcMar>
          </w:tcPr>
          <w:p>
            <w:pPr>
              <w:spacing w:after="0" w:line="260"/>
            </w:pPr>
            <w:r>
              <w:rPr>
                <w:rFonts w:ascii="Georgia" w:cs="Georgia" w:eastAsia="Georgia" w:hAnsi="Georgia"/>
                <w:b/>
                <w:bCs/>
                <w:color w:val="222222"/>
                <w:sz w:val="20"/>
                <w:szCs w:val="20"/>
              </w:rPr>
              <w:t xml:space="preserve">Senaryo</w:t>
            </w:r>
          </w:p>
        </w:tc>
        <w:tc>
          <w:tcPr>
            <w:tcW w:type="dxa" w:w="3200"/>
            <w:shd w:fill="EEE8DC" w:val="clear"/>
            <w:tcMar>
              <w:top w:type="dxa" w:w="100"/>
              <w:left w:type="dxa" w:w="120"/>
              <w:bottom w:type="dxa" w:w="100"/>
              <w:right w:type="dxa" w:w="120"/>
            </w:tcMar>
          </w:tcPr>
          <w:p>
            <w:pPr>
              <w:spacing w:after="0" w:line="260"/>
            </w:pPr>
            <w:r>
              <w:rPr>
                <w:rFonts w:ascii="Georgia" w:cs="Georgia" w:eastAsia="Georgia" w:hAnsi="Georgia"/>
                <w:b/>
                <w:bCs/>
                <w:color w:val="222222"/>
                <w:sz w:val="20"/>
                <w:szCs w:val="20"/>
              </w:rPr>
              <w:t xml:space="preserve">Aracı kanalı (komisyon)</w:t>
            </w:r>
          </w:p>
        </w:tc>
        <w:tc>
          <w:tcPr>
            <w:tcW w:type="dxa" w:w="3200"/>
            <w:shd w:fill="EEE8DC" w:val="clear"/>
            <w:tcMar>
              <w:top w:type="dxa" w:w="100"/>
              <w:left w:type="dxa" w:w="120"/>
              <w:bottom w:type="dxa" w:w="100"/>
              <w:right w:type="dxa" w:w="120"/>
            </w:tcMar>
          </w:tcPr>
          <w:p>
            <w:pPr>
              <w:spacing w:after="0" w:line="260"/>
            </w:pPr>
            <w:r>
              <w:rPr>
                <w:rFonts w:ascii="Georgia" w:cs="Georgia" w:eastAsia="Georgia" w:hAnsi="Georgia"/>
                <w:b/>
                <w:bCs/>
                <w:color w:val="222222"/>
                <w:sz w:val="20"/>
                <w:szCs w:val="20"/>
              </w:rPr>
              <w:t xml:space="preserve">Özel satıcı kanalı (sabit)</w:t>
            </w:r>
          </w:p>
        </w:tc>
      </w:tr>
      <w:tr>
        <w:tc>
          <w:tcPr>
            <w:tcW w:type="dxa" w:w="2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€1,2M mülk</w:t>
            </w:r>
          </w:p>
        </w:tc>
        <w:tc>
          <w:tcPr>
            <w:tcW w:type="dxa" w:w="32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%1,2 → €14.400 (satışta)</w:t>
            </w:r>
          </w:p>
        </w:tc>
        <w:tc>
          <w:tcPr>
            <w:tcW w:type="dxa" w:w="32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€6.500 civarı, peşin</w:t>
            </w:r>
          </w:p>
        </w:tc>
      </w:tr>
      <w:tr>
        <w:tc>
          <w:tcPr>
            <w:tcW w:type="dxa" w:w="2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€2,0M mülk</w:t>
            </w:r>
          </w:p>
        </w:tc>
        <w:tc>
          <w:tcPr>
            <w:tcW w:type="dxa" w:w="32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%0,8 → €16.000 (satışta)</w:t>
            </w:r>
          </w:p>
        </w:tc>
        <w:tc>
          <w:tcPr>
            <w:tcW w:type="dxa" w:w="32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€6.500 civarı, peşin</w:t>
            </w:r>
          </w:p>
        </w:tc>
      </w:tr>
      <w:tr>
        <w:tc>
          <w:tcPr>
            <w:tcW w:type="dxa" w:w="2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€5,0M mülk</w:t>
            </w:r>
          </w:p>
        </w:tc>
        <w:tc>
          <w:tcPr>
            <w:tcW w:type="dxa" w:w="32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%0,8 → €40.000 (satışta)</w:t>
            </w:r>
          </w:p>
        </w:tc>
        <w:tc>
          <w:tcPr>
            <w:tcW w:type="dxa" w:w="32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€6.500 civarı, peşin</w:t>
            </w:r>
          </w:p>
        </w:tc>
      </w:tr>
    </w:tbl>
    <w:p>
      <w:pPr>
        <w:spacing w:after="200"/>
      </w:pPr>
    </w:p>
    <w:p>
      <w:pPr>
        <w:spacing w:after="120" w:line="276"/>
        <w:jc w:val="both"/>
      </w:pPr>
      <w:r>
        <w:rPr>
          <w:rFonts w:ascii="Georgia" w:cs="Georgia" w:eastAsia="Georgia" w:hAnsi="Georgia"/>
          <w:color w:val="222222"/>
          <w:sz w:val="22"/>
          <w:szCs w:val="22"/>
        </w:rPr>
        <w:t xml:space="preserve">Tablonun ortaya koyduğu makas belirgindir: 1,2 milyon Euro'luk bir mülkte komisyon, sabit paketin iki katından fazladır; 5 milyon Euro seviyesinde fark altı kata yaklaşır. Rasyonel bir aracı, satıcısını "sen sabit paketle yaptır, ben pazarlamada kullanayım" yönünde teşvik edebilir; peşin ödeme gücü olan her satıcı için bu yönlendirme ekonomik olarak caziptir. Elbette iki kanalın risk profili farklıdır (birinde stüdyo, diğerinde satıcı risk taşır) ve varlık mülkiyeti rejimi ayrışır; ancak fiyat farkı bu ayrımın açıklayabileceğinin ötesine geçtiğinde kaçak kaçınılmazlaşır.</w:t>
      </w:r>
    </w:p>
    <w:p>
      <w:pPr>
        <w:spacing w:after="120" w:line="276"/>
        <w:jc w:val="both"/>
      </w:pPr>
      <w:r>
        <w:rPr>
          <w:rFonts w:ascii="Georgia" w:cs="Georgia" w:eastAsia="Georgia" w:hAnsi="Georgia"/>
          <w:color w:val="222222"/>
          <w:sz w:val="22"/>
          <w:szCs w:val="22"/>
        </w:rPr>
        <w:t xml:space="preserve">Makası daraltmanın birkaç yolu vardır. Sabit paketin kapsamı bilinçli olarak inceltilebilir (örneğin VR modülü ve kesit modu yalnızca komisyon kanalında sunulabilir), sabit paket fiyatı mülk değerine endekslenebilir ya da aracı kanalına, komisyonun bir bölümünün üst sınırla kapatılması gibi tavan mekanizmaları eklenebilir. Hangi araç seçilirse seçilsin, iki kanalın aynı ürünü çok farklı fiyatlarla sunduğu mevcut yapı, model olgunlaşmadan düzeltilmesi gereken bir tasarım borcudur.</w:t>
      </w:r>
    </w:p>
    <w:p>
      <w:pPr>
        <w:pStyle w:val="Heading1"/>
        <w:spacing w:after="200" w:before="360"/>
      </w:pPr>
      <w:r>
        <w:rPr>
          <w:rFonts w:ascii="Georgia" w:cs="Georgia" w:eastAsia="Georgia" w:hAnsi="Georgia"/>
          <w:b/>
          <w:bCs/>
          <w:color w:val="1A2233"/>
          <w:sz w:val="32"/>
          <w:szCs w:val="32"/>
        </w:rPr>
        <w:t xml:space="preserve">6. İçerik ve İstatistik Güvenilirliği</w:t>
      </w:r>
    </w:p>
    <w:p>
      <w:pPr>
        <w:spacing w:after="120" w:line="276"/>
        <w:jc w:val="both"/>
      </w:pPr>
      <w:r>
        <w:rPr>
          <w:rFonts w:ascii="Georgia" w:cs="Georgia" w:eastAsia="Georgia" w:hAnsi="Georgia"/>
          <w:color w:val="222222"/>
          <w:sz w:val="22"/>
          <w:szCs w:val="22"/>
        </w:rPr>
        <w:t xml:space="preserve">Site, iddialarını sektör istatistikleriyle destekleyen, kaynak gösteren, veri-yoğun bir anlatı benimsemiştir. Bu yaklaşım ilke olarak doğrudur ve markaya ciddiyet katar. Ne var ki incelemede, sofistike bir muhatabın (özellikle deneyimli bir lüks emlak aracısının) gözünden kaçmayacak birkaç zafiyet tespit edilmiştir.</w:t>
      </w:r>
    </w:p>
    <w:p>
      <w:pPr>
        <w:pStyle w:val="Heading2"/>
        <w:spacing w:after="160" w:before="280"/>
      </w:pPr>
      <w:r>
        <w:rPr>
          <w:rFonts w:ascii="Georgia" w:cs="Georgia" w:eastAsia="Georgia" w:hAnsi="Georgia"/>
          <w:b/>
          <w:bCs/>
          <w:color w:val="8A6D3B"/>
          <w:sz w:val="26"/>
          <w:szCs w:val="26"/>
        </w:rPr>
        <w:t xml:space="preserve">6.1 İç Tutarsızlıklar</w:t>
      </w:r>
    </w:p>
    <w:p>
      <w:pPr>
        <w:spacing w:after="120" w:line="276"/>
        <w:jc w:val="both"/>
      </w:pPr>
      <w:r>
        <w:rPr>
          <w:rFonts w:ascii="Georgia" w:cs="Georgia" w:eastAsia="Georgia" w:hAnsi="Georgia"/>
          <w:color w:val="222222"/>
          <w:sz w:val="22"/>
          <w:szCs w:val="22"/>
        </w:rPr>
        <w:t xml:space="preserve">Metinler arasında en az iki doğrudan çelişki bulunmaktadır. Birincisi teslim süresine ilişkindir: ana sayfa ısmarlama deneyimin 7–10 günde teslim edildiğini söylerken, aracılara yönelik soru-cevap katmanı standart teslimatı 10–15 iş günü olarak vermektedir. İkincisi profesyonel fotoğraf kullanımına ilişkindir: bir bölümde lüks ilanların yalnızca yüzde 35'inin profesyonel fotoğraf kullandığı, bir başka bölümde ise yüzde 50'sinin standart altı görsellerle pazarlandığı belirtilmekte ve iki farklı rakam benzer kaynaklara dayandırılmaktadır. Tekil olarak küçük görünen bu tutarsızlıklar, veri-yoğun bir anlatının en değerli varlığı olan güveni aşındırır; tek bir editoryal geçişle giderilmeleri mümkündür.</w:t>
      </w:r>
    </w:p>
    <w:p>
      <w:pPr>
        <w:pStyle w:val="Heading2"/>
        <w:spacing w:after="160" w:before="280"/>
      </w:pPr>
      <w:r>
        <w:rPr>
          <w:rFonts w:ascii="Georgia" w:cs="Georgia" w:eastAsia="Georgia" w:hAnsi="Georgia"/>
          <w:b/>
          <w:bCs/>
          <w:color w:val="8A6D3B"/>
          <w:sz w:val="26"/>
          <w:szCs w:val="26"/>
        </w:rPr>
        <w:t xml:space="preserve">6.2 Bayat ve Bağlamından Kopmuş Veriler</w:t>
      </w:r>
    </w:p>
    <w:p>
      <w:pPr>
        <w:spacing w:after="120" w:line="276"/>
        <w:jc w:val="both"/>
      </w:pPr>
      <w:r>
        <w:rPr>
          <w:rFonts w:ascii="Georgia" w:cs="Georgia" w:eastAsia="Georgia" w:hAnsi="Georgia"/>
          <w:color w:val="222222"/>
          <w:sz w:val="22"/>
          <w:szCs w:val="22"/>
        </w:rPr>
        <w:t xml:space="preserve">Sitede kullanılan bazı istatistikler, sektörde yıllardır dolaşan ve orijinal bağlamı aşınmış sayılardır. Sanal tur kullanan ilanların yüzde 403 daha fazla sorgu aldığı iddiası, kaynağı ve yöntemi belirsiz, pazarlama literatüründe kartopu etkisiyle çoğalmış bir rakamdır. Alıcıların yüzde 63'ünün mülkü görmeden teklif verdiği verisi ise pandemi dönemine ait bir tepe değerin güncel dönem verisi gibi sunulması riskini taşır. Buna karşılık, üniversite iş birliğiyle yürütülmüş kontrollü çalışmalara dayanan satış fiyatı ve satış süresi etkisi bulguları çok daha savunulabilir niteliktedir. Önerimiz, istatistik setinin en sağlam iki-üç veriye indirgenmesi, her verinin yanına yıl ve kaynak bilgisinin açıkça iliştirilmesi ve savunulamayacak rakamların anlatıdan çıkarılmasıdır. Lüks segmentte az ama sağlam veri, çok ama sorgulanabilir veriden her zaman daha güçlüdür.</w:t>
      </w:r>
    </w:p>
    <w:p>
      <w:pPr>
        <w:pStyle w:val="Heading2"/>
        <w:spacing w:after="160" w:before="280"/>
      </w:pPr>
      <w:r>
        <w:rPr>
          <w:rFonts w:ascii="Georgia" w:cs="Georgia" w:eastAsia="Georgia" w:hAnsi="Georgia"/>
          <w:b/>
          <w:bCs/>
          <w:color w:val="8A6D3B"/>
          <w:sz w:val="26"/>
          <w:szCs w:val="26"/>
        </w:rPr>
        <w:t xml:space="preserve">6.3 Yeni Marka Paradoksu</w:t>
      </w:r>
    </w:p>
    <w:p>
      <w:pPr>
        <w:spacing w:after="120" w:line="276"/>
        <w:jc w:val="both"/>
      </w:pPr>
      <w:r>
        <w:rPr>
          <w:rFonts w:ascii="Georgia" w:cs="Georgia" w:eastAsia="Georgia" w:hAnsi="Georgia"/>
          <w:color w:val="222222"/>
          <w:sz w:val="22"/>
          <w:szCs w:val="22"/>
        </w:rPr>
        <w:t xml:space="preserve">Şirketin kuruluş yılını açıkça beyan etmesi dürüst ve doğru bir tercihtir; ancak referans portföyü oluşana kadar bu beyan, güven inşasının başka araçlarla desteklenmesini gerektirir. Mevcut en güçlü araç canlı demonun kendisidir ve önceki bölümde belirtildiği üzere siteden demoya doğrudan erişim bulunmamaktadır. İkincil araçlar arasında kurucu ekibin görünürlüğü, üretim sürecinin perde arkası anlatımı ve ilk projelerin (gerekirse indirimli ya da pilot statüsünde) vaka çalışmasına dönüştürülmesi sayılabilir. "Avrupa'daki tek komisyon-bazlı model" iddiasının da bu çerçevede yumuşatılması, iddianın kendisinin bir güvenilirlik yükümlülüğüne dönüşmesini engelleyecektir.</w:t>
      </w:r>
    </w:p>
    <w:p>
      <w:pPr>
        <w:pStyle w:val="Heading1"/>
        <w:spacing w:after="200" w:before="360"/>
      </w:pPr>
      <w:r>
        <w:rPr>
          <w:rFonts w:ascii="Georgia" w:cs="Georgia" w:eastAsia="Georgia" w:hAnsi="Georgia"/>
          <w:b/>
          <w:bCs/>
          <w:color w:val="1A2233"/>
          <w:sz w:val="32"/>
          <w:szCs w:val="32"/>
        </w:rPr>
        <w:t xml:space="preserve">7. Teknik Mimari Analizi: Demo4 / VEA</w:t>
      </w:r>
    </w:p>
    <w:p>
      <w:pPr>
        <w:pStyle w:val="Heading2"/>
        <w:spacing w:after="160" w:before="280"/>
      </w:pPr>
      <w:r>
        <w:rPr>
          <w:rFonts w:ascii="Georgia" w:cs="Georgia" w:eastAsia="Georgia" w:hAnsi="Georgia"/>
          <w:b/>
          <w:bCs/>
          <w:color w:val="8A6D3B"/>
          <w:sz w:val="26"/>
          <w:szCs w:val="26"/>
        </w:rPr>
        <w:t xml:space="preserve">7.1 Genel Mimari ve Tasarım Felsefesi</w:t>
      </w:r>
    </w:p>
    <w:p>
      <w:pPr>
        <w:spacing w:after="120" w:line="276"/>
        <w:jc w:val="both"/>
      </w:pPr>
      <w:r>
        <w:rPr>
          <w:rFonts w:ascii="Georgia" w:cs="Georgia" w:eastAsia="Georgia" w:hAnsi="Georgia"/>
          <w:color w:val="222222"/>
          <w:sz w:val="22"/>
          <w:szCs w:val="22"/>
        </w:rPr>
        <w:t xml:space="preserve">Demo4 ortamı, VEA adı verilen tarayıcı tabanlı bir 3D deneyim motoru üzerine kuruludur. Motor, Three.js kütüphanesinin r158 sürümünü kullanmakta ve derleme adımı olmadan, bağımlılıklarını içe aktarma haritası (importmap) üzerinden bir içerik dağıtım ağından yüklemektedir. Mimarinin en belirleyici kararı, tüm içeriğin konfigürasyon güdümlü olmasıdır: sahneler, üç boyutlu modeller, etkileşim noktaları ve bilgi panelleri, bir Excel çalışma kitabındaki yapılandırma sayfasından çalışma anında okunur. Yeni bir sahne eklemek, koda dokunmadan bu sayfaya yeni bir blok eklemekten ibarettir.</w:t>
      </w:r>
    </w:p>
    <w:p>
      <w:pPr>
        <w:spacing w:after="120" w:line="276"/>
        <w:jc w:val="both"/>
      </w:pPr>
      <w:r>
        <w:rPr>
          <w:rFonts w:ascii="Georgia" w:cs="Georgia" w:eastAsia="Georgia" w:hAnsi="Georgia"/>
          <w:color w:val="222222"/>
          <w:sz w:val="22"/>
          <w:szCs w:val="22"/>
        </w:rPr>
        <w:t xml:space="preserve">Bu karar, iki kişilik ölçekte bir stüdyo için stratejik önemdedir: mülk başına üretim eforunu içerik hazırlamaya indirger, mühendislik maliyetini sabitler ve komisyon modelinin ekonomisini mümkün kılan ölçeklenebilirliği sağlar. Pazarlama dilindeki "ısmarlama, asla şablon değil" iddiasıyla teknik gerçeklik (tek motor, konfigürasyonla çoğaltım) arasında görünüşte bir gerilim vardır; ancak bu makul bir gerilimdir: ısmarlama olan içerik, sahneleme ve sanat yönetimidir, motorun kendisi değil. Otomobil üreticisinin platform paylaşımına benzeyen bu yaklaşım, sektör pratiğiyle uyumludur.</w:t>
      </w:r>
    </w:p>
    <w:p>
      <w:pPr>
        <w:pStyle w:val="Heading2"/>
        <w:spacing w:after="160" w:before="280"/>
      </w:pPr>
      <w:r>
        <w:rPr>
          <w:rFonts w:ascii="Georgia" w:cs="Georgia" w:eastAsia="Georgia" w:hAnsi="Georgia"/>
          <w:b/>
          <w:bCs/>
          <w:color w:val="8A6D3B"/>
          <w:sz w:val="26"/>
          <w:szCs w:val="26"/>
        </w:rPr>
        <w:t xml:space="preserve">7.2 Deneyim Katmanı</w:t>
      </w:r>
    </w:p>
    <w:p>
      <w:pPr>
        <w:spacing w:after="120" w:line="276"/>
        <w:jc w:val="both"/>
      </w:pPr>
      <w:r>
        <w:rPr>
          <w:rFonts w:ascii="Georgia" w:cs="Georgia" w:eastAsia="Georgia" w:hAnsi="Georgia"/>
          <w:color w:val="222222"/>
          <w:sz w:val="22"/>
          <w:szCs w:val="22"/>
        </w:rPr>
        <w:t xml:space="preserve">Motor dört sahne tipini desteklemektedir: mülkün çevresiyle birlikte döndürülerek incelendiği yörünge sahnesi, kat ve kesit bazlı kamera modu, klavye ya da dokunmatik çift joystick ile gezilen birinci şahıs yürüyüş modu ve panoramik sahneler. Bu dörtlü, ana sitede vaat edilen deneyim modüllerini bire bir karşılamaktadır. Kullanıcı deneyimi tarafında olgunluk gösteren ayrıntılar dikkat çekicidir: komşu sahnelerin arka planda önceden yüklenmesi geçişleri hızlandırmakta, yükleme hatalarında kullanıcıya yeniden deneme imkânı sunulmakta, her sahneye derin bağlantı (URL çapası) ile doğrudan erişilebilmekte ve mobilya gibi tekrar eden varlıklar oturum belleğinde önbelleğe alınarak gezinme maliyeti düşürülmektedir. Bu ayrıntılar bütünü, ortamın bir teknoloji gösterimi değil, gerçek alıcı adaylarının kullanımına sunulacak bir ürün olarak tasarlandığını göstermektedir.</w:t>
      </w:r>
    </w:p>
    <w:p>
      <w:pPr>
        <w:pStyle w:val="Heading2"/>
        <w:spacing w:after="160" w:before="280"/>
      </w:pPr>
      <w:r>
        <w:rPr>
          <w:rFonts w:ascii="Georgia" w:cs="Georgia" w:eastAsia="Georgia" w:hAnsi="Georgia"/>
          <w:b/>
          <w:bCs/>
          <w:color w:val="8A6D3B"/>
          <w:sz w:val="26"/>
          <w:szCs w:val="26"/>
        </w:rPr>
        <w:t xml:space="preserve">7.3 Kritik Boşluk: VR Giriş Kapısı</w:t>
      </w:r>
    </w:p>
    <w:p>
      <w:pPr>
        <w:spacing w:after="120" w:line="276"/>
        <w:jc w:val="both"/>
      </w:pPr>
      <w:r>
        <w:rPr>
          <w:rFonts w:ascii="Georgia" w:cs="Georgia" w:eastAsia="Georgia" w:hAnsi="Georgia"/>
          <w:color w:val="222222"/>
          <w:sz w:val="22"/>
          <w:szCs w:val="22"/>
        </w:rPr>
        <w:t xml:space="preserve">Teknik özetin kendisi, incelemenin en önemli bulgularından birini açıkça beyan etmektedir: motorun render döngüsü XR uyumlu hale getirilmiş ve uzamsal takip izinleri hazırlanmış olmakla birlikte, kullanıcının VR moduna geçmesini sağlayan açık bir giriş düğmesi henüz eklenmemiştir. Pratikte bu, bugün bir alıcı adayının VR başlığındaki tarayıcıyla bağlantıyı açtığında deneyime dalış yapamayacağı anlamına gelir. VR, ana sitede birden fazla sayfada başlık seviyesinde vaat edilen bir özelliktir; teknik notta "küçük iş" olarak nitelenen bu eksik, pazarlama vaadi ile ürün gerçekliği arasındaki en görünür açık olduğundan, geliştirme sırasının en üstüne alınmalıdır.</w:t>
      </w:r>
    </w:p>
    <w:p>
      <w:pPr>
        <w:pStyle w:val="Heading2"/>
        <w:spacing w:after="160" w:before="280"/>
      </w:pPr>
      <w:r>
        <w:rPr>
          <w:rFonts w:ascii="Georgia" w:cs="Georgia" w:eastAsia="Georgia" w:hAnsi="Georgia"/>
          <w:b/>
          <w:bCs/>
          <w:color w:val="8A6D3B"/>
          <w:sz w:val="26"/>
          <w:szCs w:val="26"/>
        </w:rPr>
        <w:t xml:space="preserve">7.4 Kırılganlık Noktaları</w:t>
      </w:r>
    </w:p>
    <w:p>
      <w:pPr>
        <w:spacing w:after="120" w:line="276"/>
        <w:jc w:val="both"/>
      </w:pPr>
      <w:r>
        <w:rPr>
          <w:rFonts w:ascii="Georgia" w:cs="Georgia" w:eastAsia="Georgia" w:hAnsi="Georgia"/>
          <w:color w:val="222222"/>
          <w:sz w:val="22"/>
          <w:szCs w:val="22"/>
        </w:rPr>
        <w:t xml:space="preserve">Mimaride üç kırılganlık noktası tespit edilmiştir. Birincisi, konfigürasyon kaynağının bir yönlendirme dosyası aracılığıyla çevrimiçi bir elektronik tablo servisinin canlı dışa aktarımına çevrilebilmesidir. Geliştirme aşamasında büyük kolaylık sağlayan bu mekanizma, üretim ortamında yanlışlıkla açık kalırsa deneyimi üçüncü taraf bir servisin erişilebilirliğine, kota ve çapraz kaynak politikalarına bağımlı kılar. Üretim dağıtımlarında konfigürasyonun her zaman yerel dosyadan okunması kural haline getirilmelidir.</w:t>
      </w:r>
    </w:p>
    <w:p>
      <w:pPr>
        <w:spacing w:after="120" w:line="276"/>
        <w:jc w:val="both"/>
      </w:pPr>
      <w:r>
        <w:rPr>
          <w:rFonts w:ascii="Georgia" w:cs="Georgia" w:eastAsia="Georgia" w:hAnsi="Georgia"/>
          <w:color w:val="222222"/>
          <w:sz w:val="22"/>
          <w:szCs w:val="22"/>
        </w:rPr>
        <w:t xml:space="preserve">İkincisi, tüm kütüphanelerin harici bir içerik dağıtım ağından yüklenmesidir. Derleme adımsız bu yapı sadeliği ve bakım kolaylığını artırır; ancak "her koşulda, her cihazda açılır" sözü verilen lüks bir üründe, kritik bağımlılıkların kendi sunucusunda barındırılması (self-hosting) ve sürümlerin sabitlenmesi daha güvenli bir temeldir. Üçüncüsü, Excel dosyasının tarayıcıda çalışma anında ayrıştırılmasıdır; bu hem ilk yükleme süresine ek maliyet getirir hem de ayrıştırıcı kütüphaneye gereksiz bir çalışma anı bağımlılığı yaratır. Konfigürasyonun yayın öncesinde tek seferlik bir adımla JSON biçimine derlenmesi, hız, sadelik ve güvenlik açısından net bir iyileştirmedir.</w:t>
      </w:r>
    </w:p>
    <w:p>
      <w:pPr>
        <w:pStyle w:val="Heading1"/>
        <w:spacing w:after="200" w:before="360"/>
      </w:pPr>
      <w:r>
        <w:rPr>
          <w:rFonts w:ascii="Georgia" w:cs="Georgia" w:eastAsia="Georgia" w:hAnsi="Georgia"/>
          <w:b/>
          <w:bCs/>
          <w:color w:val="1A2233"/>
          <w:sz w:val="32"/>
          <w:szCs w:val="32"/>
        </w:rPr>
        <w:t xml:space="preserve">8. SWOT Değerlendirmesi</w:t>
      </w:r>
    </w:p>
    <w:p>
      <w:pPr>
        <w:spacing w:after="120" w:line="276"/>
        <w:jc w:val="both"/>
      </w:pPr>
      <w:r>
        <w:rPr>
          <w:rFonts w:ascii="Georgia" w:cs="Georgia" w:eastAsia="Georgia" w:hAnsi="Georgia"/>
          <w:color w:val="222222"/>
          <w:sz w:val="22"/>
          <w:szCs w:val="22"/>
        </w:rPr>
        <w:t xml:space="preserve">Önceki bölümlerin bulguları, aşağıdaki güçlü yön, zayıflık, fırsat ve tehdit matrisinde özetlenmiştir.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FF5EC" w:val="clear"/>
            <w:tcMar>
              <w:top w:type="dxa" w:w="120"/>
              <w:left w:type="dxa" w:w="140"/>
              <w:bottom w:type="dxa" w:w="120"/>
              <w:right w:type="dxa" w:w="140"/>
            </w:tcMar>
          </w:tcPr>
          <w:p>
            <w:pPr>
              <w:spacing w:after="100"/>
            </w:pPr>
            <w:r>
              <w:rPr>
                <w:rFonts w:ascii="Georgia" w:cs="Georgia" w:eastAsia="Georgia" w:hAnsi="Georgia"/>
                <w:b/>
                <w:bCs/>
                <w:color w:val="1A2233"/>
                <w:sz w:val="22"/>
                <w:szCs w:val="22"/>
              </w:rPr>
              <w:t xml:space="preserve">Güçlü Yönler</w:t>
            </w:r>
          </w:p>
          <w:p>
            <w:pPr>
              <w:spacing w:after="80" w:line="260"/>
            </w:pPr>
            <w:r>
              <w:rPr>
                <w:rFonts w:ascii="Georgia" w:cs="Georgia" w:eastAsia="Georgia" w:hAnsi="Georgia"/>
                <w:color w:val="222222"/>
                <w:sz w:val="20"/>
                <w:szCs w:val="20"/>
              </w:rPr>
              <w:t xml:space="preserve">Üretim seviyesinde, konfigürasyon güdümlü ve ölçeklenebilir 3D motor.</w:t>
            </w:r>
          </w:p>
          <w:p>
            <w:pPr>
              <w:spacing w:after="80" w:line="260"/>
            </w:pPr>
            <w:r>
              <w:rPr>
                <w:rFonts w:ascii="Georgia" w:cs="Georgia" w:eastAsia="Georgia" w:hAnsi="Georgia"/>
                <w:color w:val="222222"/>
                <w:sz w:val="20"/>
                <w:szCs w:val="20"/>
              </w:rPr>
              <w:t xml:space="preserve">Aracı için riski sıfırlayan, reddi güç komisyon teklifi.</w:t>
            </w:r>
          </w:p>
          <w:p>
            <w:pPr>
              <w:spacing w:after="80" w:line="260"/>
            </w:pPr>
            <w:r>
              <w:rPr>
                <w:rFonts w:ascii="Georgia" w:cs="Georgia" w:eastAsia="Georgia" w:hAnsi="Georgia"/>
                <w:color w:val="222222"/>
                <w:sz w:val="20"/>
                <w:szCs w:val="20"/>
              </w:rPr>
              <w:t xml:space="preserve">Lüks segmentle uyumlu, özenli marka dili ve anlatı.</w:t>
            </w:r>
          </w:p>
          <w:p>
            <w:pPr>
              <w:spacing w:after="80" w:line="260"/>
            </w:pPr>
            <w:r>
              <w:rPr>
                <w:rFonts w:ascii="Georgia" w:cs="Georgia" w:eastAsia="Georgia" w:hAnsi="Georgia"/>
                <w:color w:val="222222"/>
                <w:sz w:val="20"/>
                <w:szCs w:val="20"/>
              </w:rPr>
              <w:t xml:space="preserve">Yapay zekâ çağına uygun, makine-okunur içerik katmanı (GEO/AEO).</w:t>
            </w:r>
          </w:p>
        </w:tc>
        <w:tc>
          <w:tcPr>
            <w:tcW w:type="dxa" w:w="4500"/>
            <w:shd w:fill="FDF3E7" w:val="clear"/>
            <w:tcMar>
              <w:top w:type="dxa" w:w="120"/>
              <w:left w:type="dxa" w:w="140"/>
              <w:bottom w:type="dxa" w:w="120"/>
              <w:right w:type="dxa" w:w="140"/>
            </w:tcMar>
          </w:tcPr>
          <w:p>
            <w:pPr>
              <w:spacing w:after="100"/>
            </w:pPr>
            <w:r>
              <w:rPr>
                <w:rFonts w:ascii="Georgia" w:cs="Georgia" w:eastAsia="Georgia" w:hAnsi="Georgia"/>
                <w:b/>
                <w:bCs/>
                <w:color w:val="1A2233"/>
                <w:sz w:val="22"/>
                <w:szCs w:val="22"/>
              </w:rPr>
              <w:t xml:space="preserve">Zayıflıklar</w:t>
            </w:r>
          </w:p>
          <w:p>
            <w:pPr>
              <w:spacing w:after="80" w:line="260"/>
            </w:pPr>
            <w:r>
              <w:rPr>
                <w:rFonts w:ascii="Georgia" w:cs="Georgia" w:eastAsia="Georgia" w:hAnsi="Georgia"/>
                <w:color w:val="222222"/>
                <w:sz w:val="20"/>
                <w:szCs w:val="20"/>
              </w:rPr>
              <w:t xml:space="preserve">Referans, vaka çalışması ve portföy yokluğu (yeni marka).</w:t>
            </w:r>
          </w:p>
          <w:p>
            <w:pPr>
              <w:spacing w:after="80" w:line="260"/>
            </w:pPr>
            <w:r>
              <w:rPr>
                <w:rFonts w:ascii="Georgia" w:cs="Georgia" w:eastAsia="Georgia" w:hAnsi="Georgia"/>
                <w:color w:val="222222"/>
                <w:sz w:val="20"/>
                <w:szCs w:val="20"/>
              </w:rPr>
              <w:t xml:space="preserve">VR vaadi ile ürün arasındaki açık (giriş düğmesi eksik).</w:t>
            </w:r>
          </w:p>
          <w:p>
            <w:pPr>
              <w:spacing w:after="80" w:line="260"/>
            </w:pPr>
            <w:r>
              <w:rPr>
                <w:rFonts w:ascii="Georgia" w:cs="Georgia" w:eastAsia="Georgia" w:hAnsi="Georgia"/>
                <w:color w:val="222222"/>
                <w:sz w:val="20"/>
                <w:szCs w:val="20"/>
              </w:rPr>
              <w:t xml:space="preserve">Siteden canlı demoya doğrudan bağlantı bulunmaması.</w:t>
            </w:r>
          </w:p>
          <w:p>
            <w:pPr>
              <w:spacing w:after="80" w:line="260"/>
            </w:pPr>
            <w:r>
              <w:rPr>
                <w:rFonts w:ascii="Georgia" w:cs="Georgia" w:eastAsia="Georgia" w:hAnsi="Georgia"/>
                <w:color w:val="222222"/>
                <w:sz w:val="20"/>
                <w:szCs w:val="20"/>
              </w:rPr>
              <w:t xml:space="preserve">Metinler arası tutarsızlıklar ve sorgulanabilir istatistikler.</w:t>
            </w:r>
          </w:p>
          <w:p>
            <w:pPr>
              <w:spacing w:after="80" w:line="260"/>
            </w:pPr>
            <w:r>
              <w:rPr>
                <w:rFonts w:ascii="Georgia" w:cs="Georgia" w:eastAsia="Georgia" w:hAnsi="Georgia"/>
                <w:color w:val="222222"/>
                <w:sz w:val="20"/>
                <w:szCs w:val="20"/>
              </w:rPr>
              <w:t xml:space="preserve">Fikri mülkiyet mesajındaki çelişki.</w:t>
            </w:r>
          </w:p>
        </w:tc>
      </w:tr>
      <w:tr>
        <w:tc>
          <w:tcPr>
            <w:tcW w:type="dxa" w:w="4500"/>
            <w:shd w:fill="EDF2F9" w:val="clear"/>
            <w:tcMar>
              <w:top w:type="dxa" w:w="120"/>
              <w:left w:type="dxa" w:w="140"/>
              <w:bottom w:type="dxa" w:w="120"/>
              <w:right w:type="dxa" w:w="140"/>
            </w:tcMar>
          </w:tcPr>
          <w:p>
            <w:pPr>
              <w:spacing w:after="100"/>
            </w:pPr>
            <w:r>
              <w:rPr>
                <w:rFonts w:ascii="Georgia" w:cs="Georgia" w:eastAsia="Georgia" w:hAnsi="Georgia"/>
                <w:b/>
                <w:bCs/>
                <w:color w:val="1A2233"/>
                <w:sz w:val="22"/>
                <w:szCs w:val="22"/>
              </w:rPr>
              <w:t xml:space="preserve">Fırsatlar</w:t>
            </w:r>
          </w:p>
          <w:p>
            <w:pPr>
              <w:spacing w:after="80" w:line="260"/>
            </w:pPr>
            <w:r>
              <w:rPr>
                <w:rFonts w:ascii="Georgia" w:cs="Georgia" w:eastAsia="Georgia" w:hAnsi="Georgia"/>
                <w:color w:val="222222"/>
                <w:sz w:val="20"/>
                <w:szCs w:val="20"/>
              </w:rPr>
              <w:t xml:space="preserve">Sınır ötesi alıcı yoğun lüks pazarlarda uzaktan karar sürecinin büyümesi.</w:t>
            </w:r>
          </w:p>
          <w:p>
            <w:pPr>
              <w:spacing w:after="80" w:line="260"/>
            </w:pPr>
            <w:r>
              <w:rPr>
                <w:rFonts w:ascii="Georgia" w:cs="Georgia" w:eastAsia="Georgia" w:hAnsi="Georgia"/>
                <w:color w:val="222222"/>
                <w:sz w:val="20"/>
                <w:szCs w:val="20"/>
              </w:rPr>
              <w:t xml:space="preserve">İlk referans portföyüyle hızlı itibar birikimi imkânı.</w:t>
            </w:r>
          </w:p>
          <w:p>
            <w:pPr>
              <w:spacing w:after="80" w:line="260"/>
            </w:pPr>
            <w:r>
              <w:rPr>
                <w:rFonts w:ascii="Georgia" w:cs="Georgia" w:eastAsia="Georgia" w:hAnsi="Georgia"/>
                <w:color w:val="222222"/>
                <w:sz w:val="20"/>
                <w:szCs w:val="20"/>
              </w:rPr>
              <w:t xml:space="preserve">Özel satıcı kanalının nakit akışını dengeleyici rolü.</w:t>
            </w:r>
          </w:p>
          <w:p>
            <w:pPr>
              <w:spacing w:after="80" w:line="260"/>
            </w:pPr>
            <w:r>
              <w:rPr>
                <w:rFonts w:ascii="Georgia" w:cs="Georgia" w:eastAsia="Georgia" w:hAnsi="Georgia"/>
                <w:color w:val="222222"/>
                <w:sz w:val="20"/>
                <w:szCs w:val="20"/>
              </w:rPr>
              <w:t xml:space="preserve">Aracı ağlarıyla çerçeve anlaşmalar üzerinden ölçeklenme.</w:t>
            </w:r>
          </w:p>
        </w:tc>
        <w:tc>
          <w:tcPr>
            <w:tcW w:type="dxa" w:w="4500"/>
            <w:shd w:fill="F9EDED" w:val="clear"/>
            <w:tcMar>
              <w:top w:type="dxa" w:w="120"/>
              <w:left w:type="dxa" w:w="140"/>
              <w:bottom w:type="dxa" w:w="120"/>
              <w:right w:type="dxa" w:w="140"/>
            </w:tcMar>
          </w:tcPr>
          <w:p>
            <w:pPr>
              <w:spacing w:after="100"/>
            </w:pPr>
            <w:r>
              <w:rPr>
                <w:rFonts w:ascii="Georgia" w:cs="Georgia" w:eastAsia="Georgia" w:hAnsi="Georgia"/>
                <w:b/>
                <w:bCs/>
                <w:color w:val="1A2233"/>
                <w:sz w:val="22"/>
                <w:szCs w:val="22"/>
              </w:rPr>
              <w:t xml:space="preserve">Tehditler</w:t>
            </w:r>
          </w:p>
          <w:p>
            <w:pPr>
              <w:spacing w:after="80" w:line="260"/>
            </w:pPr>
            <w:r>
              <w:rPr>
                <w:rFonts w:ascii="Georgia" w:cs="Georgia" w:eastAsia="Georgia" w:hAnsi="Georgia"/>
                <w:color w:val="222222"/>
                <w:sz w:val="20"/>
                <w:szCs w:val="20"/>
              </w:rPr>
              <w:t xml:space="preserve">Uzun satış döngülerinin yarattığı işletme sermayesi baskısı.</w:t>
            </w:r>
          </w:p>
          <w:p>
            <w:pPr>
              <w:spacing w:after="80" w:line="260"/>
            </w:pPr>
            <w:r>
              <w:rPr>
                <w:rFonts w:ascii="Georgia" w:cs="Georgia" w:eastAsia="Georgia" w:hAnsi="Georgia"/>
                <w:color w:val="222222"/>
                <w:sz w:val="20"/>
                <w:szCs w:val="20"/>
              </w:rPr>
              <w:t xml:space="preserve">İki kanal arasındaki fiyat makasının arbitraja yol açması.</w:t>
            </w:r>
          </w:p>
          <w:p>
            <w:pPr>
              <w:spacing w:after="80" w:line="260"/>
            </w:pPr>
            <w:r>
              <w:rPr>
                <w:rFonts w:ascii="Georgia" w:cs="Georgia" w:eastAsia="Georgia" w:hAnsi="Georgia"/>
                <w:color w:val="222222"/>
                <w:sz w:val="20"/>
                <w:szCs w:val="20"/>
              </w:rPr>
              <w:t xml:space="preserve">Komisyon modelinin taklit edilmesi ve 'tek' iddiasının çökmesi.</w:t>
            </w:r>
          </w:p>
          <w:p>
            <w:pPr>
              <w:spacing w:after="80" w:line="260"/>
            </w:pPr>
            <w:r>
              <w:rPr>
                <w:rFonts w:ascii="Georgia" w:cs="Georgia" w:eastAsia="Georgia" w:hAnsi="Georgia"/>
                <w:color w:val="222222"/>
                <w:sz w:val="20"/>
                <w:szCs w:val="20"/>
              </w:rPr>
              <w:t xml:space="preserve">Üç ülkede tahsilat/doğrulama mekanizmasının hukuki sürtünmesi.</w:t>
            </w:r>
          </w:p>
        </w:tc>
      </w:tr>
    </w:tbl>
    <w:p>
      <w:pPr>
        <w:spacing w:after="200"/>
      </w:pPr>
    </w:p>
    <w:p>
      <w:pPr>
        <w:spacing w:after="120" w:line="276"/>
        <w:jc w:val="both"/>
      </w:pPr>
      <w:r>
        <w:rPr>
          <w:rFonts w:ascii="Georgia" w:cs="Georgia" w:eastAsia="Georgia" w:hAnsi="Georgia"/>
          <w:color w:val="222222"/>
          <w:sz w:val="22"/>
          <w:szCs w:val="22"/>
        </w:rPr>
        <w:t xml:space="preserve">Matrisin ortaya koyduğu genel tablo şudur: güçlü yönler ağırlıkla ürün ve teknoloji tarafında, zayıflıklar ise iletişim ve ticari tasarım tarafında yoğunlaşmaktadır. Bu, erken aşama bir stüdyo için olumlu bir dağılımdır; çünkü zayıflıkların tamamına yakını, ürünü yeniden inşa etmeyi gerektirmeyen, editoryal ve sözleşmesel müdahalelerle giderilebilir niteliktedir.</w:t>
      </w:r>
    </w:p>
    <w:p>
      <w:pPr>
        <w:pStyle w:val="Heading1"/>
        <w:spacing w:after="200" w:before="360"/>
      </w:pPr>
      <w:r>
        <w:rPr>
          <w:rFonts w:ascii="Georgia" w:cs="Georgia" w:eastAsia="Georgia" w:hAnsi="Georgia"/>
          <w:b/>
          <w:bCs/>
          <w:color w:val="1A2233"/>
          <w:sz w:val="32"/>
          <w:szCs w:val="32"/>
        </w:rPr>
        <w:t xml:space="preserve">9. Riskler ve Öncelikli Öneriler</w:t>
      </w:r>
    </w:p>
    <w:p>
      <w:pPr>
        <w:spacing w:after="120" w:line="276"/>
        <w:jc w:val="both"/>
      </w:pPr>
      <w:r>
        <w:rPr>
          <w:rFonts w:ascii="Georgia" w:cs="Georgia" w:eastAsia="Georgia" w:hAnsi="Georgia"/>
          <w:color w:val="222222"/>
          <w:sz w:val="22"/>
          <w:szCs w:val="22"/>
        </w:rPr>
        <w:t xml:space="preserve">Bulgular, etki ve efor eksenlerinde değerlendirilerek üç vadeli bir aksiyon çerçevesine dönüştürülmüştür. Kısa vade (0–4 hafta) düşük eforlu, yüksek görünürlüklü düzeltmeleri; orta vade (1–3 ay) ticari tasarım müdahalelerini; uzun vade (3–12 ay) ise modelin doğrulanmasını kapsar.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00"/>
      </w:tblGrid>
      <w:tr>
        <w:tc>
          <w:tcPr>
            <w:tcW w:type="dxa" w:w="1400"/>
            <w:shd w:fill="EEE8DC" w:val="clear"/>
            <w:tcMar>
              <w:top w:type="dxa" w:w="100"/>
              <w:left w:type="dxa" w:w="120"/>
              <w:bottom w:type="dxa" w:w="100"/>
              <w:right w:type="dxa" w:w="120"/>
            </w:tcMar>
          </w:tcPr>
          <w:p>
            <w:pPr>
              <w:spacing w:after="0" w:line="260"/>
            </w:pPr>
            <w:r>
              <w:rPr>
                <w:rFonts w:ascii="Georgia" w:cs="Georgia" w:eastAsia="Georgia" w:hAnsi="Georgia"/>
                <w:b/>
                <w:bCs/>
                <w:color w:val="222222"/>
                <w:sz w:val="20"/>
                <w:szCs w:val="20"/>
              </w:rPr>
              <w:t xml:space="preserve">Vade</w:t>
            </w:r>
          </w:p>
        </w:tc>
        <w:tc>
          <w:tcPr>
            <w:tcW w:type="dxa" w:w="4600"/>
            <w:shd w:fill="EEE8DC" w:val="clear"/>
            <w:tcMar>
              <w:top w:type="dxa" w:w="100"/>
              <w:left w:type="dxa" w:w="120"/>
              <w:bottom w:type="dxa" w:w="100"/>
              <w:right w:type="dxa" w:w="120"/>
            </w:tcMar>
          </w:tcPr>
          <w:p>
            <w:pPr>
              <w:spacing w:after="0" w:line="260"/>
            </w:pPr>
            <w:r>
              <w:rPr>
                <w:rFonts w:ascii="Georgia" w:cs="Georgia" w:eastAsia="Georgia" w:hAnsi="Georgia"/>
                <w:b/>
                <w:bCs/>
                <w:color w:val="222222"/>
                <w:sz w:val="20"/>
                <w:szCs w:val="20"/>
              </w:rPr>
              <w:t xml:space="preserve">Aksiyon</w:t>
            </w:r>
          </w:p>
        </w:tc>
        <w:tc>
          <w:tcPr>
            <w:tcW w:type="dxa" w:w="3000"/>
            <w:shd w:fill="EEE8DC" w:val="clear"/>
            <w:tcMar>
              <w:top w:type="dxa" w:w="100"/>
              <w:left w:type="dxa" w:w="120"/>
              <w:bottom w:type="dxa" w:w="100"/>
              <w:right w:type="dxa" w:w="120"/>
            </w:tcMar>
          </w:tcPr>
          <w:p>
            <w:pPr>
              <w:spacing w:after="0" w:line="260"/>
            </w:pPr>
            <w:r>
              <w:rPr>
                <w:rFonts w:ascii="Georgia" w:cs="Georgia" w:eastAsia="Georgia" w:hAnsi="Georgia"/>
                <w:b/>
                <w:bCs/>
                <w:color w:val="222222"/>
                <w:sz w:val="20"/>
                <w:szCs w:val="20"/>
              </w:rPr>
              <w:t xml:space="preserve">Beklenen etki</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Kısa</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Canlı demoyu ana sitedeki tüm çağrı düğmelerine bağlamak</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Referanssız dönemde en güçlü güven aracının devreye girmesi</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Kısa</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VR giriş düğmesini tamamlayıp başlık vaadini kapatmak</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Vaat–ürün açığının kapanması</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Kısa</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İstatistik setini inceltmek; teslim süresi ve fotoğraf oranı tutarsızlıklarını gidermek</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Sofistike muhatap nezdinde güvenilirlik</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Orta</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Sabit paket–komisyon makasını daraltmak (kapsam farklılaştırma veya değere endeksleme)</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Kanal arbitrajının önlenmesi</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Orta</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Fikri mülkiyet ve geri çekilme koşullarını tek sayfada sadeleştirip proaktif anlatmak</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Sözleşme aşamasında sürtünmenin azalması</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Orta</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Üretim konfigürasyonunu JSON'a derlemek; kritik kütüphaneleri kendi sunucusunda barındırmak</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Hız, dayanıklılık ve bağımsızlık</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Uzun</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Komisyon portföyünün finansal simülasyonu (satılma oranı, vade, maliyet) ve nakit tamponu politikası</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Modelin ölçeklenebilirliğinin doğrulanması</w:t>
            </w:r>
          </w:p>
        </w:tc>
      </w:tr>
      <w:tr>
        <w:tc>
          <w:tcPr>
            <w:tcW w:type="dxa" w:w="14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Uzun</w:t>
            </w:r>
          </w:p>
        </w:tc>
        <w:tc>
          <w:tcPr>
            <w:tcW w:type="dxa" w:w="46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İlk 3–5 projeyi vaka çalışmasına dönüştürmek; 'tek model' iddiasını referans diline evriltmek</w:t>
            </w:r>
          </w:p>
        </w:tc>
        <w:tc>
          <w:tcPr>
            <w:tcW w:type="dxa" w:w="3000"/>
            <w:tcMar>
              <w:top w:type="dxa" w:w="100"/>
              <w:left w:type="dxa" w:w="120"/>
              <w:bottom w:type="dxa" w:w="100"/>
              <w:right w:type="dxa" w:w="120"/>
            </w:tcMar>
          </w:tcPr>
          <w:p>
            <w:pPr>
              <w:spacing w:after="0" w:line="260"/>
            </w:pPr>
            <w:r>
              <w:rPr>
                <w:rFonts w:ascii="Georgia" w:cs="Georgia" w:eastAsia="Georgia" w:hAnsi="Georgia"/>
                <w:b w:val="false"/>
                <w:bCs w:val="false"/>
                <w:color w:val="222222"/>
                <w:sz w:val="20"/>
                <w:szCs w:val="20"/>
              </w:rPr>
              <w:t xml:space="preserve">Lüks segmentin beklediği kanıt tabanı</w:t>
            </w:r>
          </w:p>
        </w:tc>
      </w:tr>
    </w:tbl>
    <w:p>
      <w:pPr>
        <w:spacing w:after="200"/>
      </w:pPr>
    </w:p>
    <w:p>
      <w:pPr>
        <w:spacing w:after="120" w:line="276"/>
        <w:jc w:val="both"/>
      </w:pPr>
      <w:r>
        <w:rPr>
          <w:rFonts w:ascii="Georgia" w:cs="Georgia" w:eastAsia="Georgia" w:hAnsi="Georgia"/>
          <w:color w:val="222222"/>
          <w:sz w:val="22"/>
          <w:szCs w:val="22"/>
        </w:rPr>
        <w:t xml:space="preserve">Risk tarafında izlenmesi gereken üç gösterge öne çıkmaktadır. Birincisi aktif üretim başına bağlanan sermaye ve ortalama tahsilat vadesidir; bu iki sayının çarpımı, modelin nefes alanını belirler. İkincisi kanal karışımıdır; özel satıcı kanalından gelen peşin gelirlerin toplam içindeki payı, komisyon portföyünün finansman yükünü dengeleyen doğal bir tampondur ve bilinçli olarak yönetilmelidir. Üçüncüsü geri çekilme ve doğrulama hükümlerinin sahadaki işleme oranıdır; ilk uyuşmazlıklar, mekanizmanın üç hukuk düzenindeki gerçek gücünü gösterecek ve gerekiyorsa sözleşme mimarisinin erken revizyonuna imkân verecektir.</w:t>
      </w:r>
    </w:p>
    <w:p>
      <w:pPr>
        <w:pStyle w:val="Heading1"/>
        <w:spacing w:after="200" w:before="360"/>
      </w:pPr>
      <w:r>
        <w:rPr>
          <w:rFonts w:ascii="Georgia" w:cs="Georgia" w:eastAsia="Georgia" w:hAnsi="Georgia"/>
          <w:b/>
          <w:bCs/>
          <w:color w:val="1A2233"/>
          <w:sz w:val="32"/>
          <w:szCs w:val="32"/>
        </w:rPr>
        <w:t xml:space="preserve">10. Sonuç</w:t>
      </w:r>
    </w:p>
    <w:p>
      <w:pPr>
        <w:spacing w:after="120" w:line="276"/>
        <w:jc w:val="both"/>
      </w:pPr>
      <w:r>
        <w:rPr>
          <w:rFonts w:ascii="Georgia" w:cs="Georgia" w:eastAsia="Georgia" w:hAnsi="Georgia"/>
          <w:color w:val="222222"/>
          <w:sz w:val="22"/>
          <w:szCs w:val="22"/>
        </w:rPr>
        <w:t xml:space="preserve">MERGVS, lüks emlak pazarlamasında gerçek bir boşluğa, olgun bir ürünle ve cesur bir ticari modelle giren erken aşama bir stüdyodur. İncelemenin teknik ekseni, Demo4/VEA ortamının vaat edilen deneyimi bugünden büyük ölçüde karşıladığını; konfigürasyon güdümlü mimarinin ise komisyon modelinin ekonomisini mümkün kılan doğru mühendislik kararı olduğunu göstermektedir. Marka dili segmentle uyumludur ve makine-okunur içerik katmanı gibi ayrıntılar, ekibin ortalamanın üzerinde bir teknik öngörüyle hareket ettiğine işaret eder.</w:t>
      </w:r>
    </w:p>
    <w:p>
      <w:pPr>
        <w:spacing w:after="120" w:line="276"/>
        <w:jc w:val="both"/>
      </w:pPr>
      <w:r>
        <w:rPr>
          <w:rFonts w:ascii="Georgia" w:cs="Georgia" w:eastAsia="Georgia" w:hAnsi="Georgia"/>
          <w:color w:val="222222"/>
          <w:sz w:val="22"/>
          <w:szCs w:val="22"/>
        </w:rPr>
        <w:t xml:space="preserve">Buna karşılık modelin kaderi ürün tarafında değil, ticari tarafta belirlenecektir. Komisyon-bazlı yapının nakit akışı matematiği henüz kanıtlanmamıştır; iki satış kanalı arasındaki fiyat makası arbitraja açıktır; fikri mülkiyet kurgusu ana mesajla çelişmektedir ve sitede tek bir referans bulunmamaktadır. Bu zafiyetlerin ortak özelliği, yapısal olmaktan çok tasarımsal olmalarıdır: hiçbiri ürünün yeniden inşasını gerektirmez, tamamı editoryal, sözleşmesel ve fiyatlama müdahaleleriyle giderilebilir.</w:t>
      </w:r>
    </w:p>
    <w:p>
      <w:pPr>
        <w:spacing w:after="120" w:line="276"/>
        <w:jc w:val="both"/>
      </w:pPr>
      <w:r>
        <w:rPr>
          <w:rFonts w:ascii="Georgia" w:cs="Georgia" w:eastAsia="Georgia" w:hAnsi="Georgia"/>
          <w:color w:val="222222"/>
          <w:sz w:val="22"/>
          <w:szCs w:val="22"/>
        </w:rPr>
        <w:t xml:space="preserve">Nihai değerlendirme olarak; kısa vadede demonun siteye bağlanması, VR düğmesinin tamamlanması ve istatistik setinin inceltilmesi, düşük eforla en yüksek getiriyi sağlayacak üçlüdür. Orta vadede fiyat makasının daraltılması ve sözleşme dilinin sadeleştirilmesi, uzun vadede ise portföy simülasyonu ve referans inşası modelin sürdürülebilirliğini belirleyecektir. Bu adımlar atıldığı takdirde MERGVS'nin, "her istisnai mülk kendi dünyasını hak eder" önermesini yalnızca bir pazarlama cümlesi olarak değil, kanıtlanmış bir iş modeli olarak savunabilir konuma gelmesi mümkün görünmektedir.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Georgia" w:cs="Georgia" w:eastAsia="Georgia" w:hAnsi="Georgia"/>
        <w:color w:val="666666"/>
        <w:sz w:val="16"/>
        <w:szCs w:val="16"/>
      </w:rPr>
      <w:t xml:space="preserve">MERGVS — Kapsamlı Analiz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2026-07-03T08:26:36.317Z</dcterms:created>
  <dcterms:modified xsi:type="dcterms:W3CDTF">2026-07-03T08:26:36.317Z</dcterms:modified>
</cp:coreProperties>
</file>

<file path=docProps/custom.xml><?xml version="1.0" encoding="utf-8"?>
<Properties xmlns="http://schemas.openxmlformats.org/officeDocument/2006/custom-properties" xmlns:vt="http://schemas.openxmlformats.org/officeDocument/2006/docPropsVTypes"/>
</file>