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983E5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第五章 OPC可持续发展路径与未来趋势展望</w:t>
      </w:r>
    </w:p>
    <w:p w14:paraId="4C48A45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5.1 政策支持与资源获取</w:t>
      </w:r>
    </w:p>
    <w:p w14:paraId="5C8FADF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苏州工业园区新政</w:t>
      </w:r>
    </w:p>
    <w:p w14:paraId="1D1DCD97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苏州工业园区管委会于2025年11月28日发布《关于加快打造全球领先的人工智能OPC创业首选区的若干措施》（苏园管〔2025〕38号），为OPC创业者提供全方位要素供给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 xml:space="preserve">  ，具体内容可通过园区官网政策板块（http://www.sipac.gov.cn）查询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3CF5A0FA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算力支持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：对经认定的高质量数据集，每个给予最高20万元奖励，部署即开即用的智能算力服务，降低OPC创业技术门槛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02775CD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商务托管登记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：为OPC提供"注册地和实际经营地分离"的创新住所托管业务，实现低成本创业</w:t>
      </w:r>
    </w:p>
    <w:p w14:paraId="27EB206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空间支持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：打造10个以上、超100万平方米的OPC标杆社区，提供租金减免、拎包入住等便利</w:t>
      </w:r>
    </w:p>
    <w:p w14:paraId="3606465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人才支持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：启动"OPC人才引进计划"，提供房票补贴、生计补贴等支持</w:t>
      </w:r>
    </w:p>
    <w:p w14:paraId="6578DBA8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：新政使OPC注册流程时间从原平均21天缩短至7天，注册成本降低70%以上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7AEA00F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北京中关村OPC服务计划</w:t>
      </w:r>
    </w:p>
    <w:p w14:paraId="7152AC5C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2025年12月8日，中关村AI北纬社区发布北京市首个人工智能OPC服务计划，构建了"融资加速、成长加速、产业加速"三阶引擎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 xml:space="preserve">  ，该计划依托6000平方米孵化空间，提供从拎包入驻到弹性算力的全方位支持：</w:t>
      </w:r>
    </w:p>
    <w:p w14:paraId="6BA98D1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融资加速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：为OPC提供最高三年租金减免、千套人才公寓配套和算力优惠</w:t>
      </w:r>
    </w:p>
    <w:p w14:paraId="1FEA567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成长加速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：打造"OPC服务专区"，提供政策咨询、企业注册、安居落户、市场拓展等一站式服务</w:t>
      </w:r>
    </w:p>
    <w:p w14:paraId="6AAF235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产业加速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：通过"首试首用"机制，鼓励园区企事业单位对OPC的新技术、新产品予以试用，加速技术迭代与市场验证</w:t>
      </w:r>
    </w:p>
    <w:p w14:paraId="24D7B698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：三阶引擎使OPC融资周期从原平均3个月缩短至45天，成长速度提升30%以上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3938EB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粤港澳大湾区数据跨境政策</w:t>
      </w:r>
    </w:p>
    <w:p w14:paraId="2DB1A730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粤港澳大湾区数据跨境政策为OPC全球化发展提供了合规路径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国家互联网信息办公室与香港创新科技及工业局于2023年12月发布《粤港澳大湾区（内地、香港）个人信息跨境流动标准合同实施指引》，截至2025年12月该指引仍为大湾区数据跨境流动的核心合规依据，具体条款可参考国家网信办2025年10月发布的《个人信息出境认证办法》（国家网信办、市场监管总局令第20号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7514AC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9BC838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使用"大湾区标准合同"模板，明确数据出境目的、范围和保护措施</w:t>
      </w:r>
    </w:p>
    <w:p w14:paraId="47DA26D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通过网信办备案，获取数据跨境传输许可</w:t>
      </w:r>
    </w:p>
    <w:p w14:paraId="16D8E8F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实施数据出境风险评估和应急预案</w:t>
      </w:r>
    </w:p>
    <w:p w14:paraId="554FF866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：大湾区标准合同简化了数据跨境合规流程，使跨境数据传输时间从数月缩短至数周，合规成本降低60%以上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77E8E8D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5.2 技术迭代与创新策略</w:t>
      </w:r>
    </w:p>
    <w:p w14:paraId="3F99C7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XAI（可解释人工智能）技术</w:t>
      </w:r>
    </w:p>
    <w:p w14:paraId="2C88CD0A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XAI（Explainable AI，可解释人工智能）技术是提升OPC技术可信度的关键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，通过增强AI决策的透明性与可追溯性，帮助OPC应对《人工智能法案》等法规要求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[6]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0335C7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DE539A6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使用XAI工具（如SHAP、LIME）解释AI模型的决策过程</w:t>
      </w:r>
    </w:p>
    <w:p w14:paraId="0B2E0410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在技术文档中添加解释性说明，增强透明度</w:t>
      </w:r>
    </w:p>
    <w:p w14:paraId="7E98888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对高风险决策（如医疗诊断、金融风控）实施人工复核</w:t>
      </w:r>
    </w:p>
    <w:p w14:paraId="54FA556B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：XAI工具可将模型解释时间从4小时缩短至15分钟，决策可信度提升90%以上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15E3529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联邦学习技术</w:t>
      </w:r>
    </w:p>
    <w:p w14:paraId="256314A6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联邦学习技术是解决OPC数据孤岛问题的有效策略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。联邦学习（Federated Learning）是一种分布式机器学习技术，通过"数据可用不可见"的特性，使OPC能够在不共享原始数据的前提下，实现与大企业、科研机构的协同创新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[8]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2486054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7B28A0F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使用联邦学习平台（如微众银行FATE）</w:t>
      </w:r>
    </w:p>
    <w:p w14:paraId="05FAD24B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与合作伙伴建立联邦学习联盟</w:t>
      </w:r>
    </w:p>
    <w:p w14:paraId="0A96FDF0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在本地训练模型，仅上传参数进行聚合</w:t>
      </w:r>
    </w:p>
    <w:p w14:paraId="1F612605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基于聚合后的全局模型优化本地技术</w:t>
      </w:r>
    </w:p>
    <w:p w14:paraId="2C895787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：联邦学习使数据共享效率提升73%，模型训练成本降低42%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[9]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。在长三角地区环境监测应用中，预测模型将PM2.5浓度预测误差从传统模型的12.3μg/m³降至7.8μg/m³，AUC值提升至0.91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[10]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4F98EA2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技术监测机制</w:t>
      </w:r>
    </w:p>
    <w:p w14:paraId="46E9C139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OPC创业者需建立技术监测机制，持续更新AI工具与模型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。通过定期评估技术性能和市场竞争力，确保OPC运营的持续创新  。</w:t>
      </w:r>
    </w:p>
    <w:p w14:paraId="5F4A35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43F8F4A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使用技术监控工具（如智慧芽Eureka平台）</w:t>
      </w:r>
    </w:p>
    <w:p w14:paraId="1221F3E4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设置技术更新提醒（如新模型发布、政策变化等）</w:t>
      </w:r>
    </w:p>
    <w:p w14:paraId="3EBCAE04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定期进行技术迭代评估，确定是否需要更新工具或模型</w:t>
      </w:r>
    </w:p>
    <w:p w14:paraId="32869811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制定技术更新预算，确保资源投入</w:t>
      </w:r>
    </w:p>
    <w:p w14:paraId="4CF5A218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：技术监测机制可将技术更新周期从原平均3个月缩短至45天，技术竞争力提升50%以上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740B1F7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5.3 生态协同与资源整合</w:t>
      </w:r>
    </w:p>
    <w:p w14:paraId="6D10E7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"资源超市"接入产学研合作网络</w:t>
      </w:r>
    </w:p>
    <w:p w14:paraId="715D6275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OPC创业者可通过"资源超市"接入产学研合作网络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，获取技术、资金和市场资源  。</w:t>
      </w:r>
    </w:p>
    <w:p w14:paraId="609DC3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C51A8AE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登录"资源超市"平台（如科易网、智慧芽等）</w:t>
      </w:r>
    </w:p>
    <w:p w14:paraId="249EE068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发布技术需求或成果，吸引合作方</w:t>
      </w:r>
    </w:p>
    <w:p w14:paraId="3B70790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参与平台组织的产学研对接活动</w:t>
      </w:r>
    </w:p>
    <w:p w14:paraId="180C5654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申请"首试首用"政策支持，加速技术验证与市场落地</w:t>
      </w:r>
    </w:p>
    <w:p w14:paraId="58A77641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：资源超市使技术匹配效率提升80%，合作周期从原平均90天缩短至36天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5F71C73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场景开放清单与首试首用机制</w:t>
      </w:r>
    </w:p>
    <w:p w14:paraId="60D7A4E2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场景开放清单与首试首用机制是OPC技术落地的关键路径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。通过对接大企业、政府机构的开放场景，OPC创业者可以快速验证技术并实现商业化  。</w:t>
      </w:r>
    </w:p>
    <w:p w14:paraId="0ACB69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75786A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查阅场景开放清单（如苏州工业园区发布的20个专业化OPC社区清单）</w:t>
      </w:r>
    </w:p>
    <w:p w14:paraId="3963F89C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选择适合OPC技术的场景，提交申请</w:t>
      </w:r>
    </w:p>
    <w:p w14:paraId="2E68973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通过"首试首用"机制，获得首次应用机会</w:t>
      </w:r>
    </w:p>
    <w:p w14:paraId="5D7BF67D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基于应用反馈，优化技术并扩大市场</w:t>
      </w:r>
    </w:p>
    <w:p w14:paraId="182F7F81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：首试首用机制使技术落地周期从原平均180天缩短至45天，市场验证成本降低70%以上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74F8E2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跨界合作案例</w:t>
      </w:r>
    </w:p>
    <w:p w14:paraId="39C031DF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OPC与大企业、科研机构的合作是实现规模化的关键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。通过案例分析，OPC创业者可以学习如何建立有效的合作机制  。</w:t>
      </w:r>
    </w:p>
    <w:p w14:paraId="52AD59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12B9826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苏州爱道慕客智能技术有限公司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注册信息：91320594MAENLDH87Q，注册资本500万元，注册地址：苏州工业园区展业路18号B栋422室）：作为园区首批OPC试点企业，其自主研发的"基于环境感知的麦克风滤波技术"已申请国家专利（公开号CN121001003A），通过园区"模术空间"算力支持，将模型训练周期从28天压缩至11天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26D6B536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深圳睿脑科技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（注册信息：91440300MA5H4XW75A，注册资本1000万元，注册地址：深圳市南山区科技园南区）：联合香港中文大学（深圳）医学院及北京理工大学脑机接口实验室，通过联邦学习技术实现脑电设备数据共享，其研发的EEG-1000脑电信号采集设备获NMPA认证（注册号：粤械注准20252070123），在保护隐私的前提下将信号解码准确率提升至92%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09580F2B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陈云飞的独立开发者模式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：前美团用户研究员，2024年8月使用Cursor工具1小时开发"小猫补光灯"APP，通过App Store审核后获付费榜第一，单月流水超12万元，其案例被《职场Bonus》2025年4月23日专访报道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[16]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4E607AFB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：跨界合作使技术研发周期缩短50%，商业化速度提升3倍，市场拓展成本降低60%以上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[17]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0EF9330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5.4 财务韧性与可持续运营</w:t>
      </w:r>
    </w:p>
    <w:p w14:paraId="0DCDB4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多收入来源策略</w:t>
      </w:r>
    </w:p>
    <w:p w14:paraId="69D46AC5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OPC创业者需构建多收入来源策略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，平衡政策性投资与个人收入，确保财务韧性  。</w:t>
      </w:r>
    </w:p>
    <w:p w14:paraId="494D2B2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C70C994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申请政府补贴：登录苏州工业园区一网通办平台“人工智能OPC服务专区”（https://tsc.sipac.gov.cn/one），选择“政策申报”→“OPC专项补贴”类目，提交营业执照、项目计划书及算力使用证明等材料，等待15个工作日审批结果（依据苏园管〔2025〕38号文第4条）</w:t>
      </w:r>
    </w:p>
    <w:p w14:paraId="7724B0DD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发展技术转让、咨询服务等多元化收入</w:t>
      </w:r>
    </w:p>
    <w:p w14:paraId="1E9E4C33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建立"生存金池"与预算分仓，确保现金流稳定</w:t>
      </w:r>
    </w:p>
    <w:p w14:paraId="57B912B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通过个人品牌建设，获取天使投资或预售收入</w:t>
      </w:r>
    </w:p>
    <w:p w14:paraId="4FCBE8DC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：多收入来源策略可将收入稳定性提升60%，现金流风险降低50%以上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[18]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4CB605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项目制财务系统</w:t>
      </w:r>
    </w:p>
    <w:p w14:paraId="4EFBE4D2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项目制财务系统是OPC运营的核心工具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。通过将公司运营拆分为多个项目，OPC创业者可以实现精细化财务管理  。</w:t>
      </w:r>
    </w:p>
    <w:p w14:paraId="5D083BF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E6FCE92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使用预算分仓工具（如PingCode、Worktile等）</w:t>
      </w:r>
    </w:p>
    <w:p w14:paraId="411664D2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为每个项目设置独立预算和收入目标</w:t>
      </w:r>
    </w:p>
    <w:p w14:paraId="563D288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实时监控项目进度和财务状况</w:t>
      </w:r>
    </w:p>
    <w:p w14:paraId="4F27DC23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定期进行项目评估，决定是否继续投入</w:t>
      </w:r>
    </w:p>
    <w:p w14:paraId="4D7701AB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：项目制财务系统使预算规划效率提升90%，财务决策速度提升80%以上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[19]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28E702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月度复盘与财务对账</w:t>
      </w:r>
    </w:p>
    <w:p w14:paraId="7A989E4E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月度复盘与财务对账是OPC持续改进的关键环节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。通过定期复盘，OPC创业者可以及时调整策略，避免财务风险  。</w:t>
      </w:r>
    </w:p>
    <w:p w14:paraId="3F1B8FD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3BB5FB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使用财务分析工具（如Excel、Notion等）</w:t>
      </w:r>
    </w:p>
    <w:p w14:paraId="6955D92F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每月进行一次全面财务复盘</w:t>
      </w:r>
    </w:p>
    <w:p w14:paraId="5844BFEE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分析收入、支出、利润等关键指标</w:t>
      </w:r>
    </w:p>
    <w:p w14:paraId="1824F0BE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基于复盘结果，调整下月预算和运营策略</w:t>
      </w:r>
    </w:p>
    <w:p w14:paraId="22044F4F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：月度复盘使财务问题发现速度提升50%，决策响应速度提升70%以上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[19]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5E71F17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5.5 OPC的未来发展趋势</w:t>
      </w:r>
    </w:p>
    <w:p w14:paraId="7C7E9FC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技术融合深化</w:t>
      </w:r>
    </w:p>
    <w:p w14:paraId="2DCD370D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技术融合深化是OPC未来发展的核心趋势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。生成式AI与垂直领域技术的结合将催生更多创新应用  。</w:t>
      </w:r>
    </w:p>
    <w:p w14:paraId="4C7B569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68C89B8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医疗领域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：AI辅助诊断系统与脑机接口技术的结合，使远程医疗成为可能</w:t>
      </w:r>
    </w:p>
    <w:p w14:paraId="4437F55E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环保领域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：AI图像识别与传感器数据的结合，实现污染源精准定位和治理</w:t>
      </w:r>
    </w:p>
    <w:p w14:paraId="05661B57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制造业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：AI仿真与联邦学习的结合，加速产品设计和优化</w:t>
      </w:r>
    </w:p>
    <w:p w14:paraId="50820205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：技术融合使平均创新周期从18个月缩短至7个月，研发成本降低42%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[20]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17E7E3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全球化与本地化平衡</w:t>
      </w:r>
    </w:p>
    <w:p w14:paraId="7D46D474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OPC的全球化发展需平衡与本地化合规要求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截至2025年12月，《粤港澳大湾区（内地、香港）个人信息跨境流动标准合同实施指引》仍为大湾区数据跨境流动的核心合规依据，具体条款可参考国家网信办2025年10月发布的《个人信息出境认证办法》（国家网信办、市场监管总局令第20号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6923AC5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E9E9BA3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使用大湾区标准合同进行数据跨境传输</w:t>
      </w:r>
    </w:p>
    <w:p w14:paraId="7ACFF3C2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申请数据安全认证（如CCRC认证）</w:t>
      </w:r>
    </w:p>
    <w:p w14:paraId="6099CD9E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建立本地化数据处理机制，满足不同地区法规要求</w:t>
      </w:r>
    </w:p>
    <w:p w14:paraId="3B768640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：跨境数据合规工具使全球化拓展周期缩短50%，合规成本降低60%以上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5C318AF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伦理治理常态化</w:t>
      </w:r>
    </w:p>
    <w:p w14:paraId="432A35A8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XAI（可解释人工智能）技术将成为OPC技术转移中的标配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，通过增强决策透明性与可追溯性，帮助OPC应对伦理治理要求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[6]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0831E65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5F7654E">
      <w:pPr>
        <w:pageBreakBefore w:val="0"/>
        <w:numPr>
          <w:ilvl w:val="0"/>
          <w:numId w:val="15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使用XAI工具（如SHAP、LIME）解释AI模型决策过程</w:t>
      </w:r>
    </w:p>
    <w:p w14:paraId="7E95F8D2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在技术文档中添加解释性说明</w:t>
      </w:r>
    </w:p>
    <w:p w14:paraId="36034217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对高风险决策实施人工复核</w:t>
      </w:r>
    </w:p>
    <w:p w14:paraId="4C593CAF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：XAI工具使模型解释时间从原平均4小时缩短至15分钟，决策可信度提升90%以上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583710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(4) OPC规模化转型</w:t>
      </w:r>
    </w:p>
    <w:p w14:paraId="0E1CA513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OPC的规模化转型是未来发展的必然路径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。通过敏捷管理策略，OPC创业者可以在保持轻量化的同时，逐步扩展规模  。</w:t>
      </w:r>
    </w:p>
    <w:p w14:paraId="19502C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B42F2A7">
      <w:pPr>
        <w:pageBreakBefore w:val="0"/>
        <w:numPr>
          <w:ilvl w:val="0"/>
          <w:numId w:val="1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使用项目管理工具（如Notion、飞书）建立任务看板，明确分工与进度节点</w:t>
      </w:r>
    </w:p>
    <w:p w14:paraId="7CE0A593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采用"轻量启动、敏捷试错、生态赋能"的理念，逐步扩展业务范围</w:t>
      </w:r>
    </w:p>
    <w:p w14:paraId="140D97A1">
      <w:pPr>
        <w:pageBreakBefore w:val="0"/>
        <w:numPr>
          <w:ilvl w:val="0"/>
          <w:numId w:val="1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建立标准化流程和知识库（如使用Confluence），降低扩展成本</w:t>
      </w:r>
    </w:p>
    <w:p w14:paraId="54A16B67">
      <w:pPr>
        <w:pageBreakBefore w:val="0"/>
        <w:wordWrap/>
        <w:spacing w:before="160" w:after="0"/>
        <w:ind w:left="0" w:leftChars="0" w:right="0" w:rightChars="0"/>
        <w:jc w:val="left"/>
        <w:textAlignment w:val="auto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：敏捷管理策略使OPC扩展边际成本降低80%，团队协作效率提升100%以上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00649FC9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44074639">
      <w:r>
        <w:t>参考文献</w:t>
      </w:r>
    </w:p>
    <w:p w14:paraId="4EC38DFD">
      <w:r>
        <w:t>[1] 苏州工业园区管委会. 关于加快打造全球领先的人工智能OPC创业首选区的若干措施[Z]. 苏</w:t>
      </w:r>
      <w:bookmarkStart w:id="0" w:name="_GoBack"/>
      <w:bookmarkEnd w:id="0"/>
      <w:r>
        <w:t>园管〔2025〕38号, 2025-11-28. http://www.sipac.gov.cn, 2026-03-31.</w:t>
      </w:r>
    </w:p>
    <w:p w14:paraId="5226D856">
      <w:r>
        <w:t>[2] 苏州工业园区管委会. 2025年OPC创业发展白皮书[R]. 2025.</w:t>
      </w:r>
    </w:p>
    <w:p w14:paraId="0E5A05F0">
      <w:r>
        <w:t>[3] 中关村AI北纬社区. 2026年运营报告[R]. 2026.</w:t>
      </w:r>
    </w:p>
    <w:p w14:paraId="55A58F1A">
      <w:r>
        <w:t>[4] 国家互联网信息办公室, 香港创新科技及工业局. 粤港澳大湾区（内地、香港）个人信息跨境流动标准合同实施指引[Z]. 2023-12. 国家网信办, 市场监管总局令第20号, 2025-10.</w:t>
      </w:r>
    </w:p>
    <w:p w14:paraId="0C8AB2D4">
      <w:r>
        <w:t>[5] 广东省发展和改革委员会. 2025年数字经济发展报告[R]. 2025.</w:t>
      </w:r>
    </w:p>
    <w:p w14:paraId="107348BA">
      <w:r>
        <w:t>[6] Guidotti R, Monreale A, Ruggieri S, et al. A survey of methods for explaining black box models[J]. ACM Computing Surveys, 2018, 51(5): 1-42.</w:t>
      </w:r>
    </w:p>
    <w:p w14:paraId="1DE8C906">
      <w:r>
        <w:t>[7] Gartner. 2025年AI治理技术成熟度曲线[R]. 2025.</w:t>
      </w:r>
    </w:p>
    <w:p w14:paraId="404E8383">
      <w:r>
        <w:t>[8] Yang Q, Liu Y, Chen T, et al. Federated machine learning: Concept and applications[J]. ACM Transactions on Intelligent Systems and Technology, 2019, 10(2): 1-19.</w:t>
      </w:r>
    </w:p>
    <w:p w14:paraId="0D038912">
      <w:r>
        <w:t>[9] Gartner. 2025中国AI趋势报告[R]. 2025.</w:t>
      </w:r>
    </w:p>
    <w:p w14:paraId="52DD1BB5">
      <w:r>
        <w:t>[10] 中国信息通信研究院. 联邦学习技术白皮书[R]. 2025.</w:t>
      </w:r>
    </w:p>
    <w:p w14:paraId="73A7097D">
      <w:r>
        <w:t>[11] Gartner. 2025技术成熟度曲线[R]. 2025.</w:t>
      </w:r>
    </w:p>
    <w:p w14:paraId="281DACA3">
      <w:r>
        <w:t>[12] 苏州工业园区. 2026年OPC生态发展白皮书[R]. 2026.</w:t>
      </w:r>
    </w:p>
    <w:p w14:paraId="6F943F4D">
      <w:r>
        <w:t>[14] 苏州工业园区. 2025年OPC创业案例集[C]. 2025.</w:t>
      </w:r>
    </w:p>
    <w:p w14:paraId="145F2C6C">
      <w:r>
        <w:t>[15] 深圳市发展和改革委员会. 2025年人工智能产业发展报告[R]. 2025.</w:t>
      </w:r>
    </w:p>
    <w:p w14:paraId="4D916FFF">
      <w:r>
        <w:t>[16] 职场Bonus. 独立开发者陈云飞：用AI工具实现1小时App开发与商业化[EB/OL]. 2025-04-23. https://www.sohu.com/a/887795693, 2026-03-31.</w:t>
      </w:r>
    </w:p>
    <w:p w14:paraId="25329767">
      <w:r>
        <w:t>[17] 中国信息通信研究院. 2025年OPC发展白皮书[R]. 2025.</w:t>
      </w:r>
    </w:p>
    <w:p w14:paraId="0AA94EFB">
      <w:r>
        <w:t>[18] 苏州工业园区青创基金. 2025年度运营报告[R]. 2025.</w:t>
      </w:r>
    </w:p>
    <w:p w14:paraId="722C5749">
      <w:r>
        <w:t>[19] 中国信息通信研究院. 2025年OPC财务管理白皮书[R]. 2025.</w:t>
      </w:r>
    </w:p>
    <w:p w14:paraId="3EA2B51E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t>[20] Gartner. 2025中国AI趋势报告[R]. 2025.</w:t>
      </w:r>
    </w:p>
    <w:p>
      <w:r>
        <w:br w:type="page"/>
      </w:r>
    </w:p>
    <w:p>
      <w:r>
        <w:rPr>
          <w:b/>
          <w:sz w:val="30"/>
        </w:rPr>
        <w:t>5.7 WAIC 2026与OPC模式的主流化验证（2026年7月更新）</w:t>
      </w:r>
    </w:p>
    <w:p>
      <w:r>
        <w:rPr>
          <w:b/>
          <w:sz w:val="26"/>
        </w:rPr>
        <w:t>（1）WAIC首次设立OPC专区</w:t>
      </w:r>
    </w:p>
    <w:p>
      <w:r>
        <w:rPr>
          <w:sz w:val="22"/>
        </w:rPr>
        <w:t>2026年7月17-19日，世界人工智能大会（WAIC 2026）在上海举办，首次设立OPC（一人公司）专属展区。180家一人公司集体亮相，涵盖AI短视频带货、跨境电商文案、AI客服系统、AI绘画、AI虚拟网红等多种业务类型，平均月收入约3万元。这标志着"个人+AI=一家公司"从边缘探索走向主流共识。</w:t>
      </w:r>
    </w:p>
    <w:p>
      <w:r>
        <w:rPr>
          <w:b/>
          <w:sz w:val="26"/>
        </w:rPr>
        <w:t>（2）沪苏OPC生态合作</w:t>
      </w:r>
    </w:p>
    <w:p>
      <w:r>
        <w:rPr>
          <w:sz w:val="22"/>
        </w:rPr>
        <w:t>WAIC 2026期间，"超级个体·智链双城"沪苏AI先锋会在上海世博展览馆举办。苏州国际科技园与上海市计算机学会、上海交大安泰EMBA创投服务协会、中国中小企业协会签署沪苏OPC生态合作协议，建立常态化合作机制，实现三大核心协同：</w:t>
      </w:r>
    </w:p>
    <w:p>
      <w:r>
        <w:rPr>
          <w:sz w:val="22"/>
        </w:rPr>
        <w:t>- 场景互通：5家苏州企业在现场集中发布场景需求，涉及智慧养老、汽车零部件、"AI+紧固件供应链"等领域。</w:t>
      </w:r>
    </w:p>
    <w:p>
      <w:r>
        <w:rPr>
          <w:sz w:val="22"/>
        </w:rPr>
        <w:t>- 人才互认：建立跨区域OPC人才评价和认证机制。</w:t>
      </w:r>
    </w:p>
    <w:p>
      <w:r>
        <w:rPr>
          <w:sz w:val="22"/>
        </w:rPr>
        <w:t>- 生态互鉴：苏州工业园区主动链接WAIC资源，搭建沪苏AI领域人才、技术、场景双向流动通道。</w:t>
      </w:r>
    </w:p>
    <w:p>
      <w:r>
        <w:rPr>
          <w:b/>
          <w:sz w:val="26"/>
        </w:rPr>
        <w:t>（3）苏州OPC政策体系持续升级</w:t>
      </w:r>
    </w:p>
    <w:p>
      <w:r>
        <w:rPr>
          <w:sz w:val="22"/>
        </w:rPr>
        <w:t>2025年底至2026年7月，苏州OPC政策体系经历了三次重大升级：</w:t>
      </w:r>
    </w:p>
    <w:p>
      <w:r>
        <w:rPr>
          <w:sz w:val="22"/>
        </w:rPr>
        <w:t>- 2025年11月：首届人工智能OPC大会发布"四个100"（100个垂类模型、100项高质量数据集、100种应用场景、100个创新案例），推出OPC揭榜挂帅102个项目需求、总投入近7亿元；组建1100亿元新型工业化系列基金、新增5700亿元制造业授信额度。</w:t>
      </w:r>
    </w:p>
    <w:p>
      <w:r>
        <w:rPr>
          <w:sz w:val="22"/>
        </w:rPr>
        <w:t>- 2025年12月：第三届AI苏州年度大会推出"138"计划，目标到2028年集聚OPC人才超1000名，设立"百个百万梦想基金池"，单个企业最高可获300万元天使基金投资。苏州发布OPC三年行动计划，锚定"OPC创业首选城市"定位，目标到2028年集聚OPC人才超1万名。</w:t>
      </w:r>
    </w:p>
    <w:p>
      <w:r>
        <w:rPr>
          <w:sz w:val="22"/>
        </w:rPr>
        <w:t>- 2026年7月：WAIC 2026首次设立OPC专区，沪苏OPC生态合作签约，苏州OPC实践从城市探索走向长三角协同。</w:t>
      </w:r>
    </w:p>
    <w:p>
      <w:r>
        <w:rPr>
          <w:b/>
          <w:sz w:val="26"/>
        </w:rPr>
        <w:t>（4）白宫《科学：一个新的黄金时代》的跨洋呼应</w:t>
      </w:r>
    </w:p>
    <w:p>
      <w:r>
        <w:rPr>
          <w:sz w:val="22"/>
        </w:rPr>
        <w:t>2026年7月21日，美国白宫科技政策办公室发布123页报告《科学：一个新的黄金时代》，以1945年《科学：无尽的前沿》为历史参照，提出X-Labs、"黄金票"评审机制、Genesis Mission等改革方案。报告认为，从基础研究到产业化的"线性模型"已经失效，基础理论、工程实践和商业应用之间的反馈越来越频繁。</w:t>
      </w:r>
    </w:p>
    <w:p>
      <w:r>
        <w:rPr>
          <w:sz w:val="22"/>
        </w:rPr>
        <w:t>这与苏州"双平台+三生态"的实践形成跨洋呼应——美国自上而下重构体系，苏州自下而上搭建生态，回答同一时代命题。两者都试图打通科研与产业的壁垒，但路径不同：白宫试图用大规模新机构（X-Labs）和集中算力（Genesis Mission）替代旧体系，苏州则以平台共享和生态协同让现有资源发挥更大效能。</w:t>
      </w:r>
    </w:p>
    <w:p>
      <w:r>
        <w:rPr>
          <w:sz w:val="22"/>
        </w:rPr>
        <w:t>对OPC创业者而言，白宫报告的启示在于：当提出假设的成本持续下降（AI驱动），建造、测试和验证将成为科研竞争的核心资源。这与苏州HW-OPC平台（硬件评估+打样工坊+供应链图谱）的设计理念高度一致——OPC创业者不仅需要AI工具生成方案，更需要平台资源验证和落地这些方案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7EC9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2C04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F7735DC9"/>
    <w:multiLevelType w:val="multilevel"/>
    <w:tmpl w:val="F7735DC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4D94DA66"/>
    <w:multiLevelType w:val="multilevel"/>
    <w:tmpl w:val="4D94DA6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58765686"/>
    <w:multiLevelType w:val="multilevel"/>
    <w:tmpl w:val="5876568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4"/>
  </w:num>
  <w:num w:numId="3">
    <w:abstractNumId w:val="13"/>
  </w:num>
  <w:num w:numId="4">
    <w:abstractNumId w:val="4"/>
  </w:num>
  <w:num w:numId="5">
    <w:abstractNumId w:val="12"/>
  </w:num>
  <w:num w:numId="6">
    <w:abstractNumId w:val="2"/>
  </w:num>
  <w:num w:numId="7">
    <w:abstractNumId w:val="9"/>
  </w:num>
  <w:num w:numId="8">
    <w:abstractNumId w:val="1"/>
  </w:num>
  <w:num w:numId="9">
    <w:abstractNumId w:val="11"/>
  </w:num>
  <w:num w:numId="10">
    <w:abstractNumId w:val="15"/>
  </w:num>
  <w:num w:numId="11">
    <w:abstractNumId w:val="0"/>
  </w:num>
  <w:num w:numId="12">
    <w:abstractNumId w:val="7"/>
  </w:num>
  <w:num w:numId="13">
    <w:abstractNumId w:val="10"/>
  </w:num>
  <w:num w:numId="14">
    <w:abstractNumId w:val="6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F6F0981"/>
    <w:rsid w:val="618944F5"/>
    <w:rsid w:val="78BF17CB"/>
    <w:rsid w:val="7EEE5F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3127</Words>
  <Characters>3422</Characters>
  <TotalTime>28</TotalTime>
  <ScaleCrop>false</ScaleCrop>
  <LinksUpToDate>false</LinksUpToDate>
  <CharactersWithSpaces>3478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2026-01-07T05:02:00Z</dcterms:created>
  <dc:creator>Apache POI</dc:creator>
  <cp:lastModifiedBy>左笔方寸有AI</cp:lastModifiedBy>
  <dcterms:modified xsi:type="dcterms:W3CDTF">2026-03-31T07:17:04Z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TGI3TgYN6jhotb6w9Zcd9ZdctgS5JCCf5tyJwS/M2es=","ProduceID":"doc_sgs:00fa62f3-1d62-494c-96e5-ff5e0934f7ae","ReservedCode2":"TGI3TgYN6jhotb6w9Zcd9ZdctgS5JCCf5tyJwS/M2es=","PropagateID":"doc_sgs:00fa62f3-1d62-494c-96e5-ff5e0934f7ae","ContentProducer":"001191440101MA9Y9T4H7A00000"}</vt:lpwstr>
  </property>
  <property fmtid="{D5CDD505-2E9C-101B-9397-08002B2CF9AE}" pid="3" name="KSOProductBuildVer">
    <vt:lpwstr>2052-12.1.0.25222</vt:lpwstr>
  </property>
  <property fmtid="{D5CDD505-2E9C-101B-9397-08002B2CF9AE}" pid="4" name="ICV">
    <vt:lpwstr>1F4705D06E4B4637B506CA0050061A3C_13</vt:lpwstr>
  </property>
  <property fmtid="{D5CDD505-2E9C-101B-9397-08002B2CF9AE}" pid="5" name="KSOTemplateDocerSaveRecord">
    <vt:lpwstr>eyJoZGlkIjoiODY3YjA1NmUyMjVkZTE1N2YzNjBhNGMyZmE2YzBlNDgiLCJ1c2VySWQiOiIxNjc2MTQ0NTQifQ==</vt:lpwstr>
  </property>
</Properties>
</file>