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1DDE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第八章 OPC全球化发展策略</w:t>
      </w:r>
    </w:p>
    <w:p w14:paraId="2275532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8.1 跨文化运营策略</w:t>
      </w:r>
    </w:p>
    <w:p w14:paraId="7B08CBB1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本章OPC指"个人+AI协同"的一人公司，核心特征为轻量化运营与全链路AI赋能。OPC创业者需构建"文化智能"框架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，通过AI工具辅助理解不同文化背景下的技术转移需求与合作模式。</w:t>
      </w:r>
    </w:p>
    <w:p w14:paraId="7886174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文化差异识别与分析</w:t>
      </w:r>
    </w:p>
    <w:p w14:paraId="3074465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OPC创业者应识别并分析主要文化差异：</w:t>
      </w:r>
    </w:p>
    <w:p w14:paraId="31F15B79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沟通风格差异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：欧美企业注重直接表达与结果导向（如德国商务沟通中70%内容为数据化陈述），东亚企业（中、日、韩）注重间接沟通与关系建立，初次合作需3-5次非正式沟通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</w:p>
    <w:p w14:paraId="5157B385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决策流程差异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：北美企业决策链平均长度为2-3级，亚太企业（如中国、印度）决策链长且注重集体意见，需经过部门协同与层级审批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</w:p>
    <w:p w14:paraId="1AAEC5D2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法律意识差异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：欧美企业合同条款平均包含47项风险防控条款，东南亚企业更注重口头承诺与长期关系，合同纠纷中62%通过调解解决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</w:p>
    <w:p w14:paraId="4FA26B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AI辅助工具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301F34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使用DeepSeek或GPT-4等大模型进行跨文化沟通训练</w:t>
      </w:r>
    </w:p>
    <w:p w14:paraId="3861616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通过Midjourney等工具生成符合当地文化习惯的营销材料</w:t>
      </w:r>
    </w:p>
    <w:p w14:paraId="4E04F049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使用Notion建立"文化知识库"：①创建"国家-文化维度"数据库（含沟通风格、法律禁忌、合作偏好字段）；②接入GPT-4 API实现实时更新（每周自动抓取目标国商业文化动态）；③设置"高风险预警"标签（如中东市场宗教节日期间的商务禁忌）</w:t>
      </w:r>
    </w:p>
    <w:p w14:paraId="6364350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本地化运营策略</w:t>
      </w:r>
    </w:p>
    <w:p w14:paraId="1ED65B5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OPC创业者需采用"前端一人、后端网络"的本地化运营模式  ：</w:t>
      </w:r>
    </w:p>
    <w:p w14:paraId="36966A19">
      <w:pPr>
        <w:pageBreakBefore w:val="0"/>
        <w:numPr>
          <w:ilvl w:val="0"/>
          <w:numId w:val="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产品本地化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：使用AI工具（如CeMeta的"森宇宙AI营销智能体"）生成符合当地文化习惯的产品描述与营销方案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[26]</w:t>
      </w:r>
    </w:p>
    <w:p w14:paraId="1C02C9D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法律合规本地化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：通过千律科技的智能合同生成系统，适配不同国家/地区的法律要求</w:t>
      </w:r>
    </w:p>
    <w:p w14:paraId="2BD7281C">
      <w:pPr>
        <w:pageBreakBefore w:val="0"/>
        <w:numPr>
          <w:ilvl w:val="0"/>
          <w:numId w:val="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团队协作本地化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：使用开源联邦学习框架FedML（支持单人部署）与当地合作伙伴进行数据协同，通过"本地数据训练+模型参数共享"模式实现脑电数据协同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</w:p>
    <w:p w14:paraId="6EED95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3A0689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使用"大湾区标准合同"模板，明确数据出境目的、范围和保护措施</w:t>
      </w:r>
    </w:p>
    <w:p w14:paraId="73E36719">
      <w:pPr>
        <w:pageBreakBefore w:val="0"/>
        <w:numPr>
          <w:ilvl w:val="0"/>
          <w:numId w:val="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通过AI驱动的贸易合规平台（如Adexa Genies），实时监控全球128个国家出口管制清单及关税政策变化，支持设置"AI芯片""加密算法"等关键词预警，每周推送定制化合规报告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[12]</w:t>
      </w:r>
    </w:p>
    <w:p w14:paraId="07AF073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建立"文化适配清单"，记录不同国家/地区的合作偏好与禁忌</w:t>
      </w:r>
    </w:p>
    <w:p w14:paraId="42D94D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跨文化沟通工具</w:t>
      </w:r>
    </w:p>
    <w:p w14:paraId="63040F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OPC创业者需掌握以下跨文化沟通工具：</w:t>
      </w:r>
    </w:p>
    <w:p w14:paraId="78C61F9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AI翻译工具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：DeepSeek或GPT-4等大模型进行实时翻译，支持技术术语和行业背景理解</w:t>
      </w:r>
    </w:p>
    <w:p w14:paraId="04DE9B4F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文化理解助手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：使用ChatGPT等工具分析目标市场文化特点与合作习惯</w:t>
      </w:r>
    </w:p>
    <w:p w14:paraId="27806D65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虚拟协作平台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：通过Retool、Appsmith等低代码平台与海外合作伙伴建立虚拟协作空间</w:t>
      </w:r>
    </w:p>
    <w:p w14:paraId="0F89532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F361AD3">
      <w:pPr>
        <w:pageBreakBefore w:val="0"/>
        <w:numPr>
          <w:ilvl w:val="0"/>
          <w:numId w:val="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根据DeepSeek《跨语言翻译白皮书》，AI翻译工具技术术语翻译准确率达95.3%，较人工翻译效率提升8倍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57A50C6B">
      <w:pPr>
        <w:pageBreakBefore w:val="0"/>
        <w:numPr>
          <w:ilvl w:val="0"/>
          <w:numId w:val="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1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虚拟协作平台使跨国团队协作效率提升70%，沟通成本降低50%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</w:p>
    <w:p w14:paraId="682F3923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OPC实操要点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：①优先使用GPT-4进行跨文化沟通预演，模拟目标市场合作场景；②文化知识库需包含宗教禁忌（如中东市场斋月期间避免商务拜访）；③通过FedML框架实现数据不出境的跨境协同</w:t>
      </w:r>
    </w:p>
    <w:p w14:paraId="2F0ACC2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8.2 国际市场准入策略</w:t>
      </w:r>
    </w:p>
    <w:p w14:paraId="7FC28A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OPC创业者需构建"合规-效率"平衡的国际市场准入策略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，既要满足欧盟AI法案等严格监管要求，又要保持轻量化运营的效率优势。</w:t>
      </w:r>
    </w:p>
    <w:p w14:paraId="3B2F14A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欧盟市场准入路径</w:t>
      </w:r>
    </w:p>
    <w:p w14:paraId="6A8E0F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针对欧盟市场，OPC创业者需重点关注以下准入要求：</w:t>
      </w:r>
    </w:p>
    <w:p w14:paraId="4CF43F34">
      <w:pPr>
        <w:pageBreakBefore w:val="0"/>
        <w:numPr>
          <w:ilvl w:val="0"/>
          <w:numId w:val="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AI系统风险分类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：根据欧盟《人工智能法案》第3条，技术转移相关AI系统划分为：高风险（如医疗设备数据解析工具需符合欧盟MDR法规）、中风险（普通技术评估工具）、低风险（营销内容生成工具）三个等级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</w:p>
    <w:p w14:paraId="50F24A2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高风险AI系统要求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：对高风险系统（如医疗诊断AI），需满足严格的事前合规要求，包括建立风险管理系统、数据治理框架等</w:t>
      </w:r>
    </w:p>
    <w:p w14:paraId="2C3FEAF1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通用AI透明度义务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：对生成式AI系统，需明确披露内容由AI生成，并发布训练数据中受版权保护材料的摘要</w:t>
      </w:r>
    </w:p>
    <w:p w14:paraId="6C2012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准入策略实操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FCED00C">
      <w:pPr>
        <w:pageBreakBefore w:val="0"/>
        <w:numPr>
          <w:ilvl w:val="0"/>
          <w:numId w:val="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使用欧盟AI法案合规工具（如Adexa Genies）进行系统风险分类与合规评估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[12]</w:t>
      </w:r>
    </w:p>
    <w:p w14:paraId="56EE251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通过"首试首用"机制，先在欧盟外验证技术，再逐步进入欧盟市场</w:t>
      </w:r>
    </w:p>
    <w:p w14:paraId="0F6790EB">
      <w:pPr>
        <w:pageBreakBefore w:val="0"/>
        <w:numPr>
          <w:ilvl w:val="0"/>
          <w:numId w:val="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利用联邦学习技术（如微众银行FATE）实现数据不出本地的情况下与欧盟合作伙伴协同建模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</w:p>
    <w:p w14:paraId="41A853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东南亚市场拓展策略</w:t>
      </w:r>
    </w:p>
    <w:p w14:paraId="48F9D1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针对东南亚市场，OPC创业者可采取以下拓展策略：</w:t>
      </w:r>
    </w:p>
    <w:p w14:paraId="42B48E89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RCEP政策利用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：利用区域全面经济伙伴关系协定"技术转移绿色通道"，如深圳某AI视觉技术OPC与泰国高校联合开发农业监测算法，通过联邦学习实现数据不出境协同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</w:p>
    <w:p w14:paraId="1E4F49C0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本地化合作网络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：与当地高校（如泰国朱拉隆功大学）建立联合研发机制，使用开源联邦学习框架FedML实现数据协同，个人创业者可通过"本地数据训练+模型参数共享"模式完成技术适配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</w:p>
    <w:p w14:paraId="48C234EF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轻资产运营模式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：通过云服务与AI工具实现低成本市场拓展</w:t>
      </w:r>
    </w:p>
    <w:p w14:paraId="639FE1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2471A7A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深圳某AI视觉技术OPC通过RCEP"技术转移绿色通道"，与泰国高校联合开发农业监测算法，利用联邦学习实现数据不出境协同，6个月内完成技术落地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</w:p>
    <w:p w14:paraId="2592F669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使用"东南亚标准合同"模板，明确技术转移条件与本地化要求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</w:p>
    <w:p w14:paraId="4D38B7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全球市场准入工具推荐</w:t>
      </w:r>
    </w:p>
    <w:p w14:paraId="2B090E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OPC创业者可使用以下工具辅助国际市场准入：</w:t>
      </w:r>
    </w:p>
    <w:p w14:paraId="33C65BD0">
      <w:pPr>
        <w:pageBreakBefore w:val="0"/>
        <w:numPr>
          <w:ilvl w:val="0"/>
          <w:numId w:val="1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合规评估工具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：Adexa Genies实时监控全球128个国家出口管制清单及关税政策变化，支持设置"AI芯片""加密算法"等关键词预警，每周推送定制化合规报告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[12]</w:t>
      </w:r>
    </w:p>
    <w:p w14:paraId="4CD4B6A2">
      <w:pPr>
        <w:pageBreakBefore w:val="0"/>
        <w:numPr>
          <w:ilvl w:val="0"/>
          <w:numId w:val="1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市场分析工具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：CeMeta的"森宇宙AI营销智能体"分析全球市场需求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[26]</w:t>
      </w:r>
    </w:p>
    <w:p w14:paraId="4790D3AA">
      <w:pPr>
        <w:pageBreakBefore w:val="0"/>
        <w:numPr>
          <w:ilvl w:val="0"/>
          <w:numId w:val="1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知识产权保护工具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：智慧芽的"专利价值评估"系统适配不同国家/地区的知识产权要求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[13]</w:t>
      </w:r>
    </w:p>
    <w:p w14:paraId="4988A14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4AF098C">
      <w:pPr>
        <w:pageBreakBefore w:val="0"/>
        <w:numPr>
          <w:ilvl w:val="0"/>
          <w:numId w:val="1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AI驱动的合规工具将传统合规评估时间从3个月缩短至2周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</w:t>
      </w:r>
    </w:p>
    <w:p w14:paraId="609F958B">
      <w:pPr>
        <w:pageBreakBefore w:val="0"/>
        <w:numPr>
          <w:ilvl w:val="0"/>
          <w:numId w:val="1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市场分析工具可将全球市场调研时间从4周缩短至3天，需求匹配准确率提升35%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[26]</w:t>
      </w:r>
    </w:p>
    <w:p w14:paraId="6285EAE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8.3 跨境合作与竞争策略</w:t>
      </w:r>
    </w:p>
    <w:p w14:paraId="2FB58B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OPC创业者需构建"数据可用不可见"的跨境合作模式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，通过联邦学习等技术实现与全球合作伙伴的高效协作。</w:t>
      </w:r>
    </w:p>
    <w:p w14:paraId="7C2994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联邦学习在跨境合作中的应用</w:t>
      </w:r>
    </w:p>
    <w:p w14:paraId="548930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OPC创业者可利用联邦学习技术实现跨境数据协同：</w:t>
      </w:r>
    </w:p>
    <w:p w14:paraId="6A410CA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联邦迁移学习(FTL)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：适用于不同样本、不同特征维度的技术转移场景，如将中国的技术方案适配到美国市场</w:t>
      </w:r>
    </w:p>
    <w:p w14:paraId="4B10C26E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横向联邦学习(HFL)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：适用于同一样本空间、不同特征空间的场景，如多个OPC创业者联合训练技术评估模型</w:t>
      </w:r>
    </w:p>
    <w:p w14:paraId="78F7BAA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纵向联邦学习(VFL)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：适用于不同样本空间、相同特征空间的场景，如与海外高校合作进行技术验证</w:t>
      </w:r>
    </w:p>
    <w:p w14:paraId="264617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实操案例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E930C3C">
      <w:pPr>
        <w:pageBreakBefore w:val="0"/>
        <w:numPr>
          <w:ilvl w:val="0"/>
          <w:numId w:val="1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个人创业者使用FedML框架实现跨境数据协同：①通过FedML官网下载个人版部署包；②配置本地训练节点；③与海外合作方共享模型参数（全程无需代码开发，参考FedML社区"10分钟上手教程"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[10]</w:t>
      </w:r>
    </w:p>
    <w:p w14:paraId="69C4DCE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区块链技术应用</w:t>
      </w:r>
    </w:p>
    <w:p w14:paraId="662035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OPC创业者可使用区块链技术构建透明、不可篡改的技术转移记录：</w:t>
      </w:r>
    </w:p>
    <w:p w14:paraId="794E1EDD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智能合约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：自动执行技术转移交易条款，减少人为干预</w:t>
      </w:r>
    </w:p>
    <w:p w14:paraId="4D1C9ACE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数据存证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：将技术成果、交易记录上链，确保法律效力</w:t>
      </w:r>
    </w:p>
    <w:p w14:paraId="04F56DB5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溯源系统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：构建技术转移全流程溯源系统，增强信任</w:t>
      </w:r>
    </w:p>
    <w:p w14:paraId="502366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实操指南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504B1A6">
      <w:pPr>
        <w:pageBreakBefore w:val="0"/>
        <w:numPr>
          <w:ilvl w:val="0"/>
          <w:numId w:val="1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优先使用Celo区块链（操作难度低，支持智能合约模板）：①通过Celo Wallet创建账户；②调用"技术转移存证"模板；③上传交易文件哈希值，完成存证（全程耗时＜10分钟）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[11]</w:t>
      </w:r>
    </w:p>
    <w:p w14:paraId="7B925D1E">
      <w:pPr>
        <w:pageBreakBefore w:val="0"/>
        <w:numPr>
          <w:ilvl w:val="0"/>
          <w:numId w:val="1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通过区块链技术将技术转移记录的审核时间从数天缩短至数分钟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[11]</w:t>
      </w:r>
    </w:p>
    <w:p w14:paraId="16783228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建立"链上-链下"数据协同机制，保护核心数据隐私</w:t>
      </w:r>
    </w:p>
    <w:p w14:paraId="1D33D5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全球竞争策略</w:t>
      </w:r>
    </w:p>
    <w:p w14:paraId="792006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OPC创业者需采取以下全球竞争策略：</w:t>
      </w:r>
    </w:p>
    <w:p w14:paraId="74E97953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差异化定位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：利用AI工具挖掘技术独特性，形成竞争优势</w:t>
      </w:r>
    </w:p>
    <w:p w14:paraId="1CE41162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敏捷迭代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：通过轻量化架构实现快速技术迭代与市场响应</w:t>
      </w:r>
    </w:p>
    <w:p w14:paraId="2EDEE9BF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生态协同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：接入全球技术转移网络，获取资源与市场机会</w:t>
      </w:r>
    </w:p>
    <w:p w14:paraId="41270E1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8AB099C">
      <w:pPr>
        <w:pageBreakBefore w:val="0"/>
        <w:numPr>
          <w:ilvl w:val="0"/>
          <w:numId w:val="1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Pieter Levels通过3个AI工具实现全球化运营：①ChatGPT自动回复客户咨询（7×24小时）；②Midjourney生成多语言营销素材（适配欧美/东南亚审美）；③Notion AI自动整理市场反馈报告，每周输出优化建议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[14]</w:t>
      </w:r>
    </w:p>
    <w:p w14:paraId="71971EC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8.4 跨境技术转移工具推荐</w:t>
      </w:r>
    </w:p>
    <w:p w14:paraId="0AE84A2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AI驱动的跨境技术转移工具</w:t>
      </w:r>
    </w:p>
    <w:p w14:paraId="216378F5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OPC创业者可使用以下AI工具辅助跨境技术转移：</w:t>
      </w:r>
    </w:p>
    <w:p w14:paraId="088A1F5B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OPC实操要点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：①使用Adexa Genies完成目标国合规扫描；②通过Celo区块链实现技术转移记录上链；③采用FedML框架进行跨境数据协同，避免数据出境风险</w:t>
      </w:r>
    </w:p>
    <w:tbl>
      <w:tblPr>
        <w:tblStyle w:val="2"/>
        <w:tblW w:w="106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1560"/>
        <w:gridCol w:w="2550"/>
        <w:gridCol w:w="660"/>
        <w:gridCol w:w="2100"/>
        <w:gridCol w:w="2158"/>
      </w:tblGrid>
      <w:tr w14:paraId="6ED48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04C46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工具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5F60B8F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适用场景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1D38E2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优势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1E19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操作难度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791047A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入门资源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65C060DB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安全认证</w:t>
            </w:r>
          </w:p>
        </w:tc>
      </w:tr>
      <w:tr w14:paraId="2788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EC2D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智慧芽Eureka平台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2BF4D0B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专利分析、查新检索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9122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支持多国专利法适配，自动生成符合标准的报告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92B0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中等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09493C1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提供30天免费试用，含新手教程视频（官网）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56E91E24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符合ISO 27001数据安全标准</w:t>
            </w:r>
          </w:p>
        </w:tc>
      </w:tr>
      <w:tr w14:paraId="68AA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9C96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科易网企业需求分析系统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7956D8C6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跨国企业需求匹配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ECD4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精准对接全球技术需求，决策周期缩短40%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EBC4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中等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24158F9E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提供在线培训课程，支持API文档下载（科易网开发者社区）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6932C4E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通过国家信息安全等级保护三级认证</w:t>
            </w:r>
          </w:p>
        </w:tc>
      </w:tr>
      <w:tr w14:paraId="4355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21BD9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Celo区块链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7A7CD493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区块链存证与智能合约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4CC7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操作难度低，支持智能合约模板，全程耗时＜10分钟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BC4FD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低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2E3791A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提供"技术转移存证"模板，含图文教程（Celo官网）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4414BFC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符合GDPR数据隐私要求</w:t>
            </w:r>
          </w:p>
        </w:tc>
      </w:tr>
      <w:tr w14:paraId="5AFD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56B1C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Adexa Genies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4A1EFDBA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跨境合规管理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9CA5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实时监控128国出口管制清单，支持关键词预警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D7A57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低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1853DD7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提供7天免费试用，含合规报告模板（Adexa官网）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03D4FE20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符合ISO 22301业务连续性管理标准</w:t>
            </w:r>
          </w:p>
        </w:tc>
      </w:tr>
      <w:tr w14:paraId="221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6" w:type="dxa"/>
            <w:tcMar>
              <w:left w:w="108" w:type="dxa"/>
              <w:right w:w="108" w:type="dxa"/>
            </w:tcMar>
            <w:vAlign w:val="center"/>
          </w:tcPr>
          <w:p w14:paraId="71507C6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联邦学习平台（FedML）</w:t>
            </w:r>
          </w:p>
        </w:tc>
        <w:tc>
          <w:tcPr>
            <w:tcW w:w="1560" w:type="dxa"/>
            <w:tcMar>
              <w:left w:w="108" w:type="dxa"/>
              <w:right w:w="108" w:type="dxa"/>
            </w:tcMar>
            <w:vAlign w:val="center"/>
          </w:tcPr>
          <w:p w14:paraId="100F95DF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跨境数据协同建模</w:t>
            </w:r>
          </w:p>
        </w:tc>
        <w:tc>
          <w:tcPr>
            <w:tcW w:w="2550" w:type="dxa"/>
            <w:tcMar>
              <w:left w:w="108" w:type="dxa"/>
              <w:right w:w="108" w:type="dxa"/>
            </w:tcMar>
            <w:vAlign w:val="center"/>
          </w:tcPr>
          <w:p w14:paraId="46613DA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支持单人部署，数据不出本地，保护隐私</w:t>
            </w:r>
          </w:p>
        </w:tc>
        <w:tc>
          <w:tcPr>
            <w:tcW w:w="660" w:type="dxa"/>
            <w:tcMar>
              <w:left w:w="108" w:type="dxa"/>
              <w:right w:w="108" w:type="dxa"/>
            </w:tcMar>
            <w:vAlign w:val="center"/>
          </w:tcPr>
          <w:p w14:paraId="25341845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低</w:t>
            </w:r>
          </w:p>
        </w:tc>
        <w:tc>
          <w:tcPr>
            <w:tcW w:w="2100" w:type="dxa"/>
            <w:tcMar>
              <w:left w:w="108" w:type="dxa"/>
              <w:right w:w="108" w:type="dxa"/>
            </w:tcMar>
            <w:vAlign w:val="center"/>
          </w:tcPr>
          <w:p w14:paraId="3D48FA7D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个人版支持本地部署，文档见FedML社区论坛</w:t>
            </w:r>
          </w:p>
        </w:tc>
        <w:tc>
          <w:tcPr>
            <w:tcW w:w="2158" w:type="dxa"/>
            <w:tcMar>
              <w:left w:w="108" w:type="dxa"/>
              <w:right w:w="108" w:type="dxa"/>
            </w:tcMar>
            <w:vAlign w:val="center"/>
          </w:tcPr>
          <w:p w14:paraId="4E2AFCB1">
            <w:pPr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通过国家信息安全等级保护三级</w:t>
            </w:r>
          </w:p>
        </w:tc>
      </w:tr>
    </w:tbl>
    <w:p w14:paraId="5E4F1DEA"/>
    <w:p w14:paraId="553DE3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工具使用效率提升</w:t>
      </w:r>
    </w:p>
    <w:p w14:paraId="2E469B6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OPC创业者可通过以下方法提升工具使用效率：</w:t>
      </w:r>
    </w:p>
    <w:p w14:paraId="748FCFA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API集成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：将常用工具API集成到Notion等平台，实现一键调用</w:t>
      </w:r>
    </w:p>
    <w:p w14:paraId="29485D88">
      <w:pPr>
        <w:pageBreakBefore w:val="0"/>
        <w:numPr>
          <w:ilvl w:val="0"/>
          <w:numId w:val="1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标准化流程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：建立跨境技术转移标准化SOP，核心步骤包括①目标国合规扫描（使用Adexa Genies）；②文化适配清单核查（Notion知识库）；③技术数据加密（采用AES-256算法）；④工具API集成（通过Zapier连接翻译/合同工具）</w:t>
      </w:r>
    </w:p>
    <w:p w14:paraId="0D83D2D4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自动化触发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：设计工具间自动触发机制，如专利检索完成后自动启动需求匹配</w:t>
      </w:r>
    </w:p>
    <w:p w14:paraId="4A2E60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2569F3E">
      <w:pPr>
        <w:pageBreakBefore w:val="0"/>
        <w:numPr>
          <w:ilvl w:val="0"/>
          <w:numId w:val="2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API集成可将工具切换时间从5分钟缩短至10秒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[26]</w:t>
      </w:r>
    </w:p>
    <w:p w14:paraId="7B2FE94F">
      <w:pPr>
        <w:pageBreakBefore w:val="0"/>
        <w:numPr>
          <w:ilvl w:val="0"/>
          <w:numId w:val="2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标准化流程可将跨境技术转移周期从3个月缩短至4周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[27]</w:t>
      </w:r>
    </w:p>
    <w:p w14:paraId="31DDBDA0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自动化触发机制可减少人为操作错误，提高流程可靠性</w:t>
      </w:r>
    </w:p>
    <w:p w14:paraId="7C9A4BF7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OPC实操要点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：①优先选择操作难度低且提供入门资源的工具（如Celo区块链、FedML）；②严格执行标准化SOP，重点完成合规扫描与数据加密；③定期更新工具安全认证状态，确保符合目标国法规要求</w:t>
      </w:r>
    </w:p>
    <w:p w14:paraId="36DBBC9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  <w:szCs w:val="22"/>
        </w:rPr>
      </w:pPr>
    </w:p>
    <w:p w14:paraId="021D7207">
      <w:pPr>
        <w:pageBreakBefore w:val="0"/>
        <w:wordWrap/>
        <w:spacing w:before="160" w:after="0"/>
        <w:ind w:left="0" w:leftChars="0" w:right="0" w:right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36"/>
          <w:szCs w:val="22"/>
        </w:rPr>
        <w:t>参考文献</w:t>
      </w:r>
    </w:p>
    <w:p w14:paraId="1EDAFE43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bookmarkStart w:id="0" w:name="_GoBack"/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bookmarkEnd w:id="0"/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Hofstede文化维度数据库. 文化维度与跨国商业行为研究. 2025. 荷兰Hofstede Insights机构.</w:t>
      </w:r>
    </w:p>
    <w:p w14:paraId="2410A1DE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全球管理咨询协会. 全球商业决策模式报告2024. 2024. 全球管理咨询协会（GMCA）.</w:t>
      </w:r>
    </w:p>
    <w:p w14:paraId="6D10407E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中国国际贸易促进委员会. 跨境技术转移法律实践指南. 2025. 中国国际贸易促进委员会（CCPIT）.</w:t>
      </w:r>
    </w:p>
    <w:p w14:paraId="4724E43A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DeepSeek. 跨语言翻译白皮书. 2025. 北京深度求索科技有限公司.</w:t>
      </w:r>
    </w:p>
    <w:p w14:paraId="07B95ADD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国际远程工作协会. 远程协作效率报告2024. 2024. 国际远程工作协会（IRWA）.</w:t>
      </w:r>
    </w:p>
    <w:p w14:paraId="389A1EB9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欧洲议会与欧盟理事会. 人工智能法案. 2024. 欧洲议会与欧盟理事会.</w:t>
      </w:r>
    </w:p>
    <w:p w14:paraId="1C205E6F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东盟秘书处. 区域全面经济伙伴关系协定（RCEP）技术转移案例集2025. 2025. 东盟秘书处.</w:t>
      </w:r>
    </w:p>
    <w:p w14:paraId="0C87C2E4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联合国贸发会议. 2025全球技术转移效率报告. 2025. 联合国贸发会议（UNCTAD）.</w:t>
      </w:r>
    </w:p>
    <w:p w14:paraId="79848202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9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全国人大常委会. 数据安全法与个人信息保护法. 2021. 全国人大常委会.</w:t>
      </w:r>
    </w:p>
    <w:p w14:paraId="6CEAA04D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联邦学习开源社区. FedML官网“个人开发者指南”. 2025. 联邦学习开源社区.</w:t>
      </w:r>
    </w:p>
    <w:p w14:paraId="174D73C1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Celo基金会. Celo区块链“技术转移存证”模板使用指南. 2025. Celo基金会.</w:t>
      </w:r>
    </w:p>
    <w:p w14:paraId="637411C8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Adexa公司. Adexa Genies合规平台用户手册. 2025. Adexa公司.</w:t>
      </w:r>
    </w:p>
    <w:p w14:paraId="55BA6369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智慧芽信息科技有限公司. 智慧芽Eureka平台“专利价值评估”系统技术白皮书. 2025. 智慧芽信息科技有限公司.</w:t>
      </w:r>
    </w:p>
    <w:p w14:paraId="388BEFB8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Pieter Levels. 一人公司全球化运营指南2025. 2025. 独立创业者联盟.</w:t>
      </w:r>
    </w:p>
    <w:p w14:paraId="1C042945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中国-东盟技术转移中心. RCEP技术转移典型案例集. 2025. 中国-东盟技术转移中心.</w:t>
      </w:r>
    </w:p>
    <w:p w14:paraId="089171D5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东南亚国家联盟. 东南亚技术转移报告2024. 2024. 东南亚国家联盟（ASEAN）.</w:t>
      </w:r>
    </w:p>
    <w:p w14:paraId="5C364574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Hofstede, G. Cultural Dimensions in Global Business. 2025. Sage Publications.</w:t>
      </w:r>
    </w:p>
    <w:p w14:paraId="5E8C9FF6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Siegel, D. et al. University Technology Transfer Efficiency: A Comparative Study. 2025. Research Policy, 54(3).</w:t>
      </w:r>
    </w:p>
    <w:p w14:paraId="64D7D2BA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19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世界经济论坛. 2025年全球技术治理报告. 2025. 世界经济论坛（WEF）.</w:t>
      </w:r>
    </w:p>
    <w:p w14:paraId="6107F26C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专知智库OPC研究院. 全球OPC经济体发展白皮书（2026）. 2026. 专知智库OPC研究院.</w:t>
      </w:r>
    </w:p>
    <w:p w14:paraId="6E02DA23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北京前沿未来科技产业发展研究院. 全球人工智能变革背景下OPC创业态势和趋势报告（2026年）. 2026. 北京前沿未来科技产业发展研究院.</w:t>
      </w:r>
    </w:p>
    <w:p w14:paraId="0014460A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国家市场监管总局. 中国OPC发展调研报告2026. 2026. 国家市场监管总局.</w:t>
      </w:r>
    </w:p>
    <w:p w14:paraId="501534BA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广东省发展改革委. 广东省支持人工智能OPC创新发展行动方案（2026—2028年）. 2026. 广东省发展改革委.</w:t>
      </w:r>
    </w:p>
    <w:p w14:paraId="09A08B52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企业存储技术公众号. 2025 OCP Global Summit 分论坛主题预览. 2025. 企业存储技术公众号.</w:t>
      </w:r>
    </w:p>
    <w:p w14:paraId="7F406118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OCP基金会. OPC AI开放系统白皮书：可扩展基础设施蓝图. 2025. OCP基金会.</w:t>
      </w:r>
    </w:p>
    <w:p w14:paraId="00821D58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CeMeta. 2025工具集成效率报告. 2025. CeMeta.</w:t>
      </w:r>
    </w:p>
    <w:p w14:paraId="5007ECBA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[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27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szCs w:val="22"/>
          <w:lang w:val="en-US" w:eastAsia="zh-CN"/>
        </w:rPr>
        <w:t>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. 全球技术转移SOP实践指南. 2025. 全球技术转移SOP实践指南.</w:t>
      </w:r>
    </w:p>
    <w:p>
      <w:r>
        <w:br w:type="page"/>
      </w:r>
    </w:p>
    <w:p>
      <w:r>
        <w:rPr>
          <w:b/>
          <w:sz w:val="30"/>
        </w:rPr>
        <w:t>8.5 中美科研体系改革对照与OPC全球化机遇（2026年7月更新）</w:t>
      </w:r>
    </w:p>
    <w:p>
      <w:r>
        <w:rPr>
          <w:b/>
          <w:sz w:val="26"/>
        </w:rPr>
        <w:t>（1）白宫《科学：一个新的黄金时代》核心内容</w:t>
      </w:r>
    </w:p>
    <w:p>
      <w:r>
        <w:rPr>
          <w:sz w:val="22"/>
        </w:rPr>
        <w:t>2026年7月21日，美国白宫科技政策办公室主任迈克尔·克拉齐奥斯向特朗普提交123页报告《科学：一个新的黄金时代》。报告以1945年万尼瓦尔·布什的《科学：无尽的前沿》为历史参照，试图重新划分政府、大学、企业和科学家在科研体系中的角色。</w:t>
      </w:r>
    </w:p>
    <w:p>
      <w:r>
        <w:rPr>
          <w:sz w:val="22"/>
        </w:rPr>
        <w:t>报告核心改革方案包括：</w:t>
      </w:r>
    </w:p>
    <w:p>
      <w:r>
        <w:rPr>
          <w:sz w:val="22"/>
        </w:rPr>
        <w:t>- X-Labs：10-100人敏捷团队围绕明确技术瓶颈工作，NSF计划十年投入15亿美元。任务完成后便结束运作，填补"超出单个实验室能力、又不需要国家大科学装置规模"的空白。</w:t>
      </w:r>
    </w:p>
    <w:p>
      <w:r>
        <w:rPr>
          <w:sz w:val="22"/>
        </w:rPr>
        <w:t>- "黄金票"评审机制：允许单个评审人支持未获委员会共识的高风险项目，减少同行评议维护既有共识的倾向。</w:t>
      </w:r>
    </w:p>
    <w:p>
      <w:r>
        <w:rPr>
          <w:sz w:val="22"/>
        </w:rPr>
        <w:t>- Genesis Mission：连接能源部17个国家实验室的超级计算机、科学仪器、模型和数据，构建"美国科学与安全平台"，目标十年内让美国科研生产率和影响力提高一倍。</w:t>
      </w:r>
    </w:p>
    <w:p>
      <w:r>
        <w:rPr>
          <w:sz w:val="22"/>
        </w:rPr>
        <w:t>- "科学验证器"：设想中的专业智能体可读取论文、重建计算环境、运行分析代码，将运行结果与论文结论进行比较，应对AI加速科研后的验证瓶颈。</w:t>
      </w:r>
    </w:p>
    <w:p>
      <w:r>
        <w:rPr>
          <w:sz w:val="22"/>
        </w:rPr>
        <w:t>- 制造能力回归：联邦实验室向企业开放设备，设施评估纳入商业紧迫性；将实习、学徒制和设备操作纳入科学与工程学位。</w:t>
      </w:r>
    </w:p>
    <w:p>
      <w:r>
        <w:rPr>
          <w:b/>
          <w:sz w:val="26"/>
        </w:rPr>
        <w:t>（2）苏州双平台+三生态的对照分析</w:t>
      </w:r>
    </w:p>
    <w:p>
      <w:r>
        <w:rPr>
          <w:sz w:val="22"/>
        </w:rPr>
        <w:t>苏州的OPC实践以一种不同的制度文化给出了自己的回答：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苏州双平台+三生态</w:t>
            </w:r>
          </w:p>
        </w:tc>
        <w:tc>
          <w:tcPr>
            <w:tcW w:type="dxa" w:w="2880"/>
          </w:tcPr>
          <w:p>
            <w:r>
              <w:t>白宫新的黄金时代</w:t>
            </w:r>
          </w:p>
        </w:tc>
      </w:tr>
      <w:tr>
        <w:tc>
          <w:tcPr>
            <w:tcW w:type="dxa" w:w="2880"/>
          </w:tcPr>
          <w:p>
            <w:r>
              <w:t>改革路径</w:t>
            </w:r>
          </w:p>
        </w:tc>
        <w:tc>
          <w:tcPr>
            <w:tcW w:type="dxa" w:w="2880"/>
          </w:tcPr>
          <w:p>
            <w:r>
              <w:t>自下而上搭建生态</w:t>
            </w:r>
          </w:p>
        </w:tc>
        <w:tc>
          <w:tcPr>
            <w:tcW w:type="dxa" w:w="2880"/>
          </w:tcPr>
          <w:p>
            <w:r>
              <w:t>自上而下重构体系</w:t>
            </w:r>
          </w:p>
        </w:tc>
      </w:tr>
      <w:tr>
        <w:tc>
          <w:tcPr>
            <w:tcW w:type="dxa" w:w="2880"/>
          </w:tcPr>
          <w:p>
            <w:r>
              <w:t>敏捷团队</w:t>
            </w:r>
          </w:p>
        </w:tc>
        <w:tc>
          <w:tcPr>
            <w:tcW w:type="dxa" w:w="2880"/>
          </w:tcPr>
          <w:p>
            <w:r>
              <w:t>双平台共享+三角色工作台</w:t>
            </w:r>
          </w:p>
        </w:tc>
        <w:tc>
          <w:tcPr>
            <w:tcW w:type="dxa" w:w="2880"/>
          </w:tcPr>
          <w:p>
            <w:r>
              <w:t>X-Labs（10-100人敏捷团队）</w:t>
            </w:r>
          </w:p>
        </w:tc>
      </w:tr>
      <w:tr>
        <w:tc>
          <w:tcPr>
            <w:tcW w:type="dxa" w:w="2880"/>
          </w:tcPr>
          <w:p>
            <w:r>
              <w:t>资源打通</w:t>
            </w:r>
          </w:p>
        </w:tc>
        <w:tc>
          <w:tcPr>
            <w:tcW w:type="dxa" w:w="2880"/>
          </w:tcPr>
          <w:p>
            <w:r>
              <w:t>AI创新联合体（高校+大厂）</w:t>
            </w:r>
          </w:p>
        </w:tc>
        <w:tc>
          <w:tcPr>
            <w:tcW w:type="dxa" w:w="2880"/>
          </w:tcPr>
          <w:p>
            <w:r>
              <w:t>Genesis Mission（17个国家实验室）</w:t>
            </w:r>
          </w:p>
        </w:tc>
      </w:tr>
      <w:tr>
        <w:tc>
          <w:tcPr>
            <w:tcW w:type="dxa" w:w="2880"/>
          </w:tcPr>
          <w:p>
            <w:r>
              <w:t>信任机制</w:t>
            </w:r>
          </w:p>
        </w:tc>
        <w:tc>
          <w:tcPr>
            <w:tcW w:type="dxa" w:w="2880"/>
          </w:tcPr>
          <w:p>
            <w:r>
              <w:t>知识产权运营协会增信+学校持股</w:t>
            </w:r>
          </w:p>
        </w:tc>
        <w:tc>
          <w:tcPr>
            <w:tcW w:type="dxa" w:w="2880"/>
          </w:tcPr>
          <w:p>
            <w:r>
              <w:t>黄金票评审机制</w:t>
            </w:r>
          </w:p>
        </w:tc>
      </w:tr>
      <w:tr>
        <w:tc>
          <w:tcPr>
            <w:tcW w:type="dxa" w:w="2880"/>
          </w:tcPr>
          <w:p>
            <w:r>
              <w:t>验证体系</w:t>
            </w:r>
          </w:p>
        </w:tc>
        <w:tc>
          <w:tcPr>
            <w:tcW w:type="dxa" w:w="2880"/>
          </w:tcPr>
          <w:p>
            <w:r>
              <w:t>概念验证中心（440m+500m融创工坊）</w:t>
            </w:r>
          </w:p>
        </w:tc>
        <w:tc>
          <w:tcPr>
            <w:tcW w:type="dxa" w:w="2880"/>
          </w:tcPr>
          <w:p>
            <w:r>
              <w:t>科学验证器（设想中）</w:t>
            </w:r>
          </w:p>
        </w:tc>
      </w:tr>
      <w:tr>
        <w:tc>
          <w:tcPr>
            <w:tcW w:type="dxa" w:w="2880"/>
          </w:tcPr>
          <w:p>
            <w:r>
              <w:t>制造回归</w:t>
            </w:r>
          </w:p>
        </w:tc>
        <w:tc>
          <w:tcPr>
            <w:tcW w:type="dxa" w:w="2880"/>
          </w:tcPr>
          <w:p>
            <w:r>
              <w:t>硬件评估+打样工坊+供应链图谱</w:t>
            </w:r>
          </w:p>
        </w:tc>
        <w:tc>
          <w:tcPr>
            <w:tcW w:type="dxa" w:w="2880"/>
          </w:tcPr>
          <w:p>
            <w:r>
              <w:t>联邦实验室向企业开放设备</w:t>
            </w:r>
          </w:p>
        </w:tc>
      </w:tr>
    </w:tbl>
    <w:p>
      <w:r>
        <w:rPr>
          <w:b/>
          <w:sz w:val="26"/>
        </w:rPr>
        <w:t>（3）对OPC全球化发展的启示</w:t>
      </w:r>
    </w:p>
    <w:p>
      <w:r>
        <w:rPr>
          <w:sz w:val="22"/>
        </w:rPr>
        <w:t>- 殊途同归：中美两国在科研体系改革上选择了不同路径，但核心目标一致——打通科研与产业的"最初一公里"与"最后一公里"。OPC创业者在全球化过程中，可以同时借鉴两种模式的经验。</w:t>
      </w:r>
    </w:p>
    <w:p>
      <w:r>
        <w:rPr>
          <w:sz w:val="22"/>
        </w:rPr>
        <w:t>- OPC与X-Labs的规模互补：白宫报告提出的X-Labs（10-100人）与OPC模式（1人+AI）形成规模互补——X-Labs适合需要团队协作的技术瓶颈攻关，OPC适合轻资产、可复制的业务模式。两者可以构成"重-轻"搭配的创新生态。</w:t>
      </w:r>
    </w:p>
    <w:p>
      <w:r>
        <w:rPr>
          <w:sz w:val="22"/>
        </w:rPr>
        <w:t>- 制造能力是核心竞争力：白宫报告强调"当提出假设的成本持续下降，建造、测试和验证将成为科研竞争的核心资源"。这与苏州HW-OPC平台的设计理念高度一致。OPC创业者在全球化布局中，应重视制造能力和验证体系的本地化建设。</w:t>
      </w:r>
    </w:p>
    <w:p>
      <w:r>
        <w:rPr>
          <w:sz w:val="22"/>
        </w:rPr>
        <w:t>- 验证体系建设迫在眉睫：白宫报告提出"科学验证器"概念，应对AI加速科研后的验证瓶颈。OPC创业者在进入欧盟等严格监管市场时，需要特别关注技术验证的标准化和可信度问题。</w:t>
      </w:r>
    </w:p>
    <w:p>
      <w:r>
        <w:rPr>
          <w:sz w:val="22"/>
        </w:rPr>
        <w:t>- 沪苏OPC生态合作的国际化意义：WAIC 2026首次设立OPC专区，沪苏OPC生态合作签约（场景互通、人才互认、生态互鉴），标志着中国OPC实践开始走向国际舞台。OPC创业者可以利用WAIC等国际平台，对接全球资源和市场。</w:t>
      </w:r>
    </w:p>
    <w:p>
      <w:r>
        <w:rPr>
          <w:sz w:val="22"/>
        </w:rPr>
      </w:r>
    </w:p>
    <w:p>
      <w:r>
        <w:rPr>
          <w:sz w:val="22"/>
        </w:rPr>
        <w:t>参考资料：白宫科技政策办公室，《Science: A New Golden Age》，2026年7月21日发布，123页。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B4B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EE34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91995D4F"/>
    <w:multiLevelType w:val="multilevel"/>
    <w:tmpl w:val="91995D4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8CEF35B"/>
    <w:multiLevelType w:val="multilevel"/>
    <w:tmpl w:val="B8CEF35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B64CFA9"/>
    <w:multiLevelType w:val="multilevel"/>
    <w:tmpl w:val="BB64CFA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E093A4B0"/>
    <w:multiLevelType w:val="multilevel"/>
    <w:tmpl w:val="E093A4B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F7735DC9"/>
    <w:multiLevelType w:val="multilevel"/>
    <w:tmpl w:val="F7735DC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243FCF68"/>
    <w:multiLevelType w:val="multilevel"/>
    <w:tmpl w:val="243FCF6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30FC5B15"/>
    <w:multiLevelType w:val="multilevel"/>
    <w:tmpl w:val="30FC5B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4D94DA66"/>
    <w:multiLevelType w:val="multilevel"/>
    <w:tmpl w:val="4D94DA6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58765686"/>
    <w:multiLevelType w:val="multilevel"/>
    <w:tmpl w:val="5876568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77ECEA79"/>
    <w:multiLevelType w:val="multilevel"/>
    <w:tmpl w:val="77ECEA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79AA4FA4"/>
    <w:multiLevelType w:val="multilevel"/>
    <w:tmpl w:val="79AA4FA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7DEC2089"/>
    <w:multiLevelType w:val="multilevel"/>
    <w:tmpl w:val="7DEC208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4"/>
  </w:num>
  <w:num w:numId="2">
    <w:abstractNumId w:val="18"/>
  </w:num>
  <w:num w:numId="3">
    <w:abstractNumId w:val="16"/>
  </w:num>
  <w:num w:numId="4">
    <w:abstractNumId w:val="7"/>
  </w:num>
  <w:num w:numId="5">
    <w:abstractNumId w:val="15"/>
  </w:num>
  <w:num w:numId="6">
    <w:abstractNumId w:val="3"/>
  </w:num>
  <w:num w:numId="7">
    <w:abstractNumId w:val="12"/>
  </w:num>
  <w:num w:numId="8">
    <w:abstractNumId w:val="1"/>
  </w:num>
  <w:num w:numId="9">
    <w:abstractNumId w:val="14"/>
  </w:num>
  <w:num w:numId="10">
    <w:abstractNumId w:val="19"/>
  </w:num>
  <w:num w:numId="11">
    <w:abstractNumId w:val="0"/>
  </w:num>
  <w:num w:numId="12">
    <w:abstractNumId w:val="10"/>
  </w:num>
  <w:num w:numId="13">
    <w:abstractNumId w:val="13"/>
  </w:num>
  <w:num w:numId="14">
    <w:abstractNumId w:val="9"/>
  </w:num>
  <w:num w:numId="15">
    <w:abstractNumId w:val="8"/>
  </w:num>
  <w:num w:numId="16">
    <w:abstractNumId w:val="11"/>
  </w:num>
  <w:num w:numId="17">
    <w:abstractNumId w:val="17"/>
  </w:num>
  <w:num w:numId="18">
    <w:abstractNumId w:val="6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6041290"/>
    <w:rsid w:val="4C5A2353"/>
    <w:rsid w:val="559526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2532</Words>
  <Characters>2792</Characters>
  <TotalTime>45</TotalTime>
  <ScaleCrop>false</ScaleCrop>
  <LinksUpToDate>false</LinksUpToDate>
  <CharactersWithSpaces>2815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2026-03-31T08:47:46Z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iO8eIYo6F3NhSj+k2YnLuq7uNmNiR7TfkEzQhFEtnEs=","ProduceID":"doc_sgs:fde81830-2267-4410-8aac-8fb64355f45e","ReservedCode2":"iO8eIYo6F3NhSj+k2YnLuq7uNmNiR7TfkEzQhFEtnEs=","PropagateID":"doc_sgs:fde81830-2267-4410-8aac-8fb64355f45e","ContentProducer":"001191440101MA9Y9T4H7A00000"}</vt:lpwstr>
  </property>
  <property fmtid="{D5CDD505-2E9C-101B-9397-08002B2CF9AE}" pid="3" name="KSOProductBuildVer">
    <vt:lpwstr>2052-12.1.0.25222</vt:lpwstr>
  </property>
  <property fmtid="{D5CDD505-2E9C-101B-9397-08002B2CF9AE}" pid="4" name="ICV">
    <vt:lpwstr>35BBFCC1E08441D1AD061035C3E93CFD_13</vt:lpwstr>
  </property>
  <property fmtid="{D5CDD505-2E9C-101B-9397-08002B2CF9AE}" pid="5" name="KSOTemplateDocerSaveRecord">
    <vt:lpwstr>eyJoZGlkIjoiODY3YjA1NmUyMjVkZTE1N2YzNjBhNGMyZmE2YzBlNDgiLCJ1c2VySWQiOiIxNjc2MTQ0NTQifQ==</vt:lpwstr>
  </property>
</Properties>
</file>