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E825A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在人工智能技术迅猛发展的今天，"一人公司"（One Person Company, OPC）正从传统意义上的"单人企业"演变为"AI+个体"深度协同的创新范式。OPC创业者借助AI工具，能够独立完成从技术发现、需求匹配、开发优化到商业化推广的全链路业务闭环，实现"单人成军"的创业模式。</w:t>
      </w:r>
    </w:p>
    <w:p w14:paraId="31435BA6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《AI赋能技术转移OPC运营实操》一书旨在为这一新兴业态提供系统性指导，帮助技术创业者高效利用AI工具，突破传统技术转移的资源限制与流程瓶颈，实现轻资产、高效率的个人创业梦想。</w:t>
      </w:r>
    </w:p>
    <w:p w14:paraId="1D3D1C4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一、OPC模式在AI技术转移领域的独特价值与运作机制</w:t>
      </w:r>
    </w:p>
    <w:p w14:paraId="189DF53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OPC模式的定义与内涵演变</w:t>
      </w:r>
    </w:p>
    <w:p w14:paraId="43DBC917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并非简单的"单人公司"，而是"个人+AI"协同的创新组织形态。在AI技术赋能下，OPC创业者能够独立完成技术转移全链路业务，实现"把公司开在笔记本里，把生意跑在云端上"的轻创业模式。这种模式的核心在于通过AI工具将个人能力扩展为"虚拟团队"，使个体创业者能够以更低成本、更高效率地参与技术转移市场。</w:t>
      </w:r>
    </w:p>
    <w:p w14:paraId="581D6FE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核心运作机制</w:t>
      </w:r>
    </w:p>
    <w:p w14:paraId="140A5CC7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OPC技术转移的运作机制可以概括为"单人牵头、AI赋能、协同作战"。具体包括：</w:t>
      </w:r>
    </w:p>
    <w:p w14:paraId="7B9274B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"一人一部门"架构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：创始人作为核心决策者，同时承担多个职能角色，如技术评估、需求分析、产品开发等，通过AI工具实现各环节的无缝衔接  。</w:t>
      </w:r>
    </w:p>
    <w:p w14:paraId="64E1EE5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轻量化运营模式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：借助政策支持（如苏州工业园区的商务托管登记）与AI工具（如智能匹配引擎、知识图谱平台），实现注册地与实际经营地分离，降低创业门槛  。</w:t>
      </w:r>
    </w:p>
    <w:p w14:paraId="687D6FB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全链路闭环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：OPC创业者通过AI工具完成技术发现、评估、匹配、开发、商业化推广及法律合规的全流程，形成自主可控的技术转移闭环  。</w:t>
      </w:r>
    </w:p>
    <w:p w14:paraId="2533BBCA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OPC模式在技术转移中的独特价值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主要体现在三个方面：一是</w:t>
      </w:r>
      <w:r>
        <w:rPr>
          <w:rFonts w:ascii="宋体" w:hAnsi="宋体" w:eastAsia="宋体" w:cs="宋体"/>
          <w:b/>
          <w:i w:val="0"/>
          <w:spacing w:val="0"/>
          <w:sz w:val="24"/>
        </w:rPr>
        <w:t>资源效率最大化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，通过AI工具将有限人力转化为多维度能力；二是</w:t>
      </w:r>
      <w:r>
        <w:rPr>
          <w:rFonts w:ascii="宋体" w:hAnsi="宋体" w:eastAsia="宋体" w:cs="宋体"/>
          <w:b/>
          <w:i w:val="0"/>
          <w:spacing w:val="0"/>
          <w:sz w:val="24"/>
        </w:rPr>
        <w:t>创新门槛降低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，使个人创业者能够参与原本需要团队协作的技术转移项目；三是</w:t>
      </w:r>
      <w:r>
        <w:rPr>
          <w:rFonts w:ascii="宋体" w:hAnsi="宋体" w:eastAsia="宋体" w:cs="宋体"/>
          <w:b/>
          <w:i w:val="0"/>
          <w:spacing w:val="0"/>
          <w:sz w:val="24"/>
        </w:rPr>
        <w:t>灵活响应市场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，OPC的轻量化架构使其能够快速调整技术路线与商业模式，适应市场变化  。</w:t>
      </w:r>
    </w:p>
    <w:p w14:paraId="62BA84A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二、AI工具在技术转移全流程中的具体应用场景与效率提升</w:t>
      </w:r>
    </w:p>
    <w:p w14:paraId="325CAB3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技术发现与评估阶段</w:t>
      </w:r>
    </w:p>
    <w:p w14:paraId="0912EF16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在技术发现与评估环节，OPC创业者可借助AI工具显著提升效率：</w:t>
      </w:r>
    </w:p>
    <w:p w14:paraId="581A5A6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智能技术评估系统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：如科易网的"专利快筛智能系统"，能从科学价值、技术价值、市场价值等维度构建量化评估体系，将传统数周的评估周期缩短至数小时，评估准确率提升20%  。</w:t>
      </w:r>
    </w:p>
    <w:p w14:paraId="26CD35E7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AI查新检索工具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：智慧芽的"查新检索AI Agent"可一键输出完整查新报告，给出相关对比文件，并生成可解释的新颖性评述，大幅减少检索时间  。</w:t>
      </w:r>
    </w:p>
    <w:p w14:paraId="6D996EDC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技术趋势预测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：基于大数据与机器学习的AI系统可分析技术发展趋势，提前识别潜在技术转化机会，为OPC创业者提供前瞻视角。</w:t>
      </w:r>
    </w:p>
    <w:p w14:paraId="5987EA4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需求匹配与对接阶段</w:t>
      </w:r>
    </w:p>
    <w:p w14:paraId="1524203D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需求匹配是技术转移的关键环节，AI工具可在此阶段发挥重要作用：</w:t>
      </w:r>
    </w:p>
    <w:p w14:paraId="34E4442F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智能匹配引擎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：如科易网的"企业需求分析系统"，能够基于企业现有技术短板与市场趋势，生成技术需求建议清单，并匹配解决方案路径，将供需对接成功率提升至更高水平，决策周期缩短40%  。</w:t>
      </w:r>
    </w:p>
    <w:p w14:paraId="732F1904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跨语言沟通工具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：在跨国技术转移场景中，AI翻译工具可辅助跨越语言与文化障碍，提升合作谈判效率  。</w:t>
      </w:r>
    </w:p>
    <w:p w14:paraId="5912DEEF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区块链技术应用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：AI支持的区块链系统可构建透明、不可篡改的技术转移记录，确保每一次交易的公正公平，有效防止知识产权侵权行为  。</w:t>
      </w:r>
    </w:p>
    <w:p w14:paraId="7FE59C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技术开发与优化阶段</w:t>
      </w:r>
    </w:p>
    <w:p w14:paraId="7A3F2AD1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技术开发是OPC运营的难点，也是AI赋能的重头戏：</w:t>
      </w:r>
    </w:p>
    <w:p w14:paraId="700997B0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代码生成工具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：GitHub Copilot、Code Swarm等AI工具可自动化生成技术代码，减少50%以上的开发时间  。</w:t>
      </w:r>
    </w:p>
    <w:p w14:paraId="29B7C7BE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仿真模拟系统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：AI驱动的仿真工具可替代部分物理实验，加速技术验证与优化。</w:t>
      </w:r>
    </w:p>
    <w:p w14:paraId="029F357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自动化测试平台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：AI工具可实现技术功能的自动化测试，提高开发质量与效率  。</w:t>
      </w:r>
    </w:p>
    <w:p w14:paraId="30B3194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 商业化与推广阶段</w:t>
      </w:r>
    </w:p>
    <w:p w14:paraId="788278B1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技术商业化是OPC运营的关键环节，AI工具可在此阶段提供强大支持：</w:t>
      </w:r>
    </w:p>
    <w:p w14:paraId="3DA0AC71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AI营销内容生成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：如CeMeta的"森宇宙AI营销智能体"，可在10分钟内生成电商详情页方案，效率较人工提升50倍，点击率提升20%  。</w:t>
      </w:r>
    </w:p>
    <w:p w14:paraId="060070E5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销售智能体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：如VertGrow的"AI销冠智能体平台"，可实现全链路销售自动化，转化率提升52%，客户互动分析支持动态策略调整  。</w:t>
      </w:r>
    </w:p>
    <w:p w14:paraId="2DE97D4B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数据分析工具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：AI驱动的数据分析平台可实时追踪市场反馈，优化产品定位与推广策略  。</w:t>
      </w:r>
    </w:p>
    <w:p w14:paraId="73B7770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 法律合规与知识产权保护阶段</w:t>
      </w:r>
    </w:p>
    <w:p w14:paraId="55A50604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法律合规是技术转移不可忽视的一环，AI工具可提供有效支持：</w:t>
      </w:r>
    </w:p>
    <w:p w14:paraId="201F75E6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AI合同生成系统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：千律科技的智能合同生成工具可基于用户输入的关键信息，自动调用、组装、适配并优化条款，实现"分钟级"高质量合同输出，条款风险提示准确率高  。</w:t>
      </w:r>
    </w:p>
    <w:p w14:paraId="14E15D79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知识产权保护系统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：AI工具可自动监控技术侵权行为，识别潜在风险，提供应对策略  。</w:t>
      </w:r>
    </w:p>
    <w:p w14:paraId="0D933924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数据安全管理认证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：通过CCRC认证的数据安全工具可确保技术转移过程中的数据安全，符合《数据安全法》《个人信息保护法》等法规要求  。</w:t>
      </w:r>
    </w:p>
    <w:p w14:paraId="160BC886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AI工具在技术转移全流程中的效率提升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主要体现在：将传统数周的专利评估周期缩短至数小时；将供需对接成功率提升至更高水平；将开发时间减少50%以上；将营销内容生成效率提升50-80倍；将合同起草时间从数小时缩短至数分钟。这些效率提升使OPC创业者能够以个人之力完成原本需要团队协作的技术转移项目  。</w:t>
      </w:r>
    </w:p>
    <w:p w14:paraId="63577D8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三、OPC技术转移成功案例的关键要素与常见挑战</w:t>
      </w:r>
    </w:p>
    <w:p w14:paraId="1C3C39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成功案例分析</w:t>
      </w:r>
    </w:p>
    <w:p w14:paraId="090592E0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(1) 苏州画宗人工智能科技有限公司</w:t>
      </w:r>
    </w:p>
    <w:p w14:paraId="4CDF98C8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苏州画宗作为江苏首个落户的AIGC视频领域OPC，成功制作了国内首部时长42分钟的原创AI动画长片《一掌熊猫》，并在互联网上爆火。其成功关键要素包括：</w:t>
      </w:r>
    </w:p>
    <w:p w14:paraId="49DE9229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AI工具深度整合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：使用智能体生成场景优化建议（10分钟内），分类提示词库（300+）提升创作效率  。</w:t>
      </w:r>
    </w:p>
    <w:p w14:paraId="7705B16B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轻量化团队协作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：4人核心团队"一人一部门"，AI作为"数字助手"填补专业技能缺口  。</w:t>
      </w:r>
    </w:p>
    <w:p w14:paraId="15ED7B25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政策支持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：苏州工业园区提供商务托管登记、算力资源，加速从"散装创业"到规范化运营的转变  。</w:t>
      </w:r>
    </w:p>
    <w:p w14:paraId="382F5FAE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快速市场响应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：客户修改意见通过AI生成3个修改方案，团队20分钟内反馈，显著缩短了传统团队反复讨论的周期  。</w:t>
      </w:r>
    </w:p>
    <w:p w14:paraId="57561790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(2) 深圳睿脑科技</w:t>
      </w:r>
    </w:p>
    <w:p w14:paraId="550097E2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睿脑科技是一家由香港中文大学（深圳）、北京理工大学等高校的博士、硕士共同成立的科技交叉创业团队，专注于脑机接口与人工智能核心技术的研发。其成功关键要素包括：</w:t>
      </w:r>
    </w:p>
    <w:p w14:paraId="24528025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跨学科团队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：联合高校资源进行技术研发，结合脑机接口与康复医学技术。</w:t>
      </w:r>
    </w:p>
    <w:p w14:paraId="5AC27D85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技术独特性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：开发出一套软硬件结合的脑电设备，提升信号采集精度和解码准确性  。</w:t>
      </w:r>
    </w:p>
    <w:p w14:paraId="532B7502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政策与资源支持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：深圳作为创新示范区提供研发资金与产业对接资源，粤港澳大湾区的协同发展为其带来商机  。</w:t>
      </w:r>
    </w:p>
    <w:p w14:paraId="0958663E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产学研合作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：依托香港中文大学（深圳）医学院及创新创业处的创新资源，加强与工业界和临床医学的深度合作  。</w:t>
      </w:r>
    </w:p>
    <w:p w14:paraId="192288C8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(3) 陈云飞的独立开发者模式</w:t>
      </w:r>
    </w:p>
    <w:p w14:paraId="490CD340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从互联网大厂离职的陈云飞，利用AI工具实现了从用户研究到产品开发的转型。其成功关键要素包括：</w:t>
      </w:r>
    </w:p>
    <w:p w14:paraId="0BB47325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经验复用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：用户研究与运营经验指导产品开发与推广，避免了"自嗨式开发"的误区  。</w:t>
      </w:r>
    </w:p>
    <w:p w14:paraId="66D9AC14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低成本启动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：AI工具降低编程门槛，1小时开发App并成功商业化。</w:t>
      </w:r>
    </w:p>
    <w:p w14:paraId="494A08F6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社群支持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：通过分享经验与技术，建立个人IP与客户信任  。</w:t>
      </w:r>
    </w:p>
    <w:p w14:paraId="0B960542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多业务线运营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：利用AI工具同时运营多个业务线，实现"一人=一个团队"的模式  。</w:t>
      </w:r>
    </w:p>
    <w:p w14:paraId="7293DD1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常见挑战与应对策略</w:t>
      </w:r>
    </w:p>
    <w:p w14:paraId="1B216AD3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尽管OPC模式具有显著优势，但仍面临以下挑战：</w:t>
      </w:r>
    </w:p>
    <w:p w14:paraId="2306D398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技术迭代风险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：AI模型快速更新，OPC需持续投入以保持技术竞争力。应对策略：建立技术监测机制，定期更新AI工具与模型  。</w:t>
      </w:r>
    </w:p>
    <w:p w14:paraId="0B61F6D1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法律合规复杂性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：跨区域/跨国技术转移中的知识产权归属、数据隐私问题。应对策略：使用AI合同生成系统与数据安全工具，降低合规风险  。</w:t>
      </w:r>
    </w:p>
    <w:p w14:paraId="0ACB18E5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市场验证压力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：技术商业化需快速试错，但OPC资源有限可能导致失败率高。应对策略：利用AI工具进行市场分析与预测，降低试错成本  。</w:t>
      </w:r>
    </w:p>
    <w:p w14:paraId="248D914A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协作网络构建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：如何通过AI工具弥补团队规模小的短板。应对策略：利用智能匹配引擎与协同平台，构建虚拟协作网络  。</w:t>
      </w:r>
    </w:p>
    <w:p w14:paraId="56D1A83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四、OPC模式下的法律合规、知识产权保护与数据安全策略</w:t>
      </w:r>
    </w:p>
    <w:p w14:paraId="1EEC300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法律合规框架</w:t>
      </w:r>
    </w:p>
    <w:p w14:paraId="6DDA0E5F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OPC创业者需建立系统化的法律合规框架，主要包括：</w:t>
      </w:r>
    </w:p>
    <w:p w14:paraId="07F7A86B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公司注册与运营合规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：利用苏州工业园区的"全链通"AI服务入口，完成公司注册、税务登记、社保缴纳等流程，确保合法经营  。</w:t>
      </w:r>
    </w:p>
    <w:p w14:paraId="75F2B9E4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知识产权保护与管理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：建立专利、著作权、商标与商业秘密的保护体系，明确权利归属、许可类型、许可地区等关键条款。根据"谁投入智力，谁享有着作权"的原则，确保AI生成内容的知识产权归属  。</w:t>
      </w:r>
    </w:p>
    <w:p w14:paraId="7AD52F1A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数据安全与合规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：实施数据分类与加密，采用透明加密技术自动加密敏感文件，建立细粒度的权限管理，确保数据在存储和传输过程中的安全  。</w:t>
      </w:r>
    </w:p>
    <w:p w14:paraId="69DBF19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知识产权保护策略</w:t>
      </w:r>
    </w:p>
    <w:p w14:paraId="1C2597A7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专利申请与布局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：利用智慧芽的"查新检索AI Agent"完成专利查新与申请，聚焦核心技术领域，构建专利壁垒  。</w:t>
      </w:r>
    </w:p>
    <w:p w14:paraId="3E40357C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版权登记与保护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：对AI生成作品进行著作权登记，确保提示词设计与参数调整等个性化表达的独创性得到法律保护  。</w:t>
      </w:r>
    </w:p>
    <w:p w14:paraId="0F1B9D5D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商业秘密管理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：建立严格的保密制度，明确防护等级、访问控制、信息传递途径与存储安全方法，防止技术泄露  。</w:t>
      </w:r>
    </w:p>
    <w:p w14:paraId="6F9A743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数据安全保护策略</w:t>
      </w:r>
    </w:p>
    <w:p w14:paraId="59DFCCB2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加密技术应用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：采用AES-256、RSA-PSS等银行级加密算法，确保数据在传输与存储过程中的安全  。</w:t>
      </w:r>
    </w:p>
    <w:p w14:paraId="198CC2E4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访问控制机制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：实施细粒度的权限管理，根据角色动态调整文件访问权限，确保只有授权人员可以查看或编辑敏感文件  。</w:t>
      </w:r>
    </w:p>
    <w:p w14:paraId="6EC8ED4F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合规认证获取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：通过CCRC认证的数据安全工具与流程，确保数据处理符合《数据安全法》《个人信息保护法》等法规要求  。</w:t>
      </w:r>
    </w:p>
    <w:p w14:paraId="1B0011DF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敏感数据审计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：建立敏感文件报警系统，实时监控异常行为，如非工作时间访问、高频下载等，及时干预风险  。</w:t>
      </w:r>
    </w:p>
    <w:p w14:paraId="6073B69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五、OPC技术转移的可持续发展路径与未来趋势展望</w:t>
      </w:r>
    </w:p>
    <w:p w14:paraId="5717271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可持续发展路径</w:t>
      </w:r>
    </w:p>
    <w:p w14:paraId="3323D027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OPC技术转移的可持续发展需要多方面的支持与策略：</w:t>
      </w:r>
    </w:p>
    <w:p w14:paraId="14A6CE88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政策支持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苏州工业园区新政提供全方位要素供给，包括专为OPC设计的技术轻量化服务、算力支持与服务器资源，以及对高质量数据集的奖励（每个最高10万元）。强化要素保障，精准对接OPC核心需求，如研发补助（最高200万元/年）、算力费用补贴（20%，最高200万元/年）等  。</w:t>
      </w:r>
    </w:p>
    <w:p w14:paraId="74C19316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技术迭代策略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：采用XAI（可解释人工智能）技术提升模型可信度，联邦学习解决数据孤岛问题，确保技术持续创新与迭代  。</w:t>
      </w:r>
    </w:p>
    <w:p w14:paraId="087793F9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生态协同机制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：通过"资源超市"接入产学研合作网络，利用场景开放清单与首试首用机制加速技术验证与市场落地  。</w:t>
      </w:r>
    </w:p>
    <w:p w14:paraId="4E4EFBDC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财务韧性构建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：建立多收入来源策略，结合政策性投资（如青创基金最高5000万元支持）与风险对冲机制，确保长期运营稳定性  。</w:t>
      </w:r>
    </w:p>
    <w:p w14:paraId="37C751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未来趋势展望</w:t>
      </w:r>
    </w:p>
    <w:p w14:paraId="56282466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OPC技术转移的未来发展趋势主要体现在以下几个方面：</w:t>
      </w:r>
    </w:p>
    <w:p w14:paraId="0787676E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技术融合深化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：生成式AI与垂直领域（如医疗、制造）结合，催生更多"超级个体"案例。例如，中山大学肿瘤防治中心研发的"脑转移瘤MR图像辅助检测软件"已推广至全国500多家医院，展示了AI技术在医疗领域的巨大潜力  。</w:t>
      </w:r>
    </w:p>
    <w:p w14:paraId="1D6CADE6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全球化与本地化平衡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：OPC创业者需应对跨境数据合规与技术主权争议，通过国产化替代与区域协同策略规避风险。例如，新凯来设备100%国产化使美国出口管制失效，展示了逆向突围的创新路径  。</w:t>
      </w:r>
    </w:p>
    <w:p w14:paraId="68FFD24A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伦理治理常态化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：XAI技术将成为技术转移的标配工具，确保算法公平性与数据隐私。例如，医疗AI的解释性模块可帮助医生理解判断逻辑，增强临床决策信心  。</w:t>
      </w:r>
    </w:p>
    <w:p w14:paraId="0233A8E8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OPC规模化转型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：从轻量级向中型团队扩展，需保留"一人一部门"的敏捷性，同时引入协作工具与管理流程，实现可持续发展  。</w:t>
      </w:r>
    </w:p>
    <w:p w14:paraId="6FEC5B6B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8"/>
          <w:lang w:eastAsia="zh-CN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六、</w:t>
      </w: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主要内容</w:t>
      </w:r>
    </w:p>
    <w:p w14:paraId="37B0932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ab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《AI赋能技术转移OPC运营实操》一书聚焦于为OPC创业者提供系统性指导，帮助其高效利用AI工具完成技术转移全流程。本书的核心内容包括：</w:t>
      </w:r>
    </w:p>
    <w:p w14:paraId="3D9B62A0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OPC模式的定义与内涵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：明确OPC在AI时代的演变与价值，为创业者提供清晰认知。</w:t>
      </w:r>
    </w:p>
    <w:p w14:paraId="15AE7E0B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AI工具应用指南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：分阶段介绍技术转移全流程中可使用的AI工具，包括具体操作步骤与效率提升数据。</w:t>
      </w:r>
    </w:p>
    <w:p w14:paraId="450B65A4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成功案例分析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：深入剖析苏州画宗、睿脑科技、陈云飞等典型案例，提炼关键成功要素与经验教训。</w:t>
      </w:r>
    </w:p>
    <w:p w14:paraId="79769014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法律合规与风险管理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：提供OPC模式下的法律合规框架、知识产权保护策略与数据安全方案，确保创业者合法经营。</w:t>
      </w:r>
    </w:p>
    <w:p w14:paraId="29B42F28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可持续发展路径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：探讨OPC技术转移的长期发展策略，包括政策利用、技术迭代、生态协同与财务韧性构建。</w:t>
      </w:r>
    </w:p>
    <w:p w14:paraId="343C1861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本书的特色与价值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在于将AI技术与OPC创业模式有机结合，为技术创业者提供一套完整的运营实操指南。通过本书，创业者可以：</w:t>
      </w:r>
    </w:p>
    <w:p w14:paraId="1879A619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降低创业门槛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：借助AI工具与政策支持，以个人之力完成原本需要团队协作的技术转移项目。</w:t>
      </w:r>
    </w:p>
    <w:p w14:paraId="544E4D96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提高运营效率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：利用AI工具优化各环节工作流程，将传统数周的评估周期缩短至数小时，开发时间减少50%以上。</w:t>
      </w:r>
    </w:p>
    <w:p w14:paraId="4B00389A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规避法律风险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：建立系统化的法律合规框架，确保技术转移过程中的知识产权与数据安全。</w:t>
      </w:r>
    </w:p>
    <w:p w14:paraId="78384B41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实现可持续发展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：通过政策利用、技术迭代与生态协同，构建长期发展的基础。</w:t>
      </w:r>
    </w:p>
    <w:p w14:paraId="3C8FF19D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本书的适用对象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主要包括：技术创业者、高校科研人员、自由职业者、技术转移中介服务人员等。通过本书，这些群体可以深入了解OPC模式在AI技术转移领域的应用价值，掌握AI工具的操作方法，规避法律与合规风险，最终实现从"单人创业"到"技术转移成功"的跨越。</w:t>
      </w:r>
    </w:p>
    <w:p w14:paraId="54C9ACAC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在内容形式上，本书采用</w:t>
      </w:r>
      <w:r>
        <w:rPr>
          <w:rFonts w:ascii="宋体" w:hAnsi="宋体" w:eastAsia="宋体" w:cs="宋体"/>
          <w:b/>
          <w:i w:val="0"/>
          <w:spacing w:val="0"/>
          <w:sz w:val="24"/>
        </w:rPr>
        <w:t>案例驱动、工具实操与策略分析相结合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的方式，既包含理论框架，又提供具体操作指南，满足不同层次读者的需求。同时，本书应强调OPC模式的轻量化与灵活性，帮助创业者在资源有限的情况下，通过AI工具与政策支持实现高效运营。</w:t>
      </w:r>
    </w:p>
    <w:p w14:paraId="3EC7390E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</w:rPr>
        <w:t>最后，本书</w:t>
      </w:r>
      <w:bookmarkStart w:id="0" w:name="_GoBack"/>
      <w:bookmarkEnd w:id="0"/>
      <w:r>
        <w:rPr>
          <w:rFonts w:ascii="宋体" w:hAnsi="宋体" w:eastAsia="宋体" w:cs="宋体"/>
          <w:b/>
          <w:i w:val="0"/>
          <w:spacing w:val="0"/>
          <w:sz w:val="24"/>
        </w:rPr>
        <w:t>提醒读者注意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OPC模式虽然具有显著优势，但仍面临技术迭代、法律合规、市场验证与协作网络构建等挑战。成功的技术转移OPC不仅需要技术能力，还需具备市场洞察、法律意识与资源整合能力。通过系统学习与实践，OPC创业者可以充分发挥"AI+个体"的协同效应，在技术转移领域开辟新的可能性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3762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2B9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464308C1"/>
    <w:rsid w:val="7A9B52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5119</Words>
  <Characters>5427</Characters>
  <TotalTime>5</TotalTime>
  <ScaleCrop>false</ScaleCrop>
  <LinksUpToDate>false</LinksUpToDate>
  <CharactersWithSpaces>5551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2026-01-07T05:01:00Z</dcterms:created>
  <dc:creator>Apache POI</dc:creator>
  <cp:lastModifiedBy>左笔方寸有AI</cp:lastModifiedBy>
  <dcterms:modified xsi:type="dcterms:W3CDTF">2026-03-31T04:08:33Z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cP8lbCu43QndgjOaPkGykIx4m2zNqj+yumLTnYytvV0=","ProduceID":"doc_sgs:b4c949d8-13b9-4f02-a746-9f9b09bc10e7","ReservedCode2":"cP8lbCu43QndgjOaPkGykIx4m2zNqj+yumLTnYytvV0=","PropagateID":"doc_sgs:b4c949d8-13b9-4f02-a746-9f9b09bc10e7","ContentProducer":"001191440101MA9Y9T4H7A00000"}</vt:lpwstr>
  </property>
  <property fmtid="{D5CDD505-2E9C-101B-9397-08002B2CF9AE}" pid="3" name="KSOTemplateDocerSaveRecord">
    <vt:lpwstr>eyJoZGlkIjoiODY3YjA1NmUyMjVkZTE1N2YzNjBhNGMyZmE2YzBlNDgiLCJ1c2VySWQiOiIxNjc2MTQ0NTQifQ==</vt:lpwstr>
  </property>
  <property fmtid="{D5CDD505-2E9C-101B-9397-08002B2CF9AE}" pid="4" name="KSOProductBuildVer">
    <vt:lpwstr>2052-12.1.0.25222</vt:lpwstr>
  </property>
  <property fmtid="{D5CDD505-2E9C-101B-9397-08002B2CF9AE}" pid="5" name="ICV">
    <vt:lpwstr>FE2861DF5A334EF7B7A6E23449240B8C_12</vt:lpwstr>
  </property>
</Properties>
</file>