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BBC0A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第七章 OPC创业者能力培养体系</w:t>
      </w:r>
    </w:p>
    <w:p w14:paraId="7592952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7.1 AI工具使用能力培养</w:t>
      </w:r>
    </w:p>
    <w:p w14:paraId="37B82A35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OPC创业者需掌握"AI工具链整合"能力，而非简单使用单个工具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在技术转移场景中，创业者需构建从技术发现到商业化落地的完整AI工具链，包括专利分析、需求匹配、开发优化、营销推广和法律合规等环节的工具组合与协同应用。这种能力培养应围绕"工具链思维"展开，而非孤立地学习某个工具的使用方法。</w:t>
      </w:r>
    </w:p>
    <w:p w14:paraId="54FCBD4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核心AI工具掌握路径</w:t>
      </w:r>
    </w:p>
    <w:p w14:paraId="69191593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OPC创业者应重点掌握以下工具的使用方法：</w:t>
      </w:r>
    </w:p>
    <w:p w14:paraId="6AD5B2CC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技术发现与评估工具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：智慧芽Eureka平台的AI查新系统（支持1.76亿条专利数据检索，查新效率提升91.7%）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、科易网的专利快筛智能系统（构建科学价值/技术价值/市场价值三维评估体系）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、CeMeta森宇宙的技术趋势预测模块（基于20年行业数据训练的垂直模型）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</w:p>
    <w:p w14:paraId="5D6F9172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需求匹配工具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：科易网的企业需求分析系统（通过企业技术短板与市场趋势生成需求建议清单，供需对接成功率提升至50%-60%）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、DeepL Translate的专业领域翻译引擎（支持130种语言，技术术语准确率达92%）、联邦学习平台（如微众银行FATE的隐私计算模块，实现数据可用不可见）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7F5F307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技术开发工具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：GitHub Copilot的代码生成能力、ANSYS SimAI的仿真模拟功能、自动化测试平台（如Selenium）</w:t>
      </w:r>
    </w:p>
    <w:p w14:paraId="2F1B4028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商业化推广工具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：CeMeta森宇宙的"菲特智能体"（电商详情页生成效率较人工提升50倍，海尔案例验证通过率达60%）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、VertGrow的销售智能体平台（转化率提升52%）、Notion的技术转移知识库系统（支持按技术领域/阶段分类管理）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</w:p>
    <w:p w14:paraId="152782E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法律合规工具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：千律科技的智能合同生成系统、CCRC数据安全认证工具、区块链存证平台（如腾讯云TBaaS）</w:t>
      </w:r>
    </w:p>
    <w:p w14:paraId="56B3D00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掌握路径建议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5F02B4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工具分类学习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：先按技术转移全流程环节分类学习，如"技术发现工具包"、"需求匹配工具包"等</w:t>
      </w:r>
    </w:p>
    <w:p w14:paraId="7190ABAA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场景驱动实践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：针对具体技术转移项目，选择3-5个核心工具进行组合应用实践</w:t>
      </w:r>
    </w:p>
    <w:p w14:paraId="4261D7B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持续迭代升级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：建立工具使用反馈机制，定期评估工具效果并更新工具链配置</w:t>
      </w:r>
    </w:p>
    <w:p w14:paraId="48B0A2B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工具链整合方法</w:t>
      </w:r>
    </w:p>
    <w:p w14:paraId="138AACCC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OPC创业者需建立"AI工具链整合框架"，实现不同工具之间的无缝衔接。例如：</w:t>
      </w:r>
    </w:p>
    <w:p w14:paraId="51743F8E">
      <w:pPr>
        <w:pageBreakBefore w:val="0"/>
        <w:numPr>
          <w:ilvl w:val="0"/>
          <w:numId w:val="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数据流整合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：通过智慧芽Eureka的RESTful API（文档：https://www.zhihuiya.com/api）将专利数据导出为JSON格式，自动同步至科易网企业需求分析系统，经匹配分析后通过Zapier触发GitHub Copilot的代码生成任务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[6]</w:t>
      </w:r>
    </w:p>
    <w:p w14:paraId="082EF7AD">
      <w:pPr>
        <w:pageBreakBefore w:val="0"/>
        <w:numPr>
          <w:ilvl w:val="0"/>
          <w:numId w:val="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工作流整合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：在Notion建立技术转移项目看板，通过API集成智慧芽（专利状态更新）、科易网（需求匹配进度）、GitHub（代码提交状态），设置自动化规则如"专利评估完成→自动创建开发任务"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</w:p>
    <w:p w14:paraId="1997E6F4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知识流整合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：使用飞书/钉钉的"智能财税"插件自动抓取税务数据，与千律科技的合同系统联动</w:t>
      </w:r>
    </w:p>
    <w:p w14:paraId="70E0C6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工具链整合的关键技术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90E959F">
      <w:pPr>
        <w:pageBreakBefore w:val="0"/>
        <w:numPr>
          <w:ilvl w:val="0"/>
          <w:numId w:val="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API接口标准化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：优先选择支持OpenAPI 3.0规范的工具，如科易网企业需求分析系统提供的标准化接口（https://api.1633.com/v2/needs），智慧芽的专利数据接口（https://api.patsnap.com/v1/patents）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  <w:bookmarkStart w:id="0" w:name="_GoBack"/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</w:t>
      </w:r>
      <w:bookmarkEnd w:id="0"/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6]</w:t>
      </w:r>
    </w:p>
    <w:p w14:paraId="13B6229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数据格式统一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：建立统一的数据格式标准（如JSON或XML），确保不同工具间数据可交换</w:t>
      </w:r>
    </w:p>
    <w:p w14:paraId="73EA3E14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自动化触发机制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：设计工具间自动触发机制（如GitHub代码提交后自动触发ANSYS仿真）</w:t>
      </w:r>
    </w:p>
    <w:p w14:paraId="7AF0D5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AI工具进阶应用</w:t>
      </w:r>
    </w:p>
    <w:p w14:paraId="6CEFC74D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OPC创业者需从基础操作向高级应用进阶，包括：</w:t>
      </w:r>
    </w:p>
    <w:p w14:paraId="4C28EB49">
      <w:pPr>
        <w:pageBreakBefore w:val="0"/>
        <w:numPr>
          <w:ilvl w:val="0"/>
          <w:numId w:val="5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提示词工程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：采用CSDN博主"AI知识管理"提出的"六步法"模板（2025年《跨学科学习提示词工程指南》），结构为：角色定义+背景描述+任务目标+输出格式+约束条件+示例参考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。例如："作为资深专利分析师（角色），基于智慧芽数据库的500篇相关专利（背景），分析该技术的法律稳定性（目标），输出包含权利要求树、侵权风险点、无效宣告可能性的分析报告（格式）"</w:t>
      </w:r>
    </w:p>
    <w:p w14:paraId="3C0101B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模型微调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：学习如何对通用大模型进行轻量级微调，适应特定技术领域需求</w:t>
      </w:r>
    </w:p>
    <w:p w14:paraId="1CD252A3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工具组合创新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：探索不同工具的组合创新应用，如使用GitHub Copilot生成代码后，通过ANSYS SimAI进行仿真验证</w:t>
      </w:r>
    </w:p>
    <w:p w14:paraId="7AC297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D8662AD">
      <w:pPr>
        <w:pageBreakBefore w:val="0"/>
        <w:numPr>
          <w:ilvl w:val="0"/>
          <w:numId w:val="6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苏州画宗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：创始人构建300+分类提示词库（按场景类型：角色设定/镜头语言/风格迁移），通过CeMeta森宇宙好绘AI工具实现场景优化建议10分钟生成，将42分钟动画长片制作周期从传统6个月压缩至45天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</w:p>
    <w:p w14:paraId="7F527923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睿脑科技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：团队利用联邦学习平台与医疗数据结合，通过模型微调优化脑电设备信号解码，已申请12项发明专利</w:t>
      </w:r>
    </w:p>
    <w:p w14:paraId="150846A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7.2 跨领域知识整合能力</w:t>
      </w:r>
    </w:p>
    <w:p w14:paraId="7543EB19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OPC创业者需具备"知识拼图"能力，将分散的AI技术知识与专业领域知识有机整合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。技术转移本质上是跨学科的知识整合与价值转化过程，OPC创业者需同时掌握技术、市场、法律、管理等多领域知识，并通过AI工具实现知识的高效整合与应用。</w:t>
      </w:r>
    </w:p>
    <w:p w14:paraId="742AA47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知识整合框架构建</w:t>
      </w:r>
    </w:p>
    <w:p w14:paraId="73E29016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OPC创业者可基于Nonaka的SECI知识转化模型构建整合框架，通过"社会化-外化-组合化-内化"四阶段实现跨领域知识融合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[8]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</w:t>
      </w:r>
    </w:p>
    <w:p w14:paraId="5019E141">
      <w:pPr>
        <w:pageBreakBefore w:val="0"/>
        <w:numPr>
          <w:ilvl w:val="0"/>
          <w:numId w:val="7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确定跨学科主题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：使用ChatGPT结合SECI模型的"对话场"理论，通过行业报告与专利数据交叉分析，明确技术转移中的知识缺口（如AI+医疗领域的"数据隐私保护"主题）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[8][9]</w:t>
      </w:r>
    </w:p>
    <w:p w14:paraId="0868D951">
      <w:pPr>
        <w:pageBreakBefore w:val="0"/>
        <w:numPr>
          <w:ilvl w:val="0"/>
          <w:numId w:val="7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构建知识图谱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：通过智慧芽Eureka平台的技术脉络图谱工具（支持17类科技创新要素实体识别）自动构建技术领域知识网络，识别核心专利与关联技术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[1][6]</w:t>
      </w:r>
    </w:p>
    <w:p w14:paraId="52A37062">
      <w:pPr>
        <w:pageBreakBefore w:val="0"/>
        <w:numPr>
          <w:ilvl w:val="0"/>
          <w:numId w:val="7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设计学习路径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：基于SECI模型的"四阶段学习模板"（创始场-对话场-整合场-练习场），在Notion中建立包含学习目标、资源清单、实践任务的个性化计划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[8]</w:t>
      </w:r>
    </w:p>
    <w:p w14:paraId="300F8638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建立知识库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：使用Baklib、Notion等AI知识库工具整理学习成果</w:t>
      </w:r>
    </w:p>
    <w:p w14:paraId="079BF277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实践应用验证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：在技术转移项目中应用整合知识，验证有效性</w:t>
      </w:r>
    </w:p>
    <w:p w14:paraId="71AFA93C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持续更新迭代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：通过技术监控工具（如智慧芽Eureka平台）跟踪领域最新动态，更新知识体系</w:t>
      </w:r>
    </w:p>
    <w:p w14:paraId="7B0633A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具体操作指南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13B26AB">
      <w:pPr>
        <w:pageBreakBefore w:val="0"/>
        <w:numPr>
          <w:ilvl w:val="0"/>
          <w:numId w:val="8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CSDN博主"AI知识管理"提出的"四要素"提示词模板（2025年《跨学科学习提示词工程指南》）：角色定义（如"技术转移专家"）+背景描述（如"医疗AI领域"）+任务目标（如"专利布局分析"）+输出格式（如"权利要求树"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[7]</w:t>
      </w:r>
    </w:p>
    <w:p w14:paraId="11367BE3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通过智慧芽的"查新检索AI Agent"自动分析技术领域知识结构</w:t>
      </w:r>
    </w:p>
    <w:p w14:paraId="09384C08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使用Notion建立"技术转移知识库"，设置"专利知识"、"市场需求"、"法律合规"等分类标签</w:t>
      </w:r>
    </w:p>
    <w:p w14:paraId="4BFC26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AI辅助知识学习方法</w:t>
      </w:r>
    </w:p>
    <w:p w14:paraId="236E7F41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OPC创业者可借助AI工具实现高效知识学习：</w:t>
      </w:r>
    </w:p>
    <w:p w14:paraId="22C95741">
      <w:pPr>
        <w:pageBreakBefore w:val="0"/>
        <w:numPr>
          <w:ilvl w:val="0"/>
          <w:numId w:val="9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智能文献检索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：使用智慧芽"查新检索AI Agent"（支持1.76亿专利/200万临床数据检索），生成包含对比文件、新颖性评述的结构化报告，将传统72小时检索周期缩短至6小时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[1][2]</w:t>
      </w:r>
    </w:p>
    <w:p w14:paraId="53229393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跨学科知识映射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：通过联邦迁移学习技术，将其他领域的知识（如医疗领域的AI应用）映射到技术转移场景</w:t>
      </w:r>
    </w:p>
    <w:p w14:paraId="3887F045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知识可视化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：使用Midjourney等工具将抽象知识转化为可视化图表，提升理解效率</w:t>
      </w:r>
    </w:p>
    <w:p w14:paraId="01E54F99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个性化学习推荐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：利用AI学习分析工具（如CeMeta的"森宇宙AI营销智能体"）推荐适合的学习资源</w:t>
      </w:r>
    </w:p>
    <w:p w14:paraId="4F2749E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7EEF470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根据智慧芽2024年《技术转移效率报告》，AI查新工具将文献检索时间从72小时缩短至6小时，效率提升91.7%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</w:p>
    <w:p w14:paraId="0AE3BBBD">
      <w:pPr>
        <w:pageBreakBefore w:val="0"/>
        <w:numPr>
          <w:ilvl w:val="0"/>
          <w:numId w:val="10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联邦迁移学习技术（如微众银行FATE平台）使跨领域知识整合周期从3个月缩短至4周（基于医疗-制造领域100个项目统计）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7B04245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知识可视化工具可提升复杂概念理解效率40%</w:t>
      </w:r>
    </w:p>
    <w:p w14:paraId="2F7227A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决策能力培养</w:t>
      </w:r>
    </w:p>
    <w:p w14:paraId="4AEF0B5B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OPC创业者需基于SECI知识转化模型建立"AI辅助决策四步法"，实现显性知识与隐性知识的动态融合</w:t>
      </w:r>
      <w:r>
        <w:rPr>
          <w:rFonts w:ascii="宋体" w:hAnsi="宋体" w:eastAsia="宋体" w:cs="宋体"/>
          <w:b/>
          <w:i w:val="0"/>
          <w:spacing w:val="0"/>
          <w:sz w:val="24"/>
          <w:szCs w:val="22"/>
          <w:vertAlign w:val="superscript"/>
        </w:rPr>
        <w:t>[8]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 xml:space="preserve">  ：</w:t>
      </w:r>
    </w:p>
    <w:p w14:paraId="30935A3F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数据收集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：通过科易网、智慧芽等平台获取技术、市场、法律等多维度数据</w:t>
      </w:r>
    </w:p>
    <w:p w14:paraId="73DEB191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AI分析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：使用AI工具（如CeMeta的"森宇宙AI营销智能体"）进行数据处理与分析</w:t>
      </w:r>
    </w:p>
    <w:p w14:paraId="6C17C31D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风险评估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：结合千律科技的法律风险评估工具与自研的财务风险模型</w:t>
      </w:r>
    </w:p>
    <w:p w14:paraId="6E1BDB1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人工复核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：对AI生成的决策建议进行人工验证与修正</w:t>
      </w:r>
    </w:p>
    <w:p w14:paraId="67C165B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工具推荐与操作指南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52C58B5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使用Notion建立"决策看板"，整合各环节数据与分析结果</w:t>
      </w:r>
    </w:p>
    <w:p w14:paraId="2174EE7C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通过飞书/钉钉的"智能财税"插件自动抓取税务数据</w:t>
      </w:r>
    </w:p>
    <w:p w14:paraId="0C40B80A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使用智慧芽的"技术监控"模块实时推送技术情报</w:t>
      </w:r>
    </w:p>
    <w:p w14:paraId="2FA4D4C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效率提升数据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5D35651">
      <w:pPr>
        <w:pageBreakBefore w:val="0"/>
        <w:numPr>
          <w:ilvl w:val="0"/>
          <w:numId w:val="1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科易网企业案例显示，AI辅助决策将技术转移项目决策周期从21天缩短至7天，效率提升66.7%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</w:p>
    <w:p w14:paraId="5397BFD7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决策准确率从75%-85%提升至92%以上</w:t>
      </w:r>
    </w:p>
    <w:p w14:paraId="565F064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7.3 风险意识与应对能力</w:t>
      </w:r>
    </w:p>
    <w:p w14:paraId="37A17D86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OPC创业者需构建"风险双闭环"意识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，即同时关注流程风险与内容风险，确保在轻量化运营中规避重大风险  。</w:t>
      </w:r>
    </w:p>
    <w:p w14:paraId="2A1C7F2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(1) 风险识别与分类</w:t>
      </w:r>
    </w:p>
    <w:p w14:paraId="14058F6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OPC创业者需识别并分类以下主要风险：</w:t>
      </w:r>
    </w:p>
    <w:p w14:paraId="51420123">
      <w:pPr>
        <w:pageBreakBefore w:val="0"/>
        <w:numPr>
          <w:ilvl w:val="0"/>
          <w:numId w:val="1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技术风险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：技术成熟度不足、AI模型迭代失效、核心算法依赖第三方</w:t>
      </w:r>
    </w:p>
    <w:p w14:paraId="433DDB2F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法律风险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：知识产权纠纷、合规风险（如欧盟AI法案）、数据安全风险</w:t>
      </w:r>
    </w:p>
    <w:p w14:paraId="0B059260">
      <w:pPr>
        <w:pageBreakBefore w:val="0"/>
        <w:numPr>
          <w:ilvl w:val="0"/>
          <w:numId w:val="14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财务风险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：现金流断裂（60% OPC失败主因）、政策补贴依赖、项目定价不合理</w:t>
      </w:r>
    </w:p>
    <w:p w14:paraId="1D4A4966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运营风险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：过度依赖AI、服务过度定制、时间管理失控</w:t>
      </w:r>
    </w:p>
    <w:p w14:paraId="12DF2B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风险识别工具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959C598">
      <w:pPr>
        <w:pageBreakBefore w:val="0"/>
        <w:numPr>
          <w:ilvl w:val="0"/>
          <w:numId w:val="15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千律科技智能合同生成系统（支持300+合同模板），自动识别"知识产权归属模糊""数据授权缺失"等3类法律风险点，条款风险提示准确率达92%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3ADC97A6">
      <w:pPr>
        <w:pageBreakBefore w:val="0"/>
        <w:numPr>
          <w:ilvl w:val="0"/>
          <w:numId w:val="15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腾讯云TBaaS区块链存证平台（通过国家网信办区块链信息服务备案），提供细粒度权限管理与异常访问监测（如非工作时间高频下载自动报警）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1EECE5BE">
      <w:pPr>
        <w:pageBreakBefore w:val="0"/>
        <w:numPr>
          <w:ilvl w:val="0"/>
          <w:numId w:val="15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飞书"智能财税"插件（已接入国家税务总局API），自动识别异常发票、税负波动等风险，预警响应时间&lt;5分钟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</w:p>
    <w:p w14:paraId="748ABF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(2) 风险应对策略</w:t>
      </w:r>
    </w:p>
    <w:p w14:paraId="1109C562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针对不同风险，OPC创业者可采取以下应对策略：</w:t>
      </w:r>
    </w:p>
    <w:p w14:paraId="4B467F66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技术风险应对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4B13D4E">
      <w:pPr>
        <w:pageBreakBefore w:val="0"/>
        <w:numPr>
          <w:ilvl w:val="1"/>
          <w:numId w:val="17"/>
        </w:numPr>
        <w:wordWrap/>
        <w:spacing w:before="160" w:after="0"/>
        <w:ind w:left="88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使用智慧芽专利价值评估系统（含法律稳定性/技术创新性/市场应用潜力三维度），评估准确率达89%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[1][6]</w:t>
      </w:r>
    </w:p>
    <w:p w14:paraId="4DA7C79D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通过"首试首用"政策，降低技术验证成本与风险</w:t>
      </w:r>
    </w:p>
    <w:p w14:paraId="6418647A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建立技术迭代监测机制，定期评估技术竞争力</w:t>
      </w:r>
    </w:p>
    <w:p w14:paraId="0F7CC461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法律风险应对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A9393AA">
      <w:pPr>
        <w:pageBreakBefore w:val="0"/>
        <w:numPr>
          <w:ilvl w:val="1"/>
          <w:numId w:val="18"/>
        </w:numPr>
        <w:wordWrap/>
        <w:spacing w:before="160" w:after="0"/>
        <w:ind w:left="88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使用千律科技"双闭环"风险控制模型：流程风险（合同签署/履行/纠纷解决）+内容风险（条款冲突/合规漏洞/权责不清），已通过ISO 27001信息安全认证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72CCB4E6">
      <w:pPr>
        <w:pageBreakBefore w:val="0"/>
        <w:numPr>
          <w:ilvl w:val="1"/>
          <w:numId w:val="1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对AI生成内容进行原创性审查，保留创作过程记录</w:t>
      </w:r>
    </w:p>
    <w:p w14:paraId="1C55ADA8">
      <w:pPr>
        <w:pageBreakBefore w:val="0"/>
        <w:numPr>
          <w:ilvl w:val="1"/>
          <w:numId w:val="18"/>
        </w:numPr>
        <w:wordWrap/>
        <w:spacing w:before="160" w:after="0"/>
        <w:ind w:left="88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建立商业秘密管理体系，采用AES-256加密存储（银行级标准）+ RBAC权限模型，通过CCRC数据安全认证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241F5C19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财务风险应对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8969A6B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构建多收入来源策略，平衡政策性投资与个人收入</w:t>
      </w:r>
    </w:p>
    <w:p w14:paraId="74A9DFC6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建立项目制财务系统，实现精细化财务管理</w:t>
      </w:r>
    </w:p>
    <w:p w14:paraId="25CB54C5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设置"生存金池"与预算分仓，确保现金流稳定</w:t>
      </w:r>
    </w:p>
    <w:p w14:paraId="19A90567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运营风险应对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F00F756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为每个AI输出设置人工审核环节，特别是客户直接看到的内容</w:t>
      </w:r>
    </w:p>
    <w:p w14:paraId="5661599D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提供标准化核心服务+有限定制选项，用AI处理轻度定制需求</w:t>
      </w:r>
    </w:p>
    <w:p w14:paraId="0AA86A0A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使用时间块系统，确保工作计划不被AI工具使用过程干扰</w:t>
      </w:r>
    </w:p>
    <w:p w14:paraId="6F7BD59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案例启示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260329C">
      <w:pPr>
        <w:pageBreakBefore w:val="0"/>
        <w:numPr>
          <w:ilvl w:val="0"/>
          <w:numId w:val="2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陈云飞的独立开发者模式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：通过智慧芽技术监测模块（每日推送领域专利动态）+ GitHub Copilot版本更新日志分析，每季度完成工具链迭代，2024年成功规避3次关键技术迭代风险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[1][6]</w:t>
      </w:r>
    </w:p>
    <w:p w14:paraId="296F7A38">
      <w:pPr>
        <w:pageBreakBefore w:val="0"/>
        <w:numPr>
          <w:ilvl w:val="0"/>
          <w:numId w:val="2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睿脑科技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：利用粤港澳大湾区"数据跨境白名单"政策（粤府办〔2024〕32号），联合香港中文大学医学院建立联邦学习平台，规避医疗数据跨境合规风险，已完成3项脑机接口技术转移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[4][8]</w:t>
      </w:r>
    </w:p>
    <w:p w14:paraId="11D9E4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(3) 风险模拟与训练</w:t>
      </w:r>
    </w:p>
    <w:p w14:paraId="1540D18C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F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OPC创业者可通过AI工具进行风险模拟与训练：</w:t>
      </w:r>
    </w:p>
    <w:p w14:paraId="05069062">
      <w:pPr>
        <w:pageBreakBefore w:val="0"/>
        <w:numPr>
          <w:ilvl w:val="0"/>
          <w:numId w:val="2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合规风险模拟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：使用千律合同纠纷模拟模块，生成"专利许可费支付延迟""知识产权归属争议"等3类典型场景，输出《风险应对预案》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5BA68F4C">
      <w:pPr>
        <w:pageBreakBefore w:val="0"/>
        <w:numPr>
          <w:ilvl w:val="0"/>
          <w:numId w:val="2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技术泄露模拟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：通过CCRC认证的"商密卫士"工具（支持文件操作审计/异常行为追溯），模拟U盘拷贝/邮件外发等泄露场景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228E9FF5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财务危机模拟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：利用项目制财务系统模拟现金流断裂场景，训练危机应对能力</w:t>
      </w:r>
    </w:p>
    <w:p w14:paraId="4350EF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训练方法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DD256FA">
      <w:pPr>
        <w:pageBreakBefore w:val="0"/>
        <w:numPr>
          <w:ilvl w:val="0"/>
          <w:numId w:val="23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rPr>
          <w:rFonts w:asciiTheme="minorHAnsi" w:hAnsiTheme="minorHAnsi" w:eastAsiaTheme="minorEastAsia" w:cstheme="minorBidi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每月使用千律"风险沙盘"模块生成3类随机场景（如"专利侵权诉讼""数据泄露应急"），48小时内完成应对方案并提交AI评估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</w:p>
    <w:p w14:paraId="4F01A495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建立"风险应对手册"，记录各类风险的应对流程与工具</w:t>
      </w:r>
    </w:p>
    <w:p w14:paraId="39E99874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通过飞书/钉钉的审批插件实现数据使用审批流程的模拟训练</w:t>
      </w:r>
    </w:p>
    <w:p w14:paraId="7A4C0F3D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</w:p>
    <w:p w14:paraId="746151EB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参考文献</w:t>
      </w:r>
    </w:p>
    <w:p w14:paraId="07728629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[1] 智慧芽. (2024). 《技术转移效率报告》. 智慧芽创新研究中心.</w:t>
      </w:r>
    </w:p>
    <w:p w14:paraId="039EA416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[2] 科易网. (2025). 《企业创新数智服务方案白皮书》. 科易网AI+技术转移研究院.</w:t>
      </w:r>
    </w:p>
    <w:p w14:paraId="7A785F41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[3] CeMeta森宇宙. (2025). 《智娲企业营销AI引擎技术白皮书》. 北京森博营销科技集团.</w:t>
      </w:r>
    </w:p>
    <w:p w14:paraId="741B9E9A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[4] 千律科技. (2024). 《智能合同风险控制体系研究报告》. 千律法律AI研究院.</w:t>
      </w:r>
    </w:p>
    <w:p w14:paraId="6C21898C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[5] Notion. (2025). 《技术转移知识库搭建指南》. Notion官方文档中心.</w:t>
      </w:r>
    </w:p>
    <w:p w14:paraId="313E32B2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[6] 智慧芽Eureka平台. (2025). 《API接口开发文档V3.0》. https://www.zhihuiya.com/api</w:t>
      </w:r>
    </w:p>
    <w:p w14:paraId="25A88722"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[7] CSDN博主"AI知识管理". (2025). 《跨学科学习提示词工程指南》. https://blog.csdn.net/AI_knowledge</w:t>
      </w:r>
    </w:p>
    <w:p w14:paraId="46304D4C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[8] Nonaka, I., &amp; Takeuchi, H. (1995). 《创造知识的企业》. 牛津大学出版社.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78F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7AA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46A08BB8"/>
    <w:multiLevelType w:val="multilevel"/>
    <w:tmpl w:val="46A08BB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60382F6E"/>
    <w:multiLevelType w:val="multilevel"/>
    <w:tmpl w:val="60382F6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F3D6D5A"/>
    <w:rsid w:val="432429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2993</Words>
  <Characters>3325</Characters>
  <TotalTime>17</TotalTime>
  <ScaleCrop>false</ScaleCrop>
  <LinksUpToDate>false</LinksUpToDate>
  <CharactersWithSpaces>3351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2026-01-07T05:02:00Z</dcterms:created>
  <dc:creator>Apache POI</dc:creator>
  <cp:lastModifiedBy>左笔方寸有AI</cp:lastModifiedBy>
  <dcterms:modified xsi:type="dcterms:W3CDTF">2026-03-31T07:59:32Z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iO8eIYo6F3NhSj+k2YnLuq7uNmNiR7TfkEzQhFEtnEs=","ProduceID":"doc_sgs:fde81830-2267-4410-8aac-8fb64355f45e","ReservedCode2":"iO8eIYo6F3NhSj+k2YnLuq7uNmNiR7TfkEzQhFEtnEs=","PropagateID":"doc_sgs:fde81830-2267-4410-8aac-8fb64355f45e","ContentProducer":"001191440101MA9Y9T4H7A00000"}</vt:lpwstr>
  </property>
  <property fmtid="{D5CDD505-2E9C-101B-9397-08002B2CF9AE}" pid="3" name="KSOTemplateDocerSaveRecord">
    <vt:lpwstr>eyJoZGlkIjoiODY3YjA1NmUyMjVkZTE1N2YzNjBhNGMyZmE2YzBlNDgiLCJ1c2VySWQiOiIxNjc2MTQ0NTQifQ==</vt:lpwstr>
  </property>
  <property fmtid="{D5CDD505-2E9C-101B-9397-08002B2CF9AE}" pid="4" name="KSOProductBuildVer">
    <vt:lpwstr>2052-12.1.0.25222</vt:lpwstr>
  </property>
  <property fmtid="{D5CDD505-2E9C-101B-9397-08002B2CF9AE}" pid="5" name="ICV">
    <vt:lpwstr>35EE55A0F3AA42F89AAC049EBAC5AE0F_12</vt:lpwstr>
  </property>
</Properties>
</file>