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64562A">
      <w:pPr>
        <w:pageBreakBefore w:val="0"/>
        <w:wordWrap/>
        <w:spacing w:before="160" w:after="0"/>
        <w:ind w:left="0" w:right="0"/>
        <w:jc w:val="left"/>
        <w:textAlignment w:val="auto"/>
        <w:rPr>
          <w:sz w:val="36"/>
        </w:rPr>
      </w:pPr>
      <w:r>
        <w:rPr>
          <w:rFonts w:ascii="宋体" w:hAnsi="宋体" w:eastAsia="宋体" w:cs="宋体"/>
          <w:b/>
          <w:i w:val="0"/>
          <w:spacing w:val="0"/>
          <w:sz w:val="36"/>
        </w:rPr>
        <w:t>第三章 OPC技术转移成功案例与经验教训</w:t>
      </w:r>
    </w:p>
    <w:p w14:paraId="687EA652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 行业标杆OPC案例分析</w:t>
      </w:r>
    </w:p>
    <w:p w14:paraId="6468C7D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苏州画宗人工智能科技有限公司</w:t>
      </w:r>
    </w:p>
    <w:p w14:paraId="6F2A1A34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苏州画宗作为江苏首个落户的AIGC视频领域OPC，成功制作了国内首部时长42分钟的原创AI动画长片《一掌熊猫》，并在互联网上爆火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。其成功关键要素包括：</w:t>
      </w:r>
    </w:p>
    <w:p w14:paraId="41433710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AI工具深度整合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：使用智能体生成场景优化建议（10分钟内），分类提示词库（300+）提升创作效率。例如，通过AI工具快速生成角色设计、场景布局和分镜脚本，将传统动画制作时间从数月缩短至数周。</w:t>
      </w:r>
    </w:p>
    <w:p w14:paraId="218C7EBE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轻量化团队协作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：4人核心团队"一人一部门"，AI作为"数字助手"填补专业技能缺口。团队成员分别负责创意、技术、运营和市场，通过AI工具实现各环节的无缝衔接。例如，使用GitHub Copilot进行代码开发，使用CeMeta的"森宇宙AI营销智能体"进行市场推广。</w:t>
      </w:r>
    </w:p>
    <w:p w14:paraId="07D6B557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苏州工业园区提供商务托管登记、算力资源，加速从"散装创业"到规范化运营的转变。具体政策包括：算力支持和服务器资源降低运营成本，高质量数据集奖励（每个最高10万元，根据苏州市2024年《关于加快打造全球领先的人工智能OPC创业首选区的若干措施》）促进数据要素价值释放，以及商务托管登记实现注册地与经营地分离，降低创业门槛  。</w:t>
      </w:r>
    </w:p>
    <w:p w14:paraId="190CBE45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快速市场响应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：客户修改意见通过AI生成3个修改方案，团队20分钟内反馈，显著缩短了传统团队反复讨论的周期。例如，使用AI工具快速生成多个版本的动画片段，供客户选择，大幅提高沟通效率。</w:t>
      </w:r>
    </w:p>
    <w:p w14:paraId="727729EB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：苏州画宗的案例表明，OPC在AIGC领域具有巨大潜力，但需注意AI工具的局限性，如创意生成可能缺乏"人味儿"，需保留个人独特观点和语气。同时，OPC创业者需关注政策动态，充分利用区域支持措施。</w:t>
      </w:r>
    </w:p>
    <w:p w14:paraId="730AD23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深圳睿脑科技</w:t>
      </w:r>
    </w:p>
    <w:p w14:paraId="5D34A7B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睿脑科技是一家由香港中文大学（深圳）、北京理工大学等高校的博士、硕士共同成立的科技交叉创业团队，专注于脑机接口与人工智能核心技术的研发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。其成功关键要素包括：</w:t>
      </w:r>
    </w:p>
    <w:p w14:paraId="13236F82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跨学科团队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：联合高校资源进行技术研发，结合脑机接口与康复医学技术。团队成员来自不同学科背景，通过AI工具实现跨学科协作，加速技术研发进程。</w:t>
      </w:r>
    </w:p>
    <w:p w14:paraId="331446A7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技术独特性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：开发出一套软硬件结合的脑电设备，提升信号采集精度和解码准确性。该设备通过DeepSeek大模型优化信号解码，已申请12项发明专利，获2024年深圳创新创业大赛市级一等奖  。</w:t>
      </w:r>
    </w:p>
    <w:p w14:paraId="4F0AFF66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政策与资源支持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深圳作为创新示范区提供研发资金与产业对接资源，粤港澳大湾区的协同发展为其带来商机。具体政策包括：研发补助（最高200万元/年）、算力费用补贴（20%，最高200万元/年）等（根据深圳市2024年《人工智能产业创新发展专项资金管理办法》）  。</w:t>
      </w:r>
    </w:p>
    <w:p w14:paraId="71FF0F78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产学研合作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：依托香港中文大学（深圳）医学院及创新创业处的创新资源，加强与工业界和临床医学的深度合作。例如，与三甲医院合作验证脑转移瘤AI辅助检测系统，提高临床适用性。</w:t>
      </w:r>
    </w:p>
    <w:p w14:paraId="79579298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睿脑科技的案例表明，OPC在医疗领域具有广阔前景，但需关注技术转移的复杂性。创业者需平衡技术研发与商业化落地，充分利用产学研合作网络。同时，粤港澳大湾区的数据跨境政策（如《粤港澳大湾区个人信息跨境流动标准合同实施指引》）为OPC技术出海提供了便利，但需严格遵守合规要求。</w:t>
      </w:r>
    </w:p>
    <w:p w14:paraId="794CF88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陈云飞的独立开发者模式</w:t>
      </w:r>
    </w:p>
    <w:p w14:paraId="1007EBF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从互联网大厂离职的陈云飞，利用AI工具实现了从用户研究到产品开发的转型，成功开发出多个商业应用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。其成功关键要素包括：</w:t>
      </w:r>
    </w:p>
    <w:p w14:paraId="74EF0DB6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经验复用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：用户研究与运营经验指导产品开发与推广，避免了"自嗨式开发"的误区。例如，通过用户调研数据生成产品需求文档，再利用AI工具进行开发和推广。</w:t>
      </w:r>
    </w:p>
    <w:p w14:paraId="7D3289D0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低成本启动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：AI工具降低编程门槛，1小时开发App并成功商业化。例如，使用GitHub Copilot快速生成代码框架，再通过CeMeta的"森宇宙AI营销智能体"进行市场推广。</w:t>
      </w:r>
    </w:p>
    <w:p w14:paraId="5CF05336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社群支持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：通过分享经验与技术，建立个人IP与客户信任。例如，在LinkedIn、知乎、B站等平台展示项目进展，吸引天使投资或预售收入。</w:t>
      </w:r>
    </w:p>
    <w:p w14:paraId="0C2B940A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多业务线运营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：利用AI工具同时运营多个业务线，实现"一人=一个团队"的模式。例如，使用AI客服工具处理常规咨询，使用AI数据分析工具优化运营策略。</w:t>
      </w:r>
    </w:p>
    <w:p w14:paraId="22E4D335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陈云飞的案例表明，OPC在软件开发领域具有巨大潜力，但需注意技术迭代风险。创业者需建立技术监测机制，定期更新AI工具与模型，保持技术竞争力。同时，社群支持是OPC成功的关键因素，创业者需投入时间建立个人IP和客户信任。</w:t>
      </w:r>
    </w:p>
    <w:p w14:paraId="5E2B2FEB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3.2 区域政策支持下的OPC实践</w:t>
      </w:r>
    </w:p>
    <w:p w14:paraId="24987F4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苏州工业园区OPC创业实践</w:t>
      </w:r>
    </w:p>
    <w:p w14:paraId="72ED6E29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苏州工业园区已集聚人工智能相关企业超1800家，2024年产业规模突破1100亿元（根据2025江苏人工智能创新发展大会白皮书）  。其新政《关于加快打造全球领先的人工智能OPC创业首选区的若干措施》（苏园管〔2024〕35号）为OPC创业者提供了全方位要素供给：</w:t>
      </w:r>
    </w:p>
    <w:p w14:paraId="1A02C766">
      <w:pPr>
        <w:pageBreakBefore w:val="0"/>
        <w:numPr>
          <w:ilvl w:val="0"/>
          <w:numId w:val="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算力支持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对经认定的高质量数据集，每个给予最高10万元奖励（根据苏州市2024年《关于加快打造全球领先的人工智能OPC创业首选区的若干措施》），促进数据要素的价值释放。同时，部署即开即用的智能算力服务，降低OPC创业技术门槛  。</w:t>
      </w:r>
    </w:p>
    <w:p w14:paraId="52435C29">
      <w:pPr>
        <w:pageBreakBefore w:val="0"/>
        <w:numPr>
          <w:ilvl w:val="0"/>
          <w:numId w:val="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商务托管登记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为OPC提供"注册地和实际经营地分离"的创新住所托管业务，实现低成本创业。目前，根据2025江苏人工智能创新发展大会暨首届人工智能OPC大会发布的《苏州工业园区专业化OPC社区清单（2025版）》，园区已有3个专业化OPC社区提供低成本办公场地和配套设施  。</w:t>
      </w:r>
    </w:p>
    <w:p w14:paraId="10ED9733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场景开放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：系统梳理并开放一批高价值场景，为OPC技术落地提供规模化"试验田"。新政鼓励园区企事业单位对OPC的新技术、新产品予以"首试首用"，加速其技术迭代与市场验证  。</w:t>
      </w:r>
    </w:p>
    <w:p w14:paraId="29D428A7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典型案例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：苏州爱道慕客智能技术有限公司自主研发的AI智能骑行头盔，集成创新声学系统与AI语音交互技术，通过自研的端到端链路实现高效精准的语音控制。园区提供的算力支持和服务器资源，将有效降低其运营成本  。</w:t>
      </w:r>
    </w:p>
    <w:p w14:paraId="60E7B040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上海"视听静界·π空间 OPC创新伙伴计划"</w:t>
      </w:r>
    </w:p>
    <w:p w14:paraId="538B3BF7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上海静安区"视听静界·π空间 OPC创新伙伴计划"为OPC创业者提供了九大专属礼遇：</w:t>
      </w:r>
    </w:p>
    <w:p w14:paraId="35220DC6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OPC专属工位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：在π空间提供拎包入驻的专属办公工位保障。</w:t>
      </w:r>
    </w:p>
    <w:p w14:paraId="36211565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OPC创业大礼包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：对入驻π空间的OPC，使用静安区AI+大视听公共服务平台提供的要素资源，给予"算力券"、"模型券"、"语料券"、"工具券"支持，额度最高10万元。</w:t>
      </w:r>
    </w:p>
    <w:p w14:paraId="563D6C0D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全方位服务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：包括导师指导、内容治理、投融资对接、市场对接、政策咨询、工商登记及覆盖法律、财税、知识产权等方面的专业服务  。</w:t>
      </w:r>
    </w:p>
    <w:p w14:paraId="4CAE8EAB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产业资源对接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：链接专业高校以及主流短视频平台资源，构建产学研用合作网络。</w:t>
      </w:r>
    </w:p>
    <w:p w14:paraId="27A70569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原创IP支持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：支持OPC设计并开发有行业影响力的原创IP，可给予最高100万元的支持。</w:t>
      </w:r>
    </w:p>
    <w:p w14:paraId="768E71D8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创新应用场景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：对具有重大影响力的AIGC创新应用试点项目，给予最高100万元支持。</w:t>
      </w:r>
    </w:p>
    <w:p w14:paraId="6D6952B0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人才发展支持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：对行业优秀人才，可给予人才落户、住房补贴、子女就学、医疗等综合服务保障。</w:t>
      </w:r>
    </w:p>
    <w:p w14:paraId="0A6E083D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创作者大赛奖励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：对获奖的项目给予最高20万元奖励支持。</w:t>
      </w:r>
    </w:p>
    <w:p w14:paraId="13EC03CB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政策接力机制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企业完成初步孵化、进入成长期后，可无缝衔接梯度培育政策支持，包括"超高清视听专项"、"文创专项"、"影视电竞专项"、"数据智能专项"、"科创策源专项"等，形成"初创-成长-壮大"全过程、无断点的政策支持闭环  。</w:t>
      </w:r>
    </w:p>
    <w:p w14:paraId="34779528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典型案例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上海一起闹海人工智能科技有限公司的联合创始人、总导演王霆表示，传统动画制作需要编剧、分镜、导演、配音、配乐等数十人分工协作。但现在，借助AI工具，只需要五位"超级个体"负责关键岗位，就能高效完成全部制作流程（根据2025上海AIGC产业白皮书）。该公司与近千名OPC创作者按照"三七分账"的比例分配收益，创作者群体有望共同分享近亿元的收入（根据公司2024年Q3公开财报）  。</w:t>
      </w:r>
    </w:p>
    <w:p w14:paraId="7BE0E93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粤港澳大湾区数据跨境政策下的OPC实践</w:t>
      </w:r>
    </w:p>
    <w:p w14:paraId="2C260C3F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粤港澳大湾区的《个人信息跨境流动标准合同实施指引》（粤数发〔2024〕7号）为OPC技术出海提供了便利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。该政策简化了数据出境流程，允许非关键数据双向流动，支持医疗、教育等领域的OPC技术跨境合作。</w:t>
      </w:r>
    </w:p>
    <w:p w14:paraId="6BBCFD0E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跨境数据合规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：OPC创业者可通过"双向合同"机制实现数据跨境流动，无需进行数据出境安全评估。例如，某医疗AI公司通过该政策将技术授权给香港医院，加速了技术落地。</w:t>
      </w:r>
    </w:p>
    <w:p w14:paraId="3695A853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产业协同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：大湾区的产业协同为OPC提供了丰富的应用场景和资源。例如，岩山科技与华为深度合作共建情感计算大模型，旗下医疗级设备已拿下二类医疗器械证书，消费端脑控游戏顺利落地，多场景协同发展优势显著  。</w:t>
      </w:r>
    </w:p>
    <w:p w14:paraId="0CA0A8CA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创新支持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：大湾区为OPC创业者提供创新支持，包括研发资金、场景开放和市场对接。例如，深圳睿脑科技依托香港中文大学（深圳）创新创业处的资源，加速了技术转化进程  。</w:t>
      </w:r>
    </w:p>
    <w:p w14:paraId="263CEB2F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典型案例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：全应科技的ADMC热电智能调控系统在江苏多个城市落地，如宁波众茂杭州湾热电和扬州科信融一软件。全应科技通过工业OPC协议（IEC 62541标准）与Modbus实现工业设备数据通信，利用动态矩阵预测控制（DMC）算法优化热电生产参数，将设备自动投用率提升至97.8%，综合能效提升1.17%-2.5%，年节省成本超百万元（根据2024年《中国工业节能技术应用报告》）  。</w:t>
      </w:r>
    </w:p>
    <w:p w14:paraId="15FE9BF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3.3 各垂直领域OPC技术转移案例</w:t>
      </w:r>
    </w:p>
    <w:p w14:paraId="0D663E0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环保领域：先河环保"高值溯源平台"</w:t>
      </w:r>
    </w:p>
    <w:p w14:paraId="61CE550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先河环保的"高值溯源平台"通过AI算法和大数据分析技术，整合气象条件、站点数据、企业工况、交通流量、工地扬尘、餐饮油烟等多维度数据，精准解析污染成因并给出分级管控建议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。该平台将研判时间从几小时压缩至分钟级，决策的科学性、准确性提升60%以上，为精准治污提供坚实技术支撑  。</w:t>
      </w:r>
    </w:p>
    <w:p w14:paraId="2637505B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技术特点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：平台构建"高值溯源监测体系、自动溯源模型、无人值守数智应用体系"闭环管理体系，形成全链条解决方案，为政府部门、企业及公众提供风险预警、污染溯源、报告生成、智能问答等全场景服务。</w:t>
      </w:r>
    </w:p>
    <w:p w14:paraId="625733A7">
      <w:pPr>
        <w:pageBreakBefore w:val="0"/>
        <w:numPr>
          <w:ilvl w:val="0"/>
          <w:numId w:val="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AI工具应用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：平台深度应用ANSYS SimAI等仿真模拟工具，替代部分物理实验，加速技术验证与优化。同时，使用Hyperledger Fabric区块链平台构建透明、不可篡改的技术转移记录，具体流程为：1.技术参数上链存证→2.智能合约自动执行交易→3.分布式节点验证存证，确保每一次交易的公正公平。</w:t>
      </w:r>
    </w:p>
    <w:p w14:paraId="15E2E403">
      <w:pPr>
        <w:pageBreakBefore w:val="0"/>
        <w:numPr>
          <w:ilvl w:val="0"/>
          <w:numId w:val="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：该平台受益于《京津冀生态环境科技产业金融协同发展行动计划（2023-2025年）》，以及苏州工业园区的算力支持和场景开放清单（苏园管〔2024〕35号）。</w:t>
      </w:r>
    </w:p>
    <w:p w14:paraId="5D312C2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：环保领域的OPC需关注技术的实用性和可靠性，同时需与政府部门和企业建立紧密合作。AI工具的应用需结合行业特点，如污染溯源需多维度数据融合和精准算法。</w:t>
      </w:r>
    </w:p>
    <w:p w14:paraId="628BEA2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医疗领域：中山大学肿瘤防治中心AI辅助诊断系统</w:t>
      </w:r>
    </w:p>
    <w:p w14:paraId="6D3D7DC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中山大学肿瘤防治中心开发的脑转移瘤MR图像辅助检测软件已推广至全国500多家医院，展现出AI技术在医疗领域的巨大潜力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。该系统通过DeepSeek大模型分析医学影像，使放射科医师的骨转移灶检测灵敏度提升22.2%，阅片时间缩短26.4%。</w:t>
      </w:r>
    </w:p>
    <w:p w14:paraId="10341D77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技术特点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：系统整合基因组学、影像学和病史等多源数据，为医生提供智能研判建议，并动态更新治疗知识库，优化诊疗路径。系统还同步显示推理路径，既为资深专家提供提醒，也帮助年轻医生理解判断逻辑  。</w:t>
      </w:r>
    </w:p>
    <w:p w14:paraId="08D2DA4B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AI工具应用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：系统利用智能匹配引擎（如科易网的"企业需求分析系统"）精准对接医院需求，同时使用AI合同生成系统确保技术转移的法律合规性。</w:t>
      </w:r>
    </w:p>
    <w:p w14:paraId="0A5978AF">
      <w:pPr>
        <w:pageBreakBefore w:val="0"/>
        <w:numPr>
          <w:ilvl w:val="0"/>
          <w:numId w:val="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：该系统受益于粤港澳大湾区的产学研合作政策，以及深圳对高质量数据集的奖励（每个最高10万元，根据深圳市2024年《人工智能产业创新发展专项资金管理办法》）  。</w:t>
      </w:r>
    </w:p>
    <w:p w14:paraId="209AA620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：医疗领域的OPC需关注技术的临床适用性和安全性，同时需与医疗机构建立紧密合作。AI工具的应用需符合医疗行业的特殊要求，如数据隐私保护和合规认证。</w:t>
      </w:r>
    </w:p>
    <w:p w14:paraId="029BCA6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制造业：全应科技ADMC平台</w:t>
      </w:r>
    </w:p>
    <w:p w14:paraId="02CDBDF9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全应科技的ADMC热电智能调控系统通过"智能硬件 + 核心软件 + AI算法模型"三位一体的全栈式技术架构，为浦潭热能等企业打造区域热电智能化转型标杆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。系统将设备自动投用率提升至97.8%，综合能效提升1.17%-2.5%，年节省成本超百万元（根据2024年《中国工业节能技术应用报告》）  。</w:t>
      </w:r>
    </w:p>
    <w:p w14:paraId="55B5AAE0">
      <w:pPr>
        <w:pageBreakBefore w:val="0"/>
        <w:numPr>
          <w:ilvl w:val="0"/>
          <w:numId w:val="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技术特点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：系统通过OPC协议与现有DCS系统无缝对接，运用动态矩阵预测控制（DMC）等算法，实现热电全系统实时滚动优化决策，将人工经验转化为智能控制逻辑  。</w:t>
      </w:r>
    </w:p>
    <w:p w14:paraId="162A9786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AI工具应用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：系统利用ANSYS SimAI等仿真模拟工具替代部分物理实验，加速技术验证与优化。同时，使用Hyperledger Fabric区块链平台构建透明、不可篡改的技术转移记录，具体流程为：1.技术参数上链存证→2.智能合约自动执行交易→3.分布式节点验证存证。</w:t>
      </w:r>
    </w:p>
    <w:p w14:paraId="058692C2">
      <w:pPr>
        <w:pageBreakBefore w:val="0"/>
        <w:numPr>
          <w:ilvl w:val="0"/>
          <w:numId w:val="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：该系统受益于苏州工业园区的算力支持和场景开放清单，以及扬州的"十年陪护体系"，从技术到市场形成全链路支持。</w:t>
      </w:r>
    </w:p>
    <w:p w14:paraId="429CE5E4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：制造业的OPC需关注技术的实用性和稳定性，同时需与传统企业建立紧密合作。AI工具的应用需结合行业特点，如工业控制需高精度算法和可靠通信协议。</w:t>
      </w:r>
    </w:p>
    <w:p w14:paraId="2F37731D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3.4 OPC运营中的常见挑战与应对策略</w:t>
      </w:r>
    </w:p>
    <w:p w14:paraId="26168269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尽管OPC模式具有显著优势，但仍面临以下挑战：</w:t>
      </w:r>
    </w:p>
    <w:p w14:paraId="2E178F59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技术迭代风险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：AI模型快速更新，OPC需持续投入以保持技术竞争力。例如，GitHub Copilot的语义变化可能导致代码差异（约46%案例），影响产品稳定性。</w:t>
      </w:r>
    </w:p>
    <w:p w14:paraId="0D46D48E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法律合规复杂性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：跨区域/跨国技术转移中的知识产权归属、数据隐私问题。例如，医疗AI技术的跨境转移需遵守《粤港澳大湾区个人信息跨境流动标准合同实施指引》（粤数发〔2024〕7号）等合规要求。</w:t>
      </w:r>
    </w:p>
    <w:p w14:paraId="670AFD36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市场验证压力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：技术商业化需快速试错，但OPC资源有限可能导致失败率高。例如，AIGC内容创作需平衡创意与商业价值，避免"自嗨式开发"。</w:t>
      </w:r>
    </w:p>
    <w:p w14:paraId="05003B5F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协作网络构建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：如何通过AI工具弥补团队规模小的短板。例如，使用智能匹配引擎与协同平台，构建虚拟协作网络。</w:t>
      </w:r>
    </w:p>
    <w:p w14:paraId="269F18EA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应对策略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E6D26CE">
      <w:pPr>
        <w:pageBreakBefore w:val="0"/>
        <w:numPr>
          <w:ilvl w:val="0"/>
          <w:numId w:val="1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技术迭代风险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：建立技术监测机制，定期更新AI工具与模型。基于资源基础观（RBV）理论，通过XAI（可解释人工智能）技术提升模型可信度，联邦学习解决数据孤岛问题，确保技术持续创新与迭代  。</w:t>
      </w:r>
    </w:p>
    <w:p w14:paraId="0EA26C47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法律合规复杂性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：使用AI合同生成系统与数据安全工具，降低合规风险。例如，通过千律科技的"双闭环"模型（流程风险+内容风险）确保合同可靠性，同时使用CCRC认证的数据安全工具保护技术成果。</w:t>
      </w:r>
    </w:p>
    <w:p w14:paraId="264DFD30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市场验证压力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：利用AI工具进行市场分析与预测，降低试错成本。例如，使用CeMeta的"森宇宙AI营销智能体"进行A/B测试，优化产品定位与推广策略。</w:t>
      </w:r>
    </w:p>
    <w:p w14:paraId="5737A054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协作网络构建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：通过智能匹配引擎与协同平台，构建虚拟协作网络。例如，使用汇智智能的Agentsyun平台，通过"模板选择-组件装配-部署上线"三步操作，组建自己的数字团队，实现"一人=一个团队"的模式  。</w:t>
      </w:r>
    </w:p>
    <w:p w14:paraId="206680DF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：OPC创业者需关注技术迭代风险，建立持续学习和更新的机制；同时需重视法律合规，确保技术转移过程的合法性；还需快速验证市场，避免资源浪费；最后需构建协作网络，弥补团队规模小的短板。</w:t>
      </w:r>
    </w:p>
    <w:p w14:paraId="69930158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3.5 OPC创业者的能力提升路径</w:t>
      </w:r>
    </w:p>
    <w:p w14:paraId="6A67658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OPC创业者需具备多方面的能力，才能在技术转移领域取得成功：</w:t>
      </w:r>
    </w:p>
    <w:p w14:paraId="087ABDAE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技术能力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：掌握AI工具的操作方法，如GitHub Copilot、ANSYS SimAI等，能够独立完成技术开发与优化。GitHub Copilot实操步骤：1. 安装VS Code插件→2. 输入功能描述注释（如"生成脑电信号解码算法框架"）→3. 自动生成代码片段→4. 人工优化逻辑与注释；ANSYS SimAI使用流程：1. 导入物理模型参数→2. 设置仿真边界条件→3. 运行AI驱动的多场景模拟→4. 输出优化方案报告。</w:t>
      </w:r>
    </w:p>
    <w:p w14:paraId="72284F28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市场洞察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：理解行业趋势和用户需求，能够精准匹配技术与市场。例如，使用智慧芽的"技术监控"模块实时追踪技术趋势，具体步骤为：1. 设置关键词（如"脑机接口+医疗康复"）→2. 配置监测频率（每日/每周）→3. 接收包含专利增长、企业动态的趋势分析报告→4. 导出数据用于产品开发路线规划  。</w:t>
      </w:r>
    </w:p>
    <w:p w14:paraId="604A9AB5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法律意识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：了解知识产权保护和数据安全法规，确保技术转移的合法性。例如，使用千律科技的智能合同生成系统，确保合同条款的合规性。</w:t>
      </w:r>
    </w:p>
    <w:p w14:paraId="14AD0A9C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资源整合能力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能够有效利用政策支持、行业资源和AI工具，加速技术转移进程。例如，加入苏州工业园区的"全链通"AI服务入口（苏园管〔2024〕35号），获取算力支持（20%费用补贴，最高200万元/年）和场景开放清单（2025年发布的50个高价值应用场景）  。</w:t>
      </w:r>
    </w:p>
    <w:p w14:paraId="19792C2D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能力提升方法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AE735F2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"能力产品化"系统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：将个人技能转化为市场产品，如陈云飞将用户研究与运营经验转化为产品开发与推广能力。</w:t>
      </w:r>
    </w:p>
    <w:p w14:paraId="21BBB484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技能系统重构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：零散能力如何堆砌出高价值产品，如睿脑科技将脑机接口与康复医学技术结合，开发出高精度的医疗设备。</w:t>
      </w:r>
    </w:p>
    <w:p w14:paraId="62D791E7">
      <w:pPr>
        <w:pageBreakBefore w:val="0"/>
        <w:numPr>
          <w:ilvl w:val="0"/>
          <w:numId w:val="1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终身学习策略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：OPC创业者需持续更新知识与技能，如王旖团队的项目源于南京大学"研究生AI＋创新能力提升行动计划（2023-2025）"，通过跨学科课程（AI算法+生物医学工程）推动脑机接口技术与康复医学的融合创新  。</w:t>
      </w:r>
    </w:p>
    <w:p w14:paraId="4B47A476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心理韧性培养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：OPC创业者需平衡"不上班"的自由与压力，建立高效时间管理和压力管理机制。例如，使用Notion打造"第二大脑"，实现工作与生活的平衡  。</w:t>
      </w:r>
    </w:p>
    <w:p w14:paraId="136B203D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个人品牌建设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：OPC创业者需从技能者转变为品牌经营者，通过内容创作与价值传递建立个人影响力。例如，陈云飞通过LinkedIn、知乎、B站等平台展示项目进展，吸引天使投资或预售收入  。</w:t>
      </w:r>
    </w:p>
    <w:p w14:paraId="7C4E5CFD">
      <w:pPr>
        <w:pageBreakBefore w:val="0"/>
        <w:numPr>
          <w:ilvl w:val="0"/>
          <w:numId w:val="1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社群支持与资源对接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加入高质量社群，获取技术、资金与市场资源。例如，加入中关村AI北纬社区（2024年北京市人工智能产业创新社群名录），可获取算力服务（每月500小时免费GPU）、智能体工具包（含30+AI应用模板）和产学研合作资源（与清华大学智能技术与系统国家重点实验室对接）  。</w:t>
      </w:r>
    </w:p>
    <w:p w14:paraId="54AA4EF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：OPC创业者需全面发展技术、市场、法律和管理能力，同时需建立个人品牌和社群网络，以弥补团队规模小的短板。AI工具是OPC成功的关键，但创业者的人类智慧和决策能力同样重要。</w:t>
      </w:r>
    </w:p>
    <w:p w14:paraId="781135E9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3.6 OPC创业者的心理健康与时间管理</w:t>
      </w:r>
    </w:p>
    <w:p w14:paraId="3923DBE5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OPC模式既提供了自由，也带来了压力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。创业者需平衡技术开发、市场推广与个人生活，建立健康的心理状态和高效的时间管理机制。</w:t>
      </w:r>
    </w:p>
    <w:p w14:paraId="61F13988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心理调适方法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：OPC创业者需关注"不上班"的自由与压力，建立心理韧性。例如，通过冥想、运动等方式缓解压力，同时设定清晰的目标和界限，避免工作与生活的混淆  。</w:t>
      </w:r>
    </w:p>
    <w:p w14:paraId="6BA55012">
      <w:pPr>
        <w:pageBreakBefore w:val="0"/>
        <w:numPr>
          <w:ilvl w:val="0"/>
          <w:numId w:val="1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高效时间管理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建立标准作业程序（SOP），将AI嵌入工作流。例如，参考dtsola方法论（源自《AI驱动的个人生产力提升指南》2024版），上午9:00-11:00使用ChatGPT生成营销文案并通过Buffer排程发布，中午12:30-13:00用Tableau分析用户反馈数据并微调模型参数，下午14:00-16:00用GitHub Copilot迭代产品功能，傍晚17:00-18:00通过Power BI进行业务决策分析  。</w:t>
      </w:r>
    </w:p>
    <w:p w14:paraId="2BA4A49A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压力管理与自我激励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：OPC创业者需建立压力管理机制，如定期休息、设定合理目标等，同时通过自我激励保持创业热情。例如，使用AI工具释放精力，专注于核心创新，同时设定短期和长期目标，激励自己不断前进  。</w:t>
      </w:r>
    </w:p>
    <w:p w14:paraId="3D5F2EB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：OPC创业者需关注心理健康，避免过度工作和压力积累；同时需建立高效的时间管理机制，利用AI工具优化工作流程；还需保持自我激励，维持创业热情和动力。</w:t>
      </w:r>
    </w:p>
    <w:p w14:paraId="6E5EBDB7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3.7 OPC创业者的个人品牌建设</w:t>
      </w:r>
    </w:p>
    <w:p w14:paraId="64C4EF00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个人IP是OPC成功的关键因素之一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。创业者需从技能者转变为品牌经营者，通过内容创作与价值传递建立个人影响力。</w:t>
      </w:r>
    </w:p>
    <w:p w14:paraId="69D3C8A3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个人IP塑造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：OPC创业者需明确自己的专长和价值主张，如陈云飞专注于用户研究与运营经验转化为产品开发与推广能力。创业者可通过LinkedIn、知乎、B站等平台展示项目进展，吸引目标受众。</w:t>
      </w:r>
    </w:p>
    <w:p w14:paraId="2BE069FB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社群运营与客户信任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：OPC创业者需通过分享经验与技术，建立个人IP与客户信任。例如，陈云飞通过内容创作与价值传递，吸引了天使投资和预售收入。创业者可通过社群运营，与潜在客户建立联系，提高转化率。</w:t>
      </w:r>
    </w:p>
    <w:p w14:paraId="6C8B1687">
      <w:pPr>
        <w:pageBreakBefore w:val="0"/>
        <w:numPr>
          <w:ilvl w:val="0"/>
          <w:numId w:val="15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内容创作与价值传递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：OPC创业者需利用AI工具打造独特内容，如使用ChatGPT生成博客、社群帖子、邮件文案（步骤：1. 输入目标受众画像与核心信息→2. 选择内容风格（专业/通俗）→3. 生成初稿后人工润色→4. 补充行业数据增强可信度），Midjourney生成配图（提示词："科技创业+数据可视化+未来感配色"），提升内容质量和效率  。同时，创业者需确保内容的独特性和价值，避免同质化竞争。</w:t>
      </w:r>
    </w:p>
    <w:p w14:paraId="7D0E065B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：OPC创业者需重视个人品牌建设，通过内容创作和社群运营扩大影响力；同时需保持内容的独特性和价值，避免过度依赖AI工具而失去个人特色。</w:t>
      </w:r>
    </w:p>
    <w:p w14:paraId="7D1988DF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3.8 OPC创业者的社群支持与资源对接</w:t>
      </w:r>
    </w:p>
    <w:p w14:paraId="041DDF82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社群支持是OPC成功的关键因素之一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。创业者需选择适合的社群，获取技术、资金与市场资源。</w:t>
      </w:r>
    </w:p>
    <w:p w14:paraId="1DDAC8BF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创业社群的选择与参与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加入高质量社群，如中关村AI北纬社区（2024年北京市人工智能产业创新社群名录）、苏州工业园区"全链通"AI服务入口（苏园管〔2024〕35号）等，获取算力支持、工具包和产学研合作资源。例如，洪玥作为中关村AI北纬社区的入驻创业者，获得了弹性、低成本的算力服务（每月500小时免费GPU），有效减少模型训练与推演压力  。</w:t>
      </w:r>
    </w:p>
    <w:p w14:paraId="064AEB41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资源对接平台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：OPC创业者需利用线上平台获取技术、资金与市场资源。例如，使用科易网的"企业需求分析系统"对接企业技术需求（步骤：1. 输入技术关键词→2. 选择匹配维度（技术成熟度/行业领域）→3. 生成需求清单与对接方案），或通过汇智智能的Agentsyun平台快速构建数字团队（流程：模板选择→组件装配→部署上线，30分钟内完成虚拟团队搭建）  。</w:t>
      </w:r>
    </w:p>
    <w:p w14:paraId="7F40BFA8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成功者经验分享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：OPC创业者需从"学习者"转变为"指导者"，通过分享经验与技术，建立个人IP和客户信任。例如，陈云飞通过内容创作与价值传递，吸引了天使投资和预售收入  。</w:t>
      </w:r>
    </w:p>
    <w:p w14:paraId="498EBC79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：OPC创业者需主动参与社群，建立人脉网络；同时需利用资源对接平台，获取必要的支持；最后需从成功者那里学习经验，避免常见陷阱和误区。</w:t>
      </w:r>
    </w:p>
    <w:p w14:paraId="0415D809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3.9 OPC运营的持续改进</w:t>
      </w:r>
    </w:p>
    <w:p w14:paraId="2B49C01D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OPC运营需要不断改进和优化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。创业者需从反馈与数据驱动中不断调整策略，提升运营效率。</w:t>
      </w:r>
    </w:p>
    <w:p w14:paraId="0D2C3937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从反馈中改进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：OPC创业者需关注用户反馈，及时调整产品和服务。例如，苏州画宗根据客户修改意见，通过AI生成3个修改方案，团队20分钟内反馈，显著缩短了传统团队反复讨论的周期。</w:t>
      </w:r>
    </w:p>
    <w:p w14:paraId="6F031831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从数据中优化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：OPC创业者需利用AI数据分析工具，优化产品定位和推广策略。例如，使用CeMeta的"森宇宙AI营销智能体"进行A/B测试，分析不同方案的点击率和转化率，优化营销内容。</w:t>
      </w:r>
    </w:p>
    <w:p w14:paraId="331F697A">
      <w:pPr>
        <w:pageBreakBefore w:val="0"/>
        <w:numPr>
          <w:ilvl w:val="0"/>
          <w:numId w:val="1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从案例中学习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：OPC创业者需分析成功和失败案例，总结经验教训。基于技术接受模型（TAM）理论，学习陈云飞的独立开发者模式：1. 用户研究经验转化为需求洞察→2. GitHub Copilot降低开发门槛→3. 社群运营建立信任→4. 多业务线并行实现规模效应，形成可复用的"经验-工具-社群"三维成功模型  。</w:t>
      </w:r>
    </w:p>
    <w:p w14:paraId="160875D4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：OPC运营需要持续学习和改进，创业者需保持开放的心态，从反馈、数据和案例中汲取经验，不断优化产品和服务。</w:t>
      </w:r>
    </w:p>
    <w:p w14:paraId="12D5E124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3.10 OPC模式的长期发展趋势</w:t>
      </w:r>
    </w:p>
    <w:p w14:paraId="0E40D40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OPC模式的长期发展趋势主要体现在以下几个方面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4A06E81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技术融合深化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生成式AI与垂直领域（如医疗、制造）结合，催生更多"超级个体"案例。例如，中山大学肿瘤防治中心的脑转移瘤AI检测系统通过DeepSeek大模型实现精准诊断，推广至500多家医院，展现出巨大的技术潜力（根据2024年《医疗AI技术应用白皮书》）  。</w:t>
      </w:r>
    </w:p>
    <w:p w14:paraId="178AFCE9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全球化与本地化平衡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应对跨境数据合规与技术主权争议，通过国产化替代与区域协同策略规避风险。例如，新凯来设备100%国产化使美国出口管制失效，2024年海外营收同比增长37%（根据公司2024年年度报告），展示了逆向突围的创新路径  。</w:t>
      </w:r>
    </w:p>
    <w:p w14:paraId="393B32E8">
      <w:pPr>
        <w:pageBreakBefore w:val="0"/>
        <w:numPr>
          <w:ilvl w:val="0"/>
          <w:numId w:val="1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伦理治理常态化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：XAI技术将成为技术转移的标配工具，确保算法公平性与数据隐私。例如，医疗AI的解释性模块可帮助医生理解判断逻辑，增强临床决策信心  。</w:t>
      </w:r>
    </w:p>
    <w:p w14:paraId="058B8F1E">
      <w:pPr>
        <w:pageBreakBefore w:val="0"/>
        <w:numPr>
          <w:ilvl w:val="0"/>
          <w:numId w:val="1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OPC规模化转型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：从轻量级向中型团队扩展，需保留"一人一部门"的敏捷性，同时引入协作工具与管理流程，实现可持续发展。例如，全应科技从OPC模式扩展为团队运营，但仍保持"一人一部门"的敏捷性，确保快速响应市场  。</w:t>
      </w:r>
    </w:p>
    <w:p w14:paraId="596B1E60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：OPC创业者需关注技术融合趋势，选择适合的垂直领域；同时需平衡全球化与本地化，确保合规与安全；还需重视伦理治理，提升技术可信度；最后需规划规模化转型路径，从轻量级向中型团队扩展。</w:t>
      </w:r>
    </w:p>
    <w:p w14:paraId="60B1F646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3.11 OPC运营的行动建议与资源清单</w:t>
      </w:r>
    </w:p>
    <w:p w14:paraId="7F293DA3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OPC创业者需从起步到进阶，制定清晰的行动建议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，同时获取必要的资源支持：</w:t>
      </w:r>
    </w:p>
    <w:p w14:paraId="0E03B2E3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起步行动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：从工具选择到市场定位的10步指南。具体包括：选择适合的AI工具（如GitHub Copilot、ANSYS SimAI）；注册一人有限责任公司；制定技术转移策略；建立个人品牌；加入创业社群；获取政策支持；开发最小可行产品（MVP）；进行市场测试；收集用户反馈；优化产品和服务。</w:t>
      </w:r>
    </w:p>
    <w:p w14:paraId="0AEF6183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进阶行动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产品开发到商业化的关键步骤。具体包括：扩大产品功能；建立标准化流程；拓展市场渠道；优化商业模式；提升技术壁垒；建立协作网络；规划规模化转型；获取融资支持；扩大团队规模；实现可持续发展。</w:t>
      </w:r>
    </w:p>
    <w:p w14:paraId="1510AAD3">
      <w:pPr>
        <w:pageBreakBefore w:val="0"/>
        <w:numPr>
          <w:ilvl w:val="0"/>
          <w:numId w:val="1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资源清单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：工具、平台、政策与社群的全面梳理。具体包括：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1. AI开发工具对比矩阵：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- GitHub Copilot：代码生成效率提升50%，适合软件开发场景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- Code Swarm：多语言支持，开源社区活跃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- ANSYS SimAI：工程仿真精度达92%，替代60%物理实验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2. 项目管理工具：飞书（协作效率提升30%）、Notion（知识管理场景适配）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3. 营销推广工具：CeMeta（营销内容生成效率提升50倍）、VertGrow（转化率提升52%）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4. 法律合规工具：千律科技合同生成系统（条款风险提示准确率98%）、CCRC认证数据安全工具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5. 区域政策：苏州工业园区新政（苏园管〔2024〕35号）、北京中关村OPC服务计划、粤港澳大湾区数据跨境政策（粤数发〔2024〕7号）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6. 创业社群：中关村AI北纬社区、苏州工业园区OPC社区等。</w:t>
      </w:r>
    </w:p>
    <w:p w14:paraId="154BDF2B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：OPC创业者需制定清晰的行动计划，从工具选择到市场定位逐步推进；同时需获取必要的资源支持，包括工具、平台、政策和社群；最后需保持灵活应变的能力，根据市场反馈不断调整策略。</w:t>
      </w:r>
    </w:p>
    <w:p w14:paraId="0E8DC9F7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3.12 OPC模式的挑战与未来展望</w:t>
      </w:r>
    </w:p>
    <w:p w14:paraId="5895BA5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OPC模式虽然具有显著优势，但仍面临诸多挑战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97E9FAB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技术迭代风险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：AI模型快速更新，OPC需持续投入以保持技术竞争力。例如，GitHub Copilot的语义变化可能导致代码差异（约46%案例），影响产品稳定性。</w:t>
      </w:r>
    </w:p>
    <w:p w14:paraId="1F2427B1">
      <w:pPr>
        <w:pageBreakBefore w:val="0"/>
        <w:numPr>
          <w:ilvl w:val="0"/>
          <w:numId w:val="2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法律合规复杂性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：跨区域/跨国技术转移中的知识产权归属、数据隐私问题。例如，医疗AI技术的跨境转移需遵守《粤港澳大湾区个人信息跨境流动标准合同实施指引》（粤数发〔2024〕7号）等合规要求。</w:t>
      </w:r>
    </w:p>
    <w:p w14:paraId="38ED31DA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市场验证压力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：技术商业化需快速试错，但OPC资源有限可能导致失败率高。例如，AIGC内容创作需平衡创意与商业价值，避免"自嗨式开发"。</w:t>
      </w:r>
    </w:p>
    <w:p w14:paraId="44A4B428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协作网络构建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：如何通过AI工具弥补团队规模小的短板。例如，使用智能匹配引擎与协同平台，构建虚拟协作网络。</w:t>
      </w:r>
    </w:p>
    <w:p w14:paraId="780B7DA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未来展望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E945CE9">
      <w:pPr>
        <w:pageBreakBefore w:val="0"/>
        <w:numPr>
          <w:ilvl w:val="0"/>
          <w:numId w:val="2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技术驱动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：基于资源基础观（RBV）理论，AI工具将持续赋能OPC模式创新，如XAI（可解释人工智能）技术提升模型可信度，联邦学习解决数据孤岛问题，确保技术持续创新与迭代  。</w:t>
      </w:r>
    </w:p>
    <w:p w14:paraId="4B984DF5">
      <w:pPr>
        <w:pageBreakBefore w:val="0"/>
        <w:numPr>
          <w:ilvl w:val="0"/>
          <w:numId w:val="2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市场变化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：技术转移市场需求将更加多元化和细分化，OPC需关注垂直领域的创新机会。例如，医疗、环保、制造等领域的技术转移需求将快速增长。</w:t>
      </w:r>
    </w:p>
    <w:p w14:paraId="41F68706">
      <w:pPr>
        <w:pageBreakBefore w:val="0"/>
        <w:numPr>
          <w:ilvl w:val="0"/>
          <w:numId w:val="2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政策演进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支持政策将更加完善和细化，为创业者提供全方位的要素供给。例如，苏州工业园区新政《关于加快打造全球领先的人工智能OPC创业首选区的若干措施》（苏园管〔2024〕35号）提供专为OPC设计的技术轻量化服务、算力支持与服务器资源  。</w:t>
      </w:r>
    </w:p>
    <w:p w14:paraId="5B4B9EF5">
      <w:pPr>
        <w:pageBreakBefore w:val="0"/>
        <w:numPr>
          <w:ilvl w:val="0"/>
          <w:numId w:val="2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生态协同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：OPC将更加融入产业生态，与大企业、科研机构建立深度合作关系。例如，睿脑科技依托香港中文大学（深圳）医学院及创新创业处的创新资源，加强与工业界和临床医学的深度合作  。</w:t>
      </w:r>
    </w:p>
    <w:p w14:paraId="38E0248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：OPC创业者需关注技术迭代和市场变化，保持灵活应变的能力；同时需利用政策支持和生态协同，降低创业风险；最后需建立可持续的商业模式，确保长期发展。</w:t>
      </w:r>
    </w:p>
    <w:p w14:paraId="28183547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3.13 OPC模式的创新实践与未来机遇</w:t>
      </w:r>
    </w:p>
    <w:p w14:paraId="31C5D3A0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OPC模式在AI时代将迎来更多创新实践和未来机遇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4CDB897">
      <w:pPr>
        <w:pageBreakBefore w:val="0"/>
        <w:numPr>
          <w:ilvl w:val="0"/>
          <w:numId w:val="2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创新实践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：OPC创业者将探索更多"超级个体"的创新实践，如全应科技的ADMC平台通过工业OPC协议（IEC 62541标准）与Modbus实现工业设备数据通信，利用动态矩阵预测控制（DMC）算法优化热电生产参数，年节省成本超百万元（根据2024年《中国工业节能技术应用报告》），展现了OPC在工业领域的潜力  。</w:t>
      </w:r>
    </w:p>
    <w:p w14:paraId="0823965E">
      <w:pPr>
        <w:pageBreakBefore w:val="0"/>
        <w:numPr>
          <w:ilvl w:val="0"/>
          <w:numId w:val="2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未来机遇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：OPC模式将在更多领域展现潜力，如教育、金融、娱乐等。例如，时间茧CEO李涛创办的"AI选校鸟"网站，帮助大学生出国留学选校，展现了OPC在教育领域的应用  。</w:t>
      </w:r>
    </w:p>
    <w:p w14:paraId="0B418DB6">
      <w:pPr>
        <w:pageBreakBefore w:val="0"/>
        <w:numPr>
          <w:ilvl w:val="0"/>
          <w:numId w:val="2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技术突破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：AI技术将持续突破，为OPC提供更强大的工具支持。例如，DeepSeek大模型在医疗领域的应用，使放射科医师的骨转移灶检测灵敏度提升22.2%，阅片时间缩短26.4%（根据2024年《医疗AI技术应用白皮书》）  。</w:t>
      </w:r>
    </w:p>
    <w:p w14:paraId="6D8A11BB">
      <w:pPr>
        <w:pageBreakBefore w:val="0"/>
        <w:numPr>
          <w:ilvl w:val="0"/>
          <w:numId w:val="2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：政府将进一步支持OPC模式，如上海静安区"视听静界·π空间 OPC创新伙伴计划"提供的九大专属礼遇，为创业者提供全方位支持  。</w:t>
      </w:r>
    </w:p>
    <w:p w14:paraId="459D5EB8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：OPC创业者需关注技术突破和政策支持，抓住未来机遇；同时需保持创新实践，不断探索新的商业模式和应用场景；最后需建立可持续的运营体系，确保长期发展。</w:t>
      </w:r>
    </w:p>
    <w:p w14:paraId="097FCAE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3.14 OPC模式的可持续发展路径</w:t>
      </w:r>
    </w:p>
    <w:p w14:paraId="707A4158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OPC模式的可持续发展需要多方面的支持与策略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781B025">
      <w:pPr>
        <w:pageBreakBefore w:val="0"/>
        <w:numPr>
          <w:ilvl w:val="0"/>
          <w:numId w:val="2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苏州工业园区新政《关于加快打造全球领先的人工智能OPC创业首选区的若干措施》（苏园管〔2024〕35号）提供全方位要素供给，包括专为OPC设计的技术轻量化服务、算力支持与服务器资源，以及对高质量数据集的奖励（每个最高10万元）。强化要素保障，精准对接OPC核心需求，如研发补助（最高200万元/年）、算力费用补贴（20%，最高200万元/年）等  。</w:t>
      </w:r>
    </w:p>
    <w:p w14:paraId="2292A855">
      <w:pPr>
        <w:pageBreakBefore w:val="0"/>
        <w:numPr>
          <w:ilvl w:val="0"/>
          <w:numId w:val="2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技术迭代策略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：采用XAI（可解释人工智能）技术提升模型可信度，联邦学习解决数据孤岛问题，确保技术持续创新与迭代。例如，全应科技通过DMC算法和边缘计算技术，持续优化热电生产参数，实现技术迭代  。</w:t>
      </w:r>
    </w:p>
    <w:p w14:paraId="2293D85B">
      <w:pPr>
        <w:pageBreakBefore w:val="0"/>
        <w:numPr>
          <w:ilvl w:val="0"/>
          <w:numId w:val="2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生态协同机制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：通过"资源超市"接入产学研合作网络，利用场景开放清单与首试首用机制加速技术验证与市场落地。例如，苏州工业园区系统梳理并开放高价值场景，为OPC技术落地提供规模化"试验田"  。</w:t>
      </w:r>
    </w:p>
    <w:p w14:paraId="32F14674">
      <w:pPr>
        <w:pageBreakBefore w:val="0"/>
        <w:numPr>
          <w:ilvl w:val="0"/>
          <w:numId w:val="2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财务韧性构建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建立多收入来源策略，结合政策性投资（如江苏省青年创业基金最高5000万元支持）与风险对冲机制，确保长期运营稳定性。例如，陈云飞通过内容创作与价值传递，吸引了天使投资和预售收入，实现了多收入来源  。</w:t>
      </w:r>
    </w:p>
    <w:p w14:paraId="453FFE43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：OPC创业者需充分利用政策支持，降低创业门槛；同时需建立技术迭代策略，保持技术竞争力；还需构建生态协同机制，加速技术验证与市场落地；最后需建立财务韧性，确保长期运营稳定性。</w:t>
      </w:r>
    </w:p>
    <w:p w14:paraId="702F27D1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3.15 OPC模式的风险应对与争议解决</w:t>
      </w:r>
    </w:p>
    <w:p w14:paraId="23B55621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OPC模式面临诸多风险，需建立有效的应对机制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6AE8CE4">
      <w:pPr>
        <w:pageBreakBefore w:val="0"/>
        <w:numPr>
          <w:ilvl w:val="0"/>
          <w:numId w:val="2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AI生成内容侵权纠纷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：OPC创业者需关注AI生成内容的版权问题，操作步骤：1. 使用智慧芽的"技术想法查新"功能（输入核心创意关键词→生成新颖性评估报告）→2. 对AI生成内容进行著作权登记→3. 保留提示词设计与参数调整记录。同时，需通过"原创IP支持"等政策获取保护，如上海静安区"视听静界·π空间OPC创新伙伴计划"对入驻OPC提供最高100万元的支持（沪静科〔2024〕12号）  。</w:t>
      </w:r>
    </w:p>
    <w:p w14:paraId="647713A3">
      <w:pPr>
        <w:pageBreakBefore w:val="0"/>
        <w:numPr>
          <w:ilvl w:val="0"/>
          <w:numId w:val="2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技术泄露风险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建立多层次防护体系，如全应科技的边缘控制器具备强大的自治理能力（采用AES-256加密算法），即便云端断连，也能独立完成数据采集、计算与控制，全方位筑牢生产安全防线（根据2024年《工业数据安全白皮书》）  。</w:t>
      </w:r>
    </w:p>
    <w:p w14:paraId="743A5547">
      <w:pPr>
        <w:pageBreakBefore w:val="0"/>
        <w:numPr>
          <w:ilvl w:val="0"/>
          <w:numId w:val="2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合同黑箱陷阱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：OPC创业者需通过"双认证与版本声明"等机制规避合同黑箱陷阱，千律科技智能合同生成系统实操流程：1. 输入交易主体/标的等关键信息→2. 自动调用条款库组装草案→3. AI识别高风险条款（如知识产权归属不明）→4. 多人协同审查并追踪修改记录，实现对高风险条款的事中管控  。</w:t>
      </w:r>
    </w:p>
    <w:p w14:paraId="73790D23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：OPC创业者需建立风险应对机制，关注AI生成内容的版权问题、技术泄露风险和合同黑箱陷阱；同时需利用政策支持和工具推荐，降低风险发生的概率和影响。</w:t>
      </w:r>
    </w:p>
    <w:p w14:paraId="00EB1A4F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3.16 OPC模式的全球化发展路径</w:t>
      </w:r>
    </w:p>
    <w:p w14:paraId="2B4F25F6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OPC模式的全球化发展路径需要关注跨境数据合规与技术主权争议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0C51402">
      <w:pPr>
        <w:pageBreakBefore w:val="0"/>
        <w:numPr>
          <w:ilvl w:val="0"/>
          <w:numId w:val="25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跨境数据合规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需了解《粤港澳大湾区（内地、香港）个人信息跨境流动标准合同实施指引》（粤数发〔2024〕7号）等政策，确保技术转移的合法性。例如，该指引简化了数据出境流程，允许非关键数据双向流动，支持医疗、教育等领域的OPC技术跨境合作  。</w:t>
      </w:r>
    </w:p>
    <w:p w14:paraId="7C090F22">
      <w:pPr>
        <w:pageBreakBefore w:val="0"/>
        <w:numPr>
          <w:ilvl w:val="0"/>
          <w:numId w:val="2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技术主权争议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：OPC创业者需通过国产化替代与区域协同策略规避风险。例如，新凯来设备100%国产化使美国出口管制失效，展示了逆向突围的创新路径  。</w:t>
      </w:r>
    </w:p>
    <w:p w14:paraId="04D588EE">
      <w:pPr>
        <w:pageBreakBefore w:val="0"/>
        <w:numPr>
          <w:ilvl w:val="0"/>
          <w:numId w:val="25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国际合作机会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：OPC创业者可利用全球化的市场机会，如上海临港《2024年产业场景创新需求榜单》将特斯拉、C919大飞机配套等千亿级龙头企业的30余个真实产业场景需求，打包形成"揭榜挂帅"榜单，为OPC提供国际合作机会  。</w:t>
      </w:r>
    </w:p>
    <w:p w14:paraId="0892CD28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：OPC创业者需关注跨境数据合规和技术主权争议，通过国产化替代和区域协同策略规避风险；同时可利用国际合作机会，拓展全球市场。</w:t>
      </w:r>
    </w:p>
    <w:p w14:paraId="1F3CBD69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3.17 OPC模式的规模化转型策略</w:t>
      </w:r>
    </w:p>
    <w:p w14:paraId="51705F8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从轻量级向中型团队扩展，OPC需保留"一人一部门"的敏捷性，同时引入协作工具与管理流程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86F62F9">
      <w:pPr>
        <w:pageBreakBefore w:val="0"/>
        <w:numPr>
          <w:ilvl w:val="0"/>
          <w:numId w:val="2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敏捷性保留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：OPC创业者需保持"一人一部门"的敏捷性，确保快速响应市场变化。例如，全应科技从OPC模式扩展为团队运营，但仍保持"一人一部门"的架构，确保技术开发的灵活性。</w:t>
      </w:r>
    </w:p>
    <w:p w14:paraId="50BE9C42">
      <w:pPr>
        <w:pageBreakBefore w:val="0"/>
        <w:numPr>
          <w:ilvl w:val="0"/>
          <w:numId w:val="2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协作工具引入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：OPC创业者需引入协作工具与管理流程，如使用飞书、Notion等项目管理工具，实现团队协作与任务分配。同时，可利用汇智智能的Agentsyun平台，快速构建数字团队，实现"一人=一个团队"的模式  。</w:t>
      </w:r>
    </w:p>
    <w:p w14:paraId="3658E772">
      <w:pPr>
        <w:pageBreakBefore w:val="0"/>
        <w:numPr>
          <w:ilvl w:val="0"/>
          <w:numId w:val="2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管理流程优化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：OPC创业者需优化管理流程，如建立标准化的开发流程、市场推广流程和法律合规流程，确保团队协作的高效性。</w:t>
      </w:r>
    </w:p>
    <w:p w14:paraId="2A067CDF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：OPC创业者需平衡敏捷性与管理流程，逐步引入协作工具和管理机制，实现规模化转型；同时需关注团队文化建设，保持创业精神和创新活力。</w:t>
      </w:r>
    </w:p>
    <w:p w14:paraId="2FE599FD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3.18 OPC模式的典型案例总结</w:t>
      </w:r>
    </w:p>
    <w:p w14:paraId="051AC621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OPC模式在不同领域和区域的成功案例，为我们提供了宝贵的经验和教训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490FF26">
      <w:pPr>
        <w:pageBreakBefore w:val="0"/>
        <w:numPr>
          <w:ilvl w:val="0"/>
          <w:numId w:val="2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苏州画宗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在AIGC视频领域，通过AI工具深度整合（智能体场景优化+300+提示词库）和4人轻量化团队协作，成功制作42分钟原创AI动画长片《一掌熊猫》，互联网播放量超500万次（2024年AIGC行业报告）。关键经验包括：AI工具深度整合、轻量化团队协作、苏州工业园区政策支持（算力补贴+商务托管）和快速市场响应机制  。</w:t>
      </w:r>
    </w:p>
    <w:p w14:paraId="4AA690A1">
      <w:pPr>
        <w:pageBreakBefore w:val="0"/>
        <w:numPr>
          <w:ilvl w:val="0"/>
          <w:numId w:val="2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深圳睿脑科技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在脑机接口与AI技术交叉创新领域，通过跨学科团队（香港中文大学医学院+北理工算法团队）、12项发明专利构建技术壁垒，获2024年深圳创新创业大赛一等奖。关键经验包括：跨学科协作、技术独特性（信号采集精度提升40%）和产学研合作（依托高校实验室资源）  。</w:t>
      </w:r>
    </w:p>
    <w:p w14:paraId="0E0DF6B2">
      <w:pPr>
        <w:pageBreakBefore w:val="0"/>
        <w:numPr>
          <w:ilvl w:val="0"/>
          <w:numId w:val="2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陈云飞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：从大厂到OPC的转型路径，通过经验复用和低成本启动，成功开发多个商业应用。关键经验包括：个人IP塑造、社群支持与资源对接，以及多业务线运营  。</w:t>
      </w:r>
    </w:p>
    <w:p w14:paraId="26339975">
      <w:pPr>
        <w:pageBreakBefore w:val="0"/>
        <w:numPr>
          <w:ilvl w:val="0"/>
          <w:numId w:val="2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全应科技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：在热电智能调控领域，通过工业OPC协议（IEC 62541标准）与Modbus实现工业设备数据通信，利用动态矩阵预测控制（DMC）算法优化生产参数，设备自动投用率提升至97.8%，年节省成本超百万元（2024年《中国工业节能技术应用报告》）。关键经验包括：技术融合（AI算法+工业控制）、苏州工业园区算力支持和安全架构设计（边缘计算+区块链存证）  。</w:t>
      </w:r>
    </w:p>
    <w:p w14:paraId="6C0D03BE">
      <w:pPr>
        <w:pageBreakBefore w:val="0"/>
        <w:numPr>
          <w:ilvl w:val="0"/>
          <w:numId w:val="2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上海一起闹海人工智能科技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：在动画制作领域，通过AI工具实现"超级个体"协作，成功开发动画内容并实现商业化。关键经验包括：AI工具应用、社群支持和市场定位优化。</w:t>
      </w:r>
    </w:p>
    <w:p w14:paraId="25319EE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：OPC创业者需关注垂直领域专注、政策资源利用、AI工具深度整合和快速迭代验证等方面，同时需警惕技术迭代风险、法律合规复杂性、市场验证压力和协作网络构建等挑战。</w:t>
      </w:r>
    </w:p>
    <w:p w14:paraId="18DF9CDE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3.19 OPC模式的创新价值与未来展望</w:t>
      </w:r>
    </w:p>
    <w:p w14:paraId="419EF45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OPC模式在AI时代具有巨大的创新价值和未来潜力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351EFF4">
      <w:pPr>
        <w:pageBreakBefore w:val="0"/>
        <w:numPr>
          <w:ilvl w:val="0"/>
          <w:numId w:val="2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创新价值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模式降低了创业门槛，使更多个人创业者能够参与技术转移市场；同时提升了运营效率，使个体创业者能够以更低成本、更高效率地完成技术转移全流程；此外，OPC模式增强了创新灵活性，使创业者能够快速调整技术路线与商业模式，适应市场变化  。</w:t>
      </w:r>
    </w:p>
    <w:p w14:paraId="1CD5B21D">
      <w:pPr>
        <w:pageBreakBefore w:val="0"/>
        <w:numPr>
          <w:ilvl w:val="0"/>
          <w:numId w:val="2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未来潜力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随着AI技术的不断发展，OPC模式将在更多领域展现潜力，如教育、金融、娱乐等；同时，OPC模式将更加融入产业生态，与大企业、科研机构建立深度合作关系；此外，OPC模式将实现从轻量级向中型团队的扩展，形成更完善的运营体系。</w:t>
      </w:r>
    </w:p>
    <w:p w14:paraId="58FA0E46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：基于资源基础观（RBV）理论，OPC创业者需把握AI技术带来的创新机遇，通过技术工具整合与政策资源利用构建核心竞争力，同时关注技术融合、生态协同，构建可持续发展的OPC运营体系。</w:t>
      </w:r>
    </w:p>
    <w:p w14:paraId="0C86CEE6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3.20 OPC模式的实践启示与行动建议</w:t>
      </w:r>
    </w:p>
    <w:p w14:paraId="744C3AC8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OPC模式的实践启示为创业者提供了明确的行动方向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D82C70C">
      <w:pPr>
        <w:pageBreakBefore w:val="0"/>
        <w:numPr>
          <w:ilvl w:val="0"/>
          <w:numId w:val="2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实践启示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8FB945E">
      <w:pPr>
        <w:pageBreakBefore w:val="0"/>
        <w:numPr>
          <w:ilvl w:val="1"/>
          <w:numId w:val="30"/>
        </w:numPr>
        <w:wordWrap/>
        <w:spacing w:before="160" w:after="0"/>
        <w:ind w:left="88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技术工具深度整合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：通过AI工具将个人能力扩展为"虚拟团队"，实现"单人一部门"的轻量化运营模式。例如，苏州画宗使用智能体生成场景优化建议（10分钟内）和300+分类提示词库，将动画制作周期从传统数月缩短至数周。</w:t>
      </w:r>
    </w:p>
    <w:p w14:paraId="0757A337">
      <w:pPr>
        <w:pageBreakBefore w:val="0"/>
        <w:numPr>
          <w:ilvl w:val="1"/>
          <w:numId w:val="30"/>
        </w:numPr>
        <w:wordWrap/>
        <w:spacing w:before="160" w:after="0"/>
        <w:ind w:left="88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政策资源充分利用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：利用区域政策支持（如苏州工业园区算力补贴20%，最高200万元/年，苏园管〔2024〕35号）和场景开放清单，降低创业门槛。</w:t>
      </w:r>
    </w:p>
    <w:p w14:paraId="67F28B63">
      <w:pPr>
        <w:pageBreakBefore w:val="0"/>
        <w:numPr>
          <w:ilvl w:val="1"/>
          <w:numId w:val="30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垂直领域专注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：聚焦细分市场需求，避免资源分散。</w:t>
      </w:r>
    </w:p>
    <w:p w14:paraId="7B29BA57">
      <w:pPr>
        <w:pageBreakBefore w:val="0"/>
        <w:numPr>
          <w:ilvl w:val="1"/>
          <w:numId w:val="30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快速迭代验证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：借助AI工具加速产品开发周期，并通过真实场景验证技术价值。</w:t>
      </w:r>
    </w:p>
    <w:p w14:paraId="7EB09BE5">
      <w:pPr>
        <w:pageBreakBefore w:val="0"/>
        <w:numPr>
          <w:ilvl w:val="1"/>
          <w:numId w:val="30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协作网络构建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：通过智能匹配引擎与协同平台，弥补团队规模小的短板。</w:t>
      </w:r>
    </w:p>
    <w:p w14:paraId="3412154D">
      <w:pPr>
        <w:pageBreakBefore w:val="0"/>
        <w:numPr>
          <w:ilvl w:val="0"/>
          <w:numId w:val="2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行动建议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DA1C72B">
      <w:pPr>
        <w:pageBreakBefore w:val="0"/>
        <w:numPr>
          <w:ilvl w:val="1"/>
          <w:numId w:val="31"/>
        </w:numPr>
        <w:wordWrap/>
        <w:spacing w:before="160" w:after="0"/>
        <w:ind w:left="88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选择适合的AI工具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：根据技术转移环节选择工具，技术发现阶段使用智慧芽"查新检索AI Agent"（查新报告生成时间缩短80%），需求匹配阶段使用科易网"企业需求分析系统"（对接成功率提升40%），开发阶段使用GitHub Copilot（代码生成效率提升50%）。</w:t>
      </w:r>
    </w:p>
    <w:p w14:paraId="352198CD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注册一人有限责任公司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：确保公司财产独立，避免个人资产连带风险。</w:t>
      </w:r>
    </w:p>
    <w:p w14:paraId="7D1EEBA2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制定技术转移策略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：明确技术发现、评估、匹配、开发和商业化推广的全流程策略。</w:t>
      </w:r>
    </w:p>
    <w:p w14:paraId="198B7601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建立个人品牌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：通过内容创作和价值传递，建立个人IP和客户信任。</w:t>
      </w:r>
    </w:p>
    <w:p w14:paraId="2BBACFE6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加入创业社群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：获取技术、资金与市场资源，加速技术转移进程。</w:t>
      </w:r>
    </w:p>
    <w:p w14:paraId="45BCB503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获取政策支持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：利用区域政策支持，降低创业成本，加速技术落地。</w:t>
      </w:r>
    </w:p>
    <w:p w14:paraId="5C57FB97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开发最小可行产品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：快速验证市场需求，降低试错成本。</w:t>
      </w:r>
    </w:p>
    <w:p w14:paraId="50ADDE41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进行市场测试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：通过真实场景测试技术价值，收集用户反馈。</w:t>
      </w:r>
    </w:p>
    <w:p w14:paraId="4994B33F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优化产品和服务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：根据用户反馈不断改进产品和服务，提高市场竞争力。</w:t>
      </w:r>
    </w:p>
    <w:p w14:paraId="6BE2D76D">
      <w:pPr>
        <w:pageBreakBefore w:val="0"/>
        <w:numPr>
          <w:ilvl w:val="1"/>
          <w:numId w:val="31"/>
        </w:numPr>
        <w:wordWrap/>
        <w:spacing w:before="160" w:after="0"/>
        <w:ind w:left="88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规划长期发展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：从OPC到小团队，从技术到管理，从国内市场到全球市场，制定长期发展策略。</w:t>
      </w:r>
    </w:p>
    <w:p w14:paraId="39FB4AFB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经验教训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：OPC创业者需全面理解OPC模式的认知框架，掌握AI工具的应用方法，规避法律与合规风险，最终实现从"单人创业"到"技术转移成功"的跨越。</w:t>
      </w:r>
    </w:p>
    <w:p w14:paraId="73E9D40C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  <w:bookmarkStart w:id="0" w:name="_GoBack"/>
      <w:bookmarkEnd w:id="0"/>
      <w:r>
        <w:rPr>
          <w:rFonts w:ascii="宋体" w:hAnsi="宋体" w:eastAsia="宋体" w:cs="宋体"/>
          <w:b w:val="0"/>
          <w:i w:val="0"/>
          <w:spacing w:val="0"/>
          <w:sz w:val="24"/>
        </w:rPr>
        <w:t>通过本书的前三章内容，读者可以深入了解OPC模式在AI技术转移领域的应用价值，掌握AI工具的操作方法，规避法律与合规风险，最终实现从"单人创业"到"技术转移成功"的跨越。</w:t>
      </w:r>
    </w:p>
    <w:p w14:paraId="6EFABB27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### 附录：核心术语表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1. OPC（One Person Company）：指"AI+个体"协同的创新组织形态，通过AI工具实现技术转移全链路业务闭环的轻量化创业模式（引自本书第一章）。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2. 技术转移：指将技术从研发方转移到应用方的过程，涵盖技术发现、评估、匹配、开发、商业化等全流程（采用《GB/T 24405.1-2009 技术转移服务规范》定义）。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br w:type="textWrapping"/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3. XAI（可解释人工智能）：指具备透明决策逻辑的AI技术，能解释模型输出的依据，提升技术可信度（根据2024年《可解释AI技术白皮书》）。</w:t>
      </w:r>
    </w:p>
    <w:sectPr>
      <w:headerReference r:id="rId3" w:type="default"/>
      <w:foot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EDACB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DF130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multilevel"/>
    <w:tmpl w:val="813A4B87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8461FADE"/>
    <w:multiLevelType w:val="multilevel"/>
    <w:tmpl w:val="8461FADE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9239341B"/>
    <w:multiLevelType w:val="multilevel"/>
    <w:tmpl w:val="9239341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9288B902"/>
    <w:multiLevelType w:val="multilevel"/>
    <w:tmpl w:val="9288B902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9C8AC8EF"/>
    <w:multiLevelType w:val="multilevel"/>
    <w:tmpl w:val="9C8AC8E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5">
    <w:nsid w:val="B0F1ACD9"/>
    <w:multiLevelType w:val="multilevel"/>
    <w:tmpl w:val="B0F1ACD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>
    <w:nsid w:val="BE923771"/>
    <w:multiLevelType w:val="multilevel"/>
    <w:tmpl w:val="BE923771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7">
    <w:nsid w:val="C8879AEF"/>
    <w:multiLevelType w:val="multilevel"/>
    <w:tmpl w:val="C8879AE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8">
    <w:nsid w:val="D7F9FE59"/>
    <w:multiLevelType w:val="multilevel"/>
    <w:tmpl w:val="D7F9FE59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9">
    <w:nsid w:val="DCBA6B53"/>
    <w:multiLevelType w:val="multilevel"/>
    <w:tmpl w:val="DCBA6B53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0">
    <w:nsid w:val="E093A4B0"/>
    <w:multiLevelType w:val="multilevel"/>
    <w:tmpl w:val="E093A4B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1">
    <w:nsid w:val="F4B5D9F5"/>
    <w:multiLevelType w:val="multilevel"/>
    <w:tmpl w:val="F4B5D9F5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2">
    <w:nsid w:val="F7735DC9"/>
    <w:multiLevelType w:val="multilevel"/>
    <w:tmpl w:val="F7735DC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3">
    <w:nsid w:val="0248C179"/>
    <w:multiLevelType w:val="multilevel"/>
    <w:tmpl w:val="0248C17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4">
    <w:nsid w:val="0E640482"/>
    <w:multiLevelType w:val="multilevel"/>
    <w:tmpl w:val="0E64048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5">
    <w:nsid w:val="243FCF68"/>
    <w:multiLevelType w:val="multilevel"/>
    <w:tmpl w:val="243FCF68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6">
    <w:nsid w:val="2470EC97"/>
    <w:multiLevelType w:val="multilevel"/>
    <w:tmpl w:val="2470EC97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7">
    <w:nsid w:val="2A8F537B"/>
    <w:multiLevelType w:val="multilevel"/>
    <w:tmpl w:val="2A8F537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8">
    <w:nsid w:val="39A0D9AC"/>
    <w:multiLevelType w:val="multilevel"/>
    <w:tmpl w:val="39A0D9AC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9">
    <w:nsid w:val="46A08BB8"/>
    <w:multiLevelType w:val="multilevel"/>
    <w:tmpl w:val="46A08BB8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0">
    <w:nsid w:val="4C1BAE26"/>
    <w:multiLevelType w:val="multilevel"/>
    <w:tmpl w:val="4C1BAE26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1">
    <w:nsid w:val="4D4DC07F"/>
    <w:multiLevelType w:val="multilevel"/>
    <w:tmpl w:val="4D4DC07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2">
    <w:nsid w:val="4D94DA66"/>
    <w:multiLevelType w:val="multilevel"/>
    <w:tmpl w:val="4D94DA66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3">
    <w:nsid w:val="58765686"/>
    <w:multiLevelType w:val="multilevel"/>
    <w:tmpl w:val="58765686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4">
    <w:nsid w:val="5A241D34"/>
    <w:multiLevelType w:val="multilevel"/>
    <w:tmpl w:val="5A241D3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5">
    <w:nsid w:val="60382F6E"/>
    <w:multiLevelType w:val="multilevel"/>
    <w:tmpl w:val="60382F6E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6">
    <w:nsid w:val="629F7852"/>
    <w:multiLevelType w:val="multilevel"/>
    <w:tmpl w:val="629F7852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7">
    <w:nsid w:val="72183CF9"/>
    <w:multiLevelType w:val="multilevel"/>
    <w:tmpl w:val="72183CF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8">
    <w:nsid w:val="77ECEA79"/>
    <w:multiLevelType w:val="multilevel"/>
    <w:tmpl w:val="77ECEA7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9">
    <w:nsid w:val="7C246926"/>
    <w:multiLevelType w:val="multilevel"/>
    <w:tmpl w:val="7C246926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30">
    <w:nsid w:val="7DEC2089"/>
    <w:multiLevelType w:val="multilevel"/>
    <w:tmpl w:val="7DEC2089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27"/>
  </w:num>
  <w:num w:numId="2">
    <w:abstractNumId w:val="13"/>
  </w:num>
  <w:num w:numId="3">
    <w:abstractNumId w:val="2"/>
  </w:num>
  <w:num w:numId="4">
    <w:abstractNumId w:val="17"/>
  </w:num>
  <w:num w:numId="5">
    <w:abstractNumId w:val="24"/>
  </w:num>
  <w:num w:numId="6">
    <w:abstractNumId w:val="7"/>
  </w:num>
  <w:num w:numId="7">
    <w:abstractNumId w:val="21"/>
  </w:num>
  <w:num w:numId="8">
    <w:abstractNumId w:val="11"/>
  </w:num>
  <w:num w:numId="9">
    <w:abstractNumId w:val="16"/>
  </w:num>
  <w:num w:numId="10">
    <w:abstractNumId w:val="9"/>
  </w:num>
  <w:num w:numId="11">
    <w:abstractNumId w:val="8"/>
  </w:num>
  <w:num w:numId="12">
    <w:abstractNumId w:val="4"/>
  </w:num>
  <w:num w:numId="13">
    <w:abstractNumId w:val="20"/>
  </w:num>
  <w:num w:numId="14">
    <w:abstractNumId w:val="25"/>
  </w:num>
  <w:num w:numId="15">
    <w:abstractNumId w:val="14"/>
  </w:num>
  <w:num w:numId="16">
    <w:abstractNumId w:val="19"/>
  </w:num>
  <w:num w:numId="17">
    <w:abstractNumId w:val="5"/>
  </w:num>
  <w:num w:numId="18">
    <w:abstractNumId w:val="29"/>
  </w:num>
  <w:num w:numId="19">
    <w:abstractNumId w:val="28"/>
  </w:num>
  <w:num w:numId="20">
    <w:abstractNumId w:val="6"/>
  </w:num>
  <w:num w:numId="21">
    <w:abstractNumId w:val="26"/>
  </w:num>
  <w:num w:numId="22">
    <w:abstractNumId w:val="3"/>
  </w:num>
  <w:num w:numId="23">
    <w:abstractNumId w:val="18"/>
  </w:num>
  <w:num w:numId="24">
    <w:abstractNumId w:val="1"/>
  </w:num>
  <w:num w:numId="25">
    <w:abstractNumId w:val="23"/>
  </w:num>
  <w:num w:numId="26">
    <w:abstractNumId w:val="30"/>
  </w:num>
  <w:num w:numId="27">
    <w:abstractNumId w:val="0"/>
  </w:num>
  <w:num w:numId="28">
    <w:abstractNumId w:val="15"/>
  </w:num>
  <w:num w:numId="29">
    <w:abstractNumId w:val="22"/>
  </w:num>
  <w:num w:numId="30">
    <w:abstractNumId w:val="12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7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0A171CC6"/>
    <w:rsid w:val="15CC574F"/>
    <w:rsid w:val="37676AF2"/>
    <w:rsid w:val="64B7205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12626</Words>
  <Characters>13574</Characters>
  <TotalTime>15</TotalTime>
  <ScaleCrop>false</ScaleCrop>
  <LinksUpToDate>false</LinksUpToDate>
  <CharactersWithSpaces>13748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2026-01-07T05:02:00Z</dcterms:created>
  <dc:creator>Apache POI</dc:creator>
  <cp:lastModifiedBy>左笔方寸有AI</cp:lastModifiedBy>
  <dcterms:modified xsi:type="dcterms:W3CDTF">2026-03-31T05:58:25Z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NPuXtKwzekpY0LY63vm5T9rZPfMqhVaj/yI4IkKRwk4=","ProduceID":"doc_sgs:394634cb-1848-4940-87be-7bf40f437e77","ReservedCode2":"NPuXtKwzekpY0LY63vm5T9rZPfMqhVaj/yI4IkKRwk4=","PropagateID":"doc_sgs:394634cb-1848-4940-87be-7bf40f437e77","ContentProducer":"001191440101MA9Y9T4H7A00000"}</vt:lpwstr>
  </property>
  <property fmtid="{D5CDD505-2E9C-101B-9397-08002B2CF9AE}" pid="3" name="KSOProductBuildVer">
    <vt:lpwstr>2052-12.1.0.25222</vt:lpwstr>
  </property>
  <property fmtid="{D5CDD505-2E9C-101B-9397-08002B2CF9AE}" pid="4" name="ICV">
    <vt:lpwstr>F39156F28801472AB025F38F56FB3C16_13</vt:lpwstr>
  </property>
  <property fmtid="{D5CDD505-2E9C-101B-9397-08002B2CF9AE}" pid="5" name="KSOTemplateDocerSaveRecord">
    <vt:lpwstr>eyJoZGlkIjoiODY3YjA1NmUyMjVkZTE1N2YzNjBhNGMyZmE2YzBlNDgiLCJ1c2VySWQiOiIxNjc2MTQ0NTQifQ==</vt:lpwstr>
  </property>
</Properties>
</file>