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0983E5">
      <w:pPr>
        <w:pageBreakBefore w:val="0"/>
        <w:wordWrap/>
        <w:spacing w:before="160" w:after="0"/>
        <w:ind w:left="0" w:right="0"/>
        <w:jc w:val="left"/>
        <w:textAlignment w:val="auto"/>
        <w:rPr>
          <w:sz w:val="36"/>
        </w:rPr>
      </w:pPr>
      <w:r>
        <w:rPr>
          <w:rFonts w:ascii="宋体" w:hAnsi="宋体" w:eastAsia="宋体" w:cs="宋体"/>
          <w:b/>
          <w:i w:val="0"/>
          <w:spacing w:val="0"/>
          <w:sz w:val="36"/>
        </w:rPr>
        <w:t>第五章 OPC可持续发展路径与未来趋势展望</w:t>
      </w:r>
    </w:p>
    <w:p w14:paraId="4C48A459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5.1 政策支持与资源获取</w:t>
      </w:r>
    </w:p>
    <w:p w14:paraId="5C8FADF3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苏州工业园区新政</w:t>
      </w:r>
    </w:p>
    <w:p w14:paraId="1D1DCD97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苏州工业园区管委会于2025年11月28日发布《关于加快打造全球领先的人工智能OPC创业首选区的若干措施》（苏园管〔2025〕38号），为OPC创业者提供全方位要素供给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 xml:space="preserve">  ，具体内容可通过园区官网政策板块（http://www.sipac.gov.cn）查询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3CF5A0FA">
      <w:pPr>
        <w:pageBreakBefore w:val="0"/>
        <w:numPr>
          <w:ilvl w:val="0"/>
          <w:numId w:val="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算力支持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：对经认定的高质量数据集，每个给予最高20万元奖励，部署即开即用的智能算力服务，降低OPC创业技术门槛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02775CD7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商务托管登记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：为OPC提供"注册地和实际经营地分离"的创新住所托管业务，实现低成本创业</w:t>
      </w:r>
    </w:p>
    <w:p w14:paraId="27EB2062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空间支持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：打造10个以上、超100万平方米的OPC标杆社区，提供租金减免、拎包入住等便利</w:t>
      </w:r>
    </w:p>
    <w:p w14:paraId="3606465A">
      <w:pPr>
        <w:pageBreakBefore w:val="0"/>
        <w:numPr>
          <w:ilvl w:val="0"/>
          <w:numId w:val="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人才支持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：启动"OPC人才引进计划"，提供房票补贴、生计补贴等支持</w:t>
      </w:r>
    </w:p>
    <w:p w14:paraId="6578DBA8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：新政使OPC注册流程时间从原平均21天缩短至7天，注册成本降低70%以上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7AEA00F9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北京中关村OPC服务计划</w:t>
      </w:r>
    </w:p>
    <w:p w14:paraId="7152AC5C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2025年12月8日，中关村AI北纬社区发布北京市首个人工智能OPC服务计划，构建了"融资加速、成长加速、产业加速"三阶引擎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 xml:space="preserve">  ，该计划依托6000平方米孵化空间，提供从拎包入驻到弹性算力的全方位支持：</w:t>
      </w:r>
    </w:p>
    <w:p w14:paraId="6BA98D14">
      <w:pPr>
        <w:pageBreakBefore w:val="0"/>
        <w:numPr>
          <w:ilvl w:val="0"/>
          <w:numId w:val="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融资加速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：为OPC提供最高三年租金减免、千套人才公寓配套和算力优惠</w:t>
      </w:r>
    </w:p>
    <w:p w14:paraId="1FEA567C">
      <w:pPr>
        <w:pageBreakBefore w:val="0"/>
        <w:numPr>
          <w:ilvl w:val="0"/>
          <w:numId w:val="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成长加速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：打造"OPC服务专区"，提供政策咨询、企业注册、安居落户、市场拓展等一站式服务</w:t>
      </w:r>
    </w:p>
    <w:p w14:paraId="6AAF2350">
      <w:pPr>
        <w:pageBreakBefore w:val="0"/>
        <w:numPr>
          <w:ilvl w:val="0"/>
          <w:numId w:val="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产业加速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：通过"首试首用"机制，鼓励园区企事业单位对OPC的新技术、新产品予以试用，加速技术迭代与市场验证</w:t>
      </w:r>
    </w:p>
    <w:p w14:paraId="24D7B698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：三阶引擎使OPC融资周期从原平均3个月缩短至45天，成长速度提升30%以上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[3]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3938EBA9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粤港澳大湾区数据跨境政策</w:t>
      </w:r>
    </w:p>
    <w:p w14:paraId="2DB1A730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粤港澳大湾区数据跨境政策为OPC全球化发展提供了合规路径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国家互联网信息办公室与香港创新科技及工业局于2023年12月发布《粤港澳大湾区（内地、香港）个人信息跨境流动标准合同实施指引》，截至2025年12月该指引仍为大湾区数据跨境流动的核心合规依据，具体条款可参考国家网信办2025年10月发布的《个人信息出境认证办法》（国家网信办、市场监管总局令第20号）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[4]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7514AC52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69BC838A">
      <w:pPr>
        <w:pageBreakBefore w:val="0"/>
        <w:numPr>
          <w:ilvl w:val="0"/>
          <w:numId w:val="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使用"大湾区标准合同"模板，明确数据出境目的、范围和保护措施</w:t>
      </w:r>
    </w:p>
    <w:p w14:paraId="47DA26D8">
      <w:pPr>
        <w:pageBreakBefore w:val="0"/>
        <w:numPr>
          <w:ilvl w:val="0"/>
          <w:numId w:val="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通过网信办备案，获取数据跨境传输许可</w:t>
      </w:r>
    </w:p>
    <w:p w14:paraId="16D8E8FA">
      <w:pPr>
        <w:pageBreakBefore w:val="0"/>
        <w:numPr>
          <w:ilvl w:val="0"/>
          <w:numId w:val="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实施数据出境风险评估和应急预案</w:t>
      </w:r>
    </w:p>
    <w:p w14:paraId="554FF866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：大湾区标准合同简化了数据跨境合规流程，使跨境数据传输时间从数月缩短至数周，合规成本降低60%以上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[5]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77E8E8DF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5.2 技术迭代与创新策略</w:t>
      </w:r>
    </w:p>
    <w:p w14:paraId="3F99C7AA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XAI（可解释人工智能）技术</w:t>
      </w:r>
    </w:p>
    <w:p w14:paraId="2C88CD0A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XAI（Explainable AI，可解释人工智能）技术是提升OPC技术可信度的关键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，通过增强AI决策的透明性与可追溯性，帮助OPC应对《人工智能法案》等法规要求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[6]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0335C742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4DE539A6">
      <w:pPr>
        <w:pageBreakBefore w:val="0"/>
        <w:numPr>
          <w:ilvl w:val="0"/>
          <w:numId w:val="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使用XAI工具（如SHAP、LIME）解释AI模型的决策过程</w:t>
      </w:r>
    </w:p>
    <w:p w14:paraId="0B2E0410">
      <w:pPr>
        <w:pageBreakBefore w:val="0"/>
        <w:numPr>
          <w:ilvl w:val="0"/>
          <w:numId w:val="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在技术文档中添加解释性说明，增强透明度</w:t>
      </w:r>
    </w:p>
    <w:p w14:paraId="7E98888F">
      <w:pPr>
        <w:pageBreakBefore w:val="0"/>
        <w:numPr>
          <w:ilvl w:val="0"/>
          <w:numId w:val="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对高风险决策（如医疗诊断、金融风控）实施人工复核</w:t>
      </w:r>
    </w:p>
    <w:p w14:paraId="54FA556B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：XAI工具可将模型解释时间从4小时缩短至15分钟，决策可信度提升90%以上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[7]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15E35294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联邦学习技术</w:t>
      </w:r>
    </w:p>
    <w:p w14:paraId="256314A6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联邦学习技术是解决OPC数据孤岛问题的有效策略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。联邦学习（Federated Learning）是一种分布式机器学习技术，通过"数据可用不可见"的特性，使OPC能够在不共享原始数据的前提下，实现与大企业、科研机构的协同创新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[8]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2486054C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47B28A0F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使用联邦学习平台（如微众银行FATE）</w:t>
      </w:r>
    </w:p>
    <w:p w14:paraId="05FAD24B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与合作伙伴建立联邦学习联盟</w:t>
      </w:r>
    </w:p>
    <w:p w14:paraId="0A96FDF0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在本地训练模型，仅上传参数进行聚合</w:t>
      </w:r>
    </w:p>
    <w:p w14:paraId="1F612605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基于聚合后的全局模型优化本地技术</w:t>
      </w:r>
    </w:p>
    <w:p w14:paraId="2C895787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：联邦学习使数据共享效率提升73%，模型训练成本降低42%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[9]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。在长三角地区环境监测应用中，预测模型将PM2.5浓度预测误差从传统模型的12.3μg/m³降至7.8μg/m³，AUC值提升至0.91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[10]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4F98EA2A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技术监测机制</w:t>
      </w:r>
    </w:p>
    <w:p w14:paraId="46E9C139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OPC创业者需建立技术监测机制，持续更新AI工具与模型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。通过定期评估技术性能和市场竞争力，确保OPC运营的持续创新  。</w:t>
      </w:r>
    </w:p>
    <w:p w14:paraId="5F4A3531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643F8F4A">
      <w:pPr>
        <w:pageBreakBefore w:val="0"/>
        <w:numPr>
          <w:ilvl w:val="0"/>
          <w:numId w:val="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使用技术监控工具（如智慧芽Eureka平台）</w:t>
      </w:r>
    </w:p>
    <w:p w14:paraId="1221F3E4">
      <w:pPr>
        <w:pageBreakBefore w:val="0"/>
        <w:numPr>
          <w:ilvl w:val="0"/>
          <w:numId w:val="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设置技术更新提醒（如新模型发布、政策变化等）</w:t>
      </w:r>
    </w:p>
    <w:p w14:paraId="3EBCAE04">
      <w:pPr>
        <w:pageBreakBefore w:val="0"/>
        <w:numPr>
          <w:ilvl w:val="0"/>
          <w:numId w:val="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定期进行技术迭代评估，确定是否需要更新工具或模型</w:t>
      </w:r>
    </w:p>
    <w:p w14:paraId="32869811">
      <w:pPr>
        <w:pageBreakBefore w:val="0"/>
        <w:numPr>
          <w:ilvl w:val="0"/>
          <w:numId w:val="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制定技术更新预算，确保资源投入</w:t>
      </w:r>
    </w:p>
    <w:p w14:paraId="4CF5A218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：技术监测机制可将技术更新周期从原平均3个月缩短至45天，技术竞争力提升50%以上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[11]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740B1F7E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5.3 生态协同与资源整合</w:t>
      </w:r>
    </w:p>
    <w:p w14:paraId="6D10E700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"资源超市"接入产学研合作网络</w:t>
      </w:r>
    </w:p>
    <w:p w14:paraId="715D6275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OPC创业者可通过"资源超市"接入产学研合作网络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，获取技术、资金和市场资源  。</w:t>
      </w:r>
    </w:p>
    <w:p w14:paraId="609DC34E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4C51A8AE">
      <w:pPr>
        <w:pageBreakBefore w:val="0"/>
        <w:numPr>
          <w:ilvl w:val="0"/>
          <w:numId w:val="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登录"资源超市"平台（如科易网、智慧芽等）</w:t>
      </w:r>
    </w:p>
    <w:p w14:paraId="249EE068">
      <w:pPr>
        <w:pageBreakBefore w:val="0"/>
        <w:numPr>
          <w:ilvl w:val="0"/>
          <w:numId w:val="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发布技术需求或成果，吸引合作方</w:t>
      </w:r>
    </w:p>
    <w:p w14:paraId="3B707902">
      <w:pPr>
        <w:pageBreakBefore w:val="0"/>
        <w:numPr>
          <w:ilvl w:val="0"/>
          <w:numId w:val="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参与平台组织的产学研对接活动</w:t>
      </w:r>
    </w:p>
    <w:p w14:paraId="180C5654">
      <w:pPr>
        <w:pageBreakBefore w:val="0"/>
        <w:numPr>
          <w:ilvl w:val="0"/>
          <w:numId w:val="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申请"首试首用"政策支持，加速技术验证与市场落地</w:t>
      </w:r>
    </w:p>
    <w:p w14:paraId="58A77641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：资源超市使技术匹配效率提升80%，合作周期从原平均90天缩短至36天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[12]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5F71C734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场景开放清单与首试首用机制</w:t>
      </w:r>
    </w:p>
    <w:p w14:paraId="60D7A4E2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场景开放清单与首试首用机制是OPC技术落地的关键路径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。通过对接大企业、政府机构的开放场景，OPC创业者可以快速验证技术并实现商业化  。</w:t>
      </w:r>
    </w:p>
    <w:p w14:paraId="0ACB69EF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375786AB">
      <w:pPr>
        <w:pageBreakBefore w:val="0"/>
        <w:numPr>
          <w:ilvl w:val="0"/>
          <w:numId w:val="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查阅场景开放清单（如苏州工业园区发布的20个专业化OPC社区清单）</w:t>
      </w:r>
    </w:p>
    <w:p w14:paraId="3963F89C">
      <w:pPr>
        <w:pageBreakBefore w:val="0"/>
        <w:numPr>
          <w:ilvl w:val="0"/>
          <w:numId w:val="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选择适合OPC技术的场景，提交申请</w:t>
      </w:r>
    </w:p>
    <w:p w14:paraId="2E68973E">
      <w:pPr>
        <w:pageBreakBefore w:val="0"/>
        <w:numPr>
          <w:ilvl w:val="0"/>
          <w:numId w:val="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通过"首试首用"机制，获得首次应用机会</w:t>
      </w:r>
    </w:p>
    <w:p w14:paraId="5D7BF67D">
      <w:pPr>
        <w:pageBreakBefore w:val="0"/>
        <w:numPr>
          <w:ilvl w:val="0"/>
          <w:numId w:val="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基于应用反馈，优化技术并扩大市场</w:t>
      </w:r>
    </w:p>
    <w:p w14:paraId="182F7F81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：首试首用机制使技术落地周期从原平均180天缩短至45天，市场验证成本降低70%以上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[13]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74F8E29F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跨界合作案例</w:t>
      </w:r>
    </w:p>
    <w:p w14:paraId="39C031DF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OPC与大企业、科研机构的合作是实现规模化的关键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。通过案例分析，OPC创业者可以学习如何建立有效的合作机制  。</w:t>
      </w:r>
    </w:p>
    <w:p w14:paraId="52AD5996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案例启示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412B9826">
      <w:pPr>
        <w:pageBreakBefore w:val="0"/>
        <w:numPr>
          <w:ilvl w:val="0"/>
          <w:numId w:val="9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苏州爱道慕客智能技术有限公司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（注册信息：91320594MAENLDH87Q，注册资本500万元，注册地址：苏州工业园区展业路18号B栋422室）：作为园区首批OPC试点企业，其自主研发的"基于环境感知的麦克风滤波技术"已申请国家专利（公开号CN121001003A），通过园区"模术空间"算力支持，将模型训练周期从28天压缩至11天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[14]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26D6B536">
      <w:pPr>
        <w:pageBreakBefore w:val="0"/>
        <w:numPr>
          <w:ilvl w:val="0"/>
          <w:numId w:val="9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深圳睿脑科技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（注册信息：91440300MA5H4XW75A，注册资本1000万元，注册地址：深圳市南山区科技园南区）：联合香港中文大学（深圳）医学院及北京理工大学脑机接口实验室，通过联邦学习技术实现脑电设备数据共享，其研发的EEG-1000脑电信号采集设备获NMPA认证（注册号：粤械注准20252070123），在保护隐私的前提下将信号解码准确率提升至92%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[15]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09580F2B">
      <w:pPr>
        <w:pageBreakBefore w:val="0"/>
        <w:numPr>
          <w:ilvl w:val="0"/>
          <w:numId w:val="9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陈云飞的独立开发者模式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：前美团用户研究员，2024年8月使用Cursor工具1小时开发"小猫补光灯"APP，通过App Store审核后获付费榜第一，单月流水超12万元，其案例被《职场Bonus》2025年4月23日专访报道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[16]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4E607AFB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：跨界合作使技术研发周期缩短50%，商业化速度提升3倍，市场拓展成本降低60%以上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[17]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0EF9330C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5.4 财务韧性与可持续运营</w:t>
      </w:r>
    </w:p>
    <w:p w14:paraId="0DCDB413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多收入来源策略</w:t>
      </w:r>
    </w:p>
    <w:p w14:paraId="69D46AC5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OPC创业者需构建多收入来源策略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，平衡政策性投资与个人收入，确保财务韧性  。</w:t>
      </w:r>
    </w:p>
    <w:p w14:paraId="494D2B21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2C70C994">
      <w:pPr>
        <w:pageBreakBefore w:val="0"/>
        <w:numPr>
          <w:ilvl w:val="0"/>
          <w:numId w:val="1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申请政府补贴：登录苏州工业园区一网通办平台“人工智能OPC服务专区”（https://tsc.sipac.gov.cn/one），选择“政策申报”→“OPC专项补贴”类目，提交营业执照、项目计划书及算力使用证明等材料，等待15个工作日审批结果（依据苏园管〔2025〕38号文第4条）</w:t>
      </w:r>
    </w:p>
    <w:p w14:paraId="7724B0DD">
      <w:pPr>
        <w:pageBreakBefore w:val="0"/>
        <w:numPr>
          <w:ilvl w:val="0"/>
          <w:numId w:val="1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发展技术转让、咨询服务等多元化收入</w:t>
      </w:r>
    </w:p>
    <w:p w14:paraId="1E9E4C33">
      <w:pPr>
        <w:pageBreakBefore w:val="0"/>
        <w:numPr>
          <w:ilvl w:val="0"/>
          <w:numId w:val="1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建立"生存金池"与预算分仓，确保现金流稳定</w:t>
      </w:r>
    </w:p>
    <w:p w14:paraId="57B912B0">
      <w:pPr>
        <w:pageBreakBefore w:val="0"/>
        <w:numPr>
          <w:ilvl w:val="0"/>
          <w:numId w:val="10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通过个人品牌建设，获取天使投资或预售收入</w:t>
      </w:r>
    </w:p>
    <w:p w14:paraId="4FCBE8DC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：多收入来源策略可将收入稳定性提升60%，现金流风险降低50%以上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[18]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4CB60572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项目制财务系统</w:t>
      </w:r>
    </w:p>
    <w:p w14:paraId="4EFBE4D2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项目制财务系统是OPC运营的核心工具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。通过将公司运营拆分为多个项目，OPC创业者可以实现精细化财务管理  。</w:t>
      </w:r>
    </w:p>
    <w:p w14:paraId="5D083BF3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0E6FCE92">
      <w:pPr>
        <w:pageBreakBefore w:val="0"/>
        <w:numPr>
          <w:ilvl w:val="0"/>
          <w:numId w:val="1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使用预算分仓工具（如PingCode、Worktile等）</w:t>
      </w:r>
    </w:p>
    <w:p w14:paraId="411664D2">
      <w:pPr>
        <w:pageBreakBefore w:val="0"/>
        <w:numPr>
          <w:ilvl w:val="0"/>
          <w:numId w:val="1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为每个项目设置独立预算和收入目标</w:t>
      </w:r>
    </w:p>
    <w:p w14:paraId="563D288A">
      <w:pPr>
        <w:pageBreakBefore w:val="0"/>
        <w:numPr>
          <w:ilvl w:val="0"/>
          <w:numId w:val="1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实时监控项目进度和财务状况</w:t>
      </w:r>
    </w:p>
    <w:p w14:paraId="4F27DC23">
      <w:pPr>
        <w:pageBreakBefore w:val="0"/>
        <w:numPr>
          <w:ilvl w:val="0"/>
          <w:numId w:val="11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定期进行项目评估，决定是否继续投入</w:t>
      </w:r>
    </w:p>
    <w:p w14:paraId="4D7701AB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：项目制财务系统使预算规划效率提升90%，财务决策速度提升80%以上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[19]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28E7023F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月度复盘与财务对账</w:t>
      </w:r>
    </w:p>
    <w:p w14:paraId="7A989E4E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月度复盘与财务对账是OPC持续改进的关键环节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。通过定期复盘，OPC创业者可以及时调整策略，避免财务风险  。</w:t>
      </w:r>
    </w:p>
    <w:p w14:paraId="3F1B8FDB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13BB5FBA">
      <w:pPr>
        <w:pageBreakBefore w:val="0"/>
        <w:numPr>
          <w:ilvl w:val="0"/>
          <w:numId w:val="1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使用财务分析工具（如Excel、Notion等）</w:t>
      </w:r>
    </w:p>
    <w:p w14:paraId="6955D92F">
      <w:pPr>
        <w:pageBreakBefore w:val="0"/>
        <w:numPr>
          <w:ilvl w:val="0"/>
          <w:numId w:val="1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每月进行一次全面财务复盘</w:t>
      </w:r>
    </w:p>
    <w:p w14:paraId="5844BFEE">
      <w:pPr>
        <w:pageBreakBefore w:val="0"/>
        <w:numPr>
          <w:ilvl w:val="0"/>
          <w:numId w:val="1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分析收入、支出、利润等关键指标</w:t>
      </w:r>
    </w:p>
    <w:p w14:paraId="1824F0BE">
      <w:pPr>
        <w:pageBreakBefore w:val="0"/>
        <w:numPr>
          <w:ilvl w:val="0"/>
          <w:numId w:val="1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基于复盘结果，调整下月预算和运营策略</w:t>
      </w:r>
    </w:p>
    <w:p w14:paraId="22044F4F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：月度复盘使财务问题发现速度提升50%，决策响应速度提升70%以上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[19]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5E71F17D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5.5 OPC的未来发展趋势</w:t>
      </w:r>
    </w:p>
    <w:p w14:paraId="7C7E9FCC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技术融合深化</w:t>
      </w:r>
    </w:p>
    <w:p w14:paraId="2DCD370D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技术融合深化是OPC未来发展的核心趋势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。生成式AI与垂直领域技术的结合将催生更多创新应用  。</w:t>
      </w:r>
    </w:p>
    <w:p w14:paraId="4C7B5694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案例启示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168C89B8">
      <w:pPr>
        <w:pageBreakBefore w:val="0"/>
        <w:numPr>
          <w:ilvl w:val="0"/>
          <w:numId w:val="1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医疗领域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：AI辅助诊断系统与脑机接口技术的结合，使远程医疗成为可能</w:t>
      </w:r>
    </w:p>
    <w:p w14:paraId="4437F55E">
      <w:pPr>
        <w:pageBreakBefore w:val="0"/>
        <w:numPr>
          <w:ilvl w:val="0"/>
          <w:numId w:val="1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环保领域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：AI图像识别与传感器数据的结合，实现污染源精准定位和治理</w:t>
      </w:r>
    </w:p>
    <w:p w14:paraId="05661B57">
      <w:pPr>
        <w:pageBreakBefore w:val="0"/>
        <w:numPr>
          <w:ilvl w:val="0"/>
          <w:numId w:val="1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制造业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：AI仿真与联邦学习的结合，加速产品设计和优化</w:t>
      </w:r>
    </w:p>
    <w:p w14:paraId="50820205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：技术融合使平均创新周期从18个月缩短至7个月，研发成本降低42%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[20]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17E7E3D2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全球化与本地化平衡</w:t>
      </w:r>
    </w:p>
    <w:p w14:paraId="7D46D474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OPC的全球化发展需平衡与本地化合规要求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截至2025年12月，《粤港澳大湾区（内地、香港）个人信息跨境流动标准合同实施指引》仍为大湾区数据跨境流动的核心合规依据，具体条款可参考国家网信办2025年10月发布的《个人信息出境认证办法》（国家网信办、市场监管总局令第20号）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[4]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6923AC50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6E9E9BA3">
      <w:pPr>
        <w:pageBreakBefore w:val="0"/>
        <w:numPr>
          <w:ilvl w:val="0"/>
          <w:numId w:val="1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使用大湾区标准合同进行数据跨境传输</w:t>
      </w:r>
    </w:p>
    <w:p w14:paraId="7ACFF3C2">
      <w:pPr>
        <w:pageBreakBefore w:val="0"/>
        <w:numPr>
          <w:ilvl w:val="0"/>
          <w:numId w:val="1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申请数据安全认证（如CCRC认证）</w:t>
      </w:r>
    </w:p>
    <w:p w14:paraId="6099CD9E">
      <w:pPr>
        <w:pageBreakBefore w:val="0"/>
        <w:numPr>
          <w:ilvl w:val="0"/>
          <w:numId w:val="1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建立本地化数据处理机制，满足不同地区法规要求</w:t>
      </w:r>
    </w:p>
    <w:p w14:paraId="3B768640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：跨境数据合规工具使全球化拓展周期缩短50%，合规成本降低60%以上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[5]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5C318AF4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伦理治理常态化</w:t>
      </w:r>
    </w:p>
    <w:p w14:paraId="432A35A8">
      <w:pPr>
        <w:pageBreakBefore w:val="0"/>
        <w:wordWrap/>
        <w:spacing w:before="160" w:after="0"/>
        <w:ind w:left="0" w:leftChars="0" w:right="0" w:rightChars="0" w:firstLine="50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XAI（可解释人工智能）技术将成为OPC技术转移中的标配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，通过增强决策透明性与可追溯性，帮助OPC应对伦理治理要求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[6]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0831E65F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35F7654E">
      <w:pPr>
        <w:pageBreakBefore w:val="0"/>
        <w:numPr>
          <w:ilvl w:val="0"/>
          <w:numId w:val="15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使用XAI工具（如SHAP、LIME）解释AI模型决策过程</w:t>
      </w:r>
    </w:p>
    <w:p w14:paraId="7E95F8D2">
      <w:pPr>
        <w:pageBreakBefore w:val="0"/>
        <w:numPr>
          <w:ilvl w:val="0"/>
          <w:numId w:val="1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在技术文档中添加解释性说明</w:t>
      </w:r>
    </w:p>
    <w:p w14:paraId="36034217">
      <w:pPr>
        <w:pageBreakBefore w:val="0"/>
        <w:numPr>
          <w:ilvl w:val="0"/>
          <w:numId w:val="1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对高风险决策实施人工复核</w:t>
      </w:r>
    </w:p>
    <w:p w14:paraId="4C593CAF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：XAI工具使模型解释时间从原平均4小时缩短至15分钟，决策可信度提升90%以上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[7]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58371056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(4) OPC规模化转型</w:t>
      </w:r>
    </w:p>
    <w:p w14:paraId="0E1CA513">
      <w:pPr>
        <w:pageBreakBefore w:val="0"/>
        <w:wordWrap/>
        <w:spacing w:before="160" w:after="0"/>
        <w:ind w:left="0" w:right="0" w:firstLine="500" w:firstLineChars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OPC的规模化转型是未来发展的必然路径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。通过敏捷管理策略，OPC创业者可以在保持轻量化的同时，逐步扩展规模  。</w:t>
      </w:r>
    </w:p>
    <w:p w14:paraId="19502CBB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实操方法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7B42F2A7">
      <w:pPr>
        <w:pageBreakBefore w:val="0"/>
        <w:numPr>
          <w:ilvl w:val="0"/>
          <w:numId w:val="16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使用项目管理工具（如Notion、飞书）建立任务看板，明确分工与进度节点</w:t>
      </w:r>
    </w:p>
    <w:p w14:paraId="7CE0A593">
      <w:pPr>
        <w:pageBreakBefore w:val="0"/>
        <w:numPr>
          <w:ilvl w:val="0"/>
          <w:numId w:val="1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采用"轻量启动、敏捷试错、生态赋能"的理念，逐步扩展业务范围</w:t>
      </w:r>
    </w:p>
    <w:p w14:paraId="140D97A1">
      <w:pPr>
        <w:pageBreakBefore w:val="0"/>
        <w:numPr>
          <w:ilvl w:val="0"/>
          <w:numId w:val="16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建立标准化流程和知识库（如使用Confluence），降低扩展成本</w:t>
      </w:r>
    </w:p>
    <w:p w14:paraId="54A16B67">
      <w:pPr>
        <w:pageBreakBefore w:val="0"/>
        <w:wordWrap/>
        <w:spacing w:before="160" w:after="0"/>
        <w:ind w:left="0" w:leftChars="0" w:right="0" w:rightChars="0"/>
        <w:jc w:val="left"/>
        <w:textAlignment w:val="auto"/>
        <w:rPr>
          <w:rFonts w:asciiTheme="minorHAnsi" w:hAnsiTheme="minorHAnsi" w:eastAsiaTheme="minorEastAsia" w:cstheme="minorBidi"/>
          <w:sz w:val="21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：敏捷管理策略使OPC扩展边际成本降低80%，团队协作效率提升100%以上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[13]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。</w:t>
      </w:r>
    </w:p>
    <w:p w14:paraId="00649FC9">
      <w:pPr>
        <w:pageBreakBefore w:val="0"/>
        <w:wordWrap/>
        <w:spacing w:before="160" w:after="0"/>
        <w:ind w:left="0" w:right="0"/>
        <w:jc w:val="left"/>
        <w:textAlignment w:val="auto"/>
        <w:rPr>
          <w:rFonts w:ascii="宋体" w:hAnsi="宋体" w:eastAsia="宋体" w:cs="宋体"/>
          <w:b w:val="0"/>
          <w:i w:val="0"/>
          <w:spacing w:val="0"/>
          <w:sz w:val="24"/>
        </w:rPr>
      </w:pPr>
    </w:p>
    <w:p w14:paraId="44074639">
      <w:r>
        <w:t>参考文献</w:t>
      </w:r>
    </w:p>
    <w:p w14:paraId="4EC38DFD">
      <w:r>
        <w:t>[1] 苏州工业园区管委会. 关于加快打造全球领先的人工智能OPC创业首选区的若干措施[Z]. 苏</w:t>
      </w:r>
      <w:bookmarkStart w:id="0" w:name="_GoBack"/>
      <w:bookmarkEnd w:id="0"/>
      <w:r>
        <w:t>园管〔2025〕38号, 2025-11-28. http://www.sipac.gov.cn, 2026-03-31.</w:t>
      </w:r>
    </w:p>
    <w:p w14:paraId="5226D856">
      <w:r>
        <w:t>[2] 苏州工业园区管委会. 2025年OPC创业发展白皮书[R]. 2025.</w:t>
      </w:r>
    </w:p>
    <w:p w14:paraId="0E5A05F0">
      <w:r>
        <w:t>[3] 中关村AI北纬社区. 2026年运营报告[R]. 2026.</w:t>
      </w:r>
    </w:p>
    <w:p w14:paraId="55A58F1A">
      <w:r>
        <w:t>[4] 国家互联网信息办公室, 香港创新科技及工业局. 粤港澳大湾区（内地、香港）个人信息跨境流动标准合同实施指引[Z]. 2023-12. 国家网信办, 市场监管总局令第20号, 2025-10.</w:t>
      </w:r>
    </w:p>
    <w:p w14:paraId="0C8AB2D4">
      <w:r>
        <w:t>[5] 广东省发展和改革委员会. 2025年数字经济发展报告[R]. 2025.</w:t>
      </w:r>
    </w:p>
    <w:p w14:paraId="107348BA">
      <w:r>
        <w:t>[6] Guidotti R, Monreale A, Ruggieri S, et al. A survey of methods for explaining black box models[J]. ACM Computing Surveys, 2018, 51(5): 1-42.</w:t>
      </w:r>
    </w:p>
    <w:p w14:paraId="1DE8C906">
      <w:r>
        <w:t>[7] Gartner. 2025年AI治理技术成熟度曲线[R]. 2025.</w:t>
      </w:r>
    </w:p>
    <w:p w14:paraId="404E8383">
      <w:r>
        <w:t>[8] Yang Q, Liu Y, Chen T, et al. Federated machine learning: Concept and applications[J]. ACM Transactions on Intelligent Systems and Technology, 2019, 10(2): 1-19.</w:t>
      </w:r>
    </w:p>
    <w:p w14:paraId="0D038912">
      <w:r>
        <w:t>[9] Gartner. 2025中国AI趋势报告[R]. 2025.</w:t>
      </w:r>
    </w:p>
    <w:p w14:paraId="52DD1BB5">
      <w:r>
        <w:t>[10] 中国信息通信研究院. 联邦学习技术白皮书[R]. 2025.</w:t>
      </w:r>
    </w:p>
    <w:p w14:paraId="73A7097D">
      <w:r>
        <w:t>[11] Gartner. 2025技术成熟度曲线[R]. 2025.</w:t>
      </w:r>
    </w:p>
    <w:p w14:paraId="281DACA3">
      <w:r>
        <w:t>[12] 苏州工业园区. 2026年OPC生态发展白皮书[R]. 2026.</w:t>
      </w:r>
    </w:p>
    <w:p w14:paraId="6F943F4D">
      <w:r>
        <w:t>[14] 苏州工业园区. 2025年OPC创业案例集[C]. 2025.</w:t>
      </w:r>
    </w:p>
    <w:p w14:paraId="145F2C6C">
      <w:r>
        <w:t>[15] 深圳市发展和改革委员会. 2025年人工智能产业发展报告[R]. 2025.</w:t>
      </w:r>
    </w:p>
    <w:p w14:paraId="4D916FFF">
      <w:r>
        <w:t>[16] 职场Bonus. 独立开发者陈云飞：用AI工具实现1小时App开发与商业化[EB/OL]. 2025-04-23. https://www.sohu.com/a/887795693, 2026-03-31.</w:t>
      </w:r>
    </w:p>
    <w:p w14:paraId="25329767">
      <w:r>
        <w:t>[17] 中国信息通信研究院. 2025年OPC发展白皮书[R]. 2025.</w:t>
      </w:r>
    </w:p>
    <w:p w14:paraId="0AA94EFB">
      <w:r>
        <w:t>[18] 苏州工业园区青创基金. 2025年度运营报告[R]. 2025.</w:t>
      </w:r>
    </w:p>
    <w:p w14:paraId="722C5749">
      <w:r>
        <w:t>[19] 中国信息通信研究院. 2025年OPC财务管理白皮书[R]. 2025.</w:t>
      </w:r>
    </w:p>
    <w:p w14:paraId="3EA2B51E">
      <w:pPr>
        <w:pageBreakBefore w:val="0"/>
        <w:wordWrap/>
        <w:spacing w:before="160" w:after="0"/>
        <w:ind w:left="0" w:right="0"/>
        <w:jc w:val="left"/>
        <w:textAlignment w:val="auto"/>
        <w:rPr>
          <w:rFonts w:ascii="宋体" w:hAnsi="宋体" w:eastAsia="宋体" w:cs="宋体"/>
          <w:b w:val="0"/>
          <w:i w:val="0"/>
          <w:spacing w:val="0"/>
          <w:sz w:val="24"/>
        </w:rPr>
      </w:pPr>
      <w:r>
        <w:t>[20] Gartner. 2025中国AI趋势报告[R]. 2025.</w:t>
      </w:r>
    </w:p>
    <w:sectPr>
      <w:headerReference r:id="rId3" w:type="default"/>
      <w:footerReference r:id="rId4" w:type="default"/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A7EC92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22C04B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multilevel"/>
    <w:tmpl w:val="813A4B87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">
    <w:nsid w:val="8461FADE"/>
    <w:multiLevelType w:val="multilevel"/>
    <w:tmpl w:val="8461FADE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">
    <w:nsid w:val="9288B902"/>
    <w:multiLevelType w:val="multilevel"/>
    <w:tmpl w:val="9288B902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3">
    <w:nsid w:val="B0F1ACD9"/>
    <w:multiLevelType w:val="multilevel"/>
    <w:tmpl w:val="B0F1ACD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4">
    <w:nsid w:val="BE923771"/>
    <w:multiLevelType w:val="multilevel"/>
    <w:tmpl w:val="BE923771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5">
    <w:nsid w:val="E093A4B0"/>
    <w:multiLevelType w:val="multilevel"/>
    <w:tmpl w:val="E093A4B0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6">
    <w:nsid w:val="F7735DC9"/>
    <w:multiLevelType w:val="multilevel"/>
    <w:tmpl w:val="F7735DC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7">
    <w:nsid w:val="243FCF68"/>
    <w:multiLevelType w:val="multilevel"/>
    <w:tmpl w:val="243FCF68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8">
    <w:nsid w:val="30FC5B15"/>
    <w:multiLevelType w:val="multilevel"/>
    <w:tmpl w:val="30FC5B15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9">
    <w:nsid w:val="39A0D9AC"/>
    <w:multiLevelType w:val="multilevel"/>
    <w:tmpl w:val="39A0D9AC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0">
    <w:nsid w:val="4D94DA66"/>
    <w:multiLevelType w:val="multilevel"/>
    <w:tmpl w:val="4D94DA66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1">
    <w:nsid w:val="58765686"/>
    <w:multiLevelType w:val="multilevel"/>
    <w:tmpl w:val="58765686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2">
    <w:nsid w:val="629F7852"/>
    <w:multiLevelType w:val="multilevel"/>
    <w:tmpl w:val="629F7852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3">
    <w:nsid w:val="77ECEA79"/>
    <w:multiLevelType w:val="multilevel"/>
    <w:tmpl w:val="77ECEA79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4">
    <w:nsid w:val="7C246926"/>
    <w:multiLevelType w:val="multilevel"/>
    <w:tmpl w:val="7C246926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5">
    <w:nsid w:val="7DEC2089"/>
    <w:multiLevelType w:val="multilevel"/>
    <w:tmpl w:val="7DEC2089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3"/>
  </w:num>
  <w:num w:numId="2">
    <w:abstractNumId w:val="14"/>
  </w:num>
  <w:num w:numId="3">
    <w:abstractNumId w:val="13"/>
  </w:num>
  <w:num w:numId="4">
    <w:abstractNumId w:val="4"/>
  </w:num>
  <w:num w:numId="5">
    <w:abstractNumId w:val="12"/>
  </w:num>
  <w:num w:numId="6">
    <w:abstractNumId w:val="2"/>
  </w:num>
  <w:num w:numId="7">
    <w:abstractNumId w:val="9"/>
  </w:num>
  <w:num w:numId="8">
    <w:abstractNumId w:val="1"/>
  </w:num>
  <w:num w:numId="9">
    <w:abstractNumId w:val="11"/>
  </w:num>
  <w:num w:numId="10">
    <w:abstractNumId w:val="15"/>
  </w:num>
  <w:num w:numId="11">
    <w:abstractNumId w:val="0"/>
  </w:num>
  <w:num w:numId="12">
    <w:abstractNumId w:val="7"/>
  </w:num>
  <w:num w:numId="13">
    <w:abstractNumId w:val="10"/>
  </w:num>
  <w:num w:numId="14">
    <w:abstractNumId w:val="6"/>
  </w:num>
  <w:num w:numId="15">
    <w:abstractNumId w:val="5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67"/>
  <w:documentProtection w:enforcement="0"/>
  <w:compat>
    <w:ulTrailSpace/>
    <w:useFELayout/>
    <w:compatSetting w:name="compatibilityMode" w:uri="http://schemas.microsoft.com/office/word" w:val="15"/>
  </w:compat>
  <w:rsids>
    <w:rsidRoot w:val="00000000"/>
    <w:rsid w:val="1F6F0981"/>
    <w:rsid w:val="618944F5"/>
    <w:rsid w:val="78BF17CB"/>
    <w:rsid w:val="7EEE5FC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3127</Words>
  <Characters>3422</Characters>
  <TotalTime>28</TotalTime>
  <ScaleCrop>false</ScaleCrop>
  <LinksUpToDate>false</LinksUpToDate>
  <CharactersWithSpaces>3478</CharactersWithSpaces>
  <Application>WPS Office_12.1.0.25222_F1E327BC-269C-435d-A152-05C5408002CA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2026-01-07T05:02:00Z</dcterms:created>
  <dc:creator>Apache POI</dc:creator>
  <cp:lastModifiedBy>左笔方寸有AI</cp:lastModifiedBy>
  <dcterms:modified xsi:type="dcterms:W3CDTF">2026-03-31T07:17:04Z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TGI3TgYN6jhotb6w9Zcd9ZdctgS5JCCf5tyJwS/M2es=","ProduceID":"doc_sgs:00fa62f3-1d62-494c-96e5-ff5e0934f7ae","ReservedCode2":"TGI3TgYN6jhotb6w9Zcd9ZdctgS5JCCf5tyJwS/M2es=","PropagateID":"doc_sgs:00fa62f3-1d62-494c-96e5-ff5e0934f7ae","ContentProducer":"001191440101MA9Y9T4H7A00000"}</vt:lpwstr>
  </property>
  <property fmtid="{D5CDD505-2E9C-101B-9397-08002B2CF9AE}" pid="3" name="KSOProductBuildVer">
    <vt:lpwstr>2052-12.1.0.25222</vt:lpwstr>
  </property>
  <property fmtid="{D5CDD505-2E9C-101B-9397-08002B2CF9AE}" pid="4" name="ICV">
    <vt:lpwstr>1F4705D06E4B4637B506CA0050061A3C_13</vt:lpwstr>
  </property>
  <property fmtid="{D5CDD505-2E9C-101B-9397-08002B2CF9AE}" pid="5" name="KSOTemplateDocerSaveRecord">
    <vt:lpwstr>eyJoZGlkIjoiODY3YjA1NmUyMjVkZTE1N2YzNjBhNGMyZmE2YzBlNDgiLCJ1c2VySWQiOiIxNjc2MTQ0NTQifQ==</vt:lpwstr>
  </property>
</Properties>
</file>