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C1DDE8">
      <w:pPr>
        <w:pageBreakBefore w:val="0"/>
        <w:wordWrap/>
        <w:spacing w:before="160" w:after="0"/>
        <w:ind w:left="0" w:right="0"/>
        <w:jc w:val="left"/>
        <w:textAlignment w:val="auto"/>
        <w:rPr>
          <w:sz w:val="36"/>
        </w:rPr>
      </w:pPr>
      <w:r>
        <w:rPr>
          <w:rFonts w:ascii="宋体" w:hAnsi="宋体" w:eastAsia="宋体" w:cs="宋体"/>
          <w:b/>
          <w:i w:val="0"/>
          <w:spacing w:val="0"/>
          <w:sz w:val="36"/>
        </w:rPr>
        <w:t>第八章 OPC全球化发展策略</w:t>
      </w:r>
    </w:p>
    <w:p w14:paraId="2275532C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8.1 跨文化运营策略</w:t>
      </w:r>
    </w:p>
    <w:p w14:paraId="7B08CBB1">
      <w:pPr>
        <w:pageBreakBefore w:val="0"/>
        <w:wordWrap/>
        <w:spacing w:before="160" w:after="0"/>
        <w:ind w:left="0" w:leftChars="0" w:right="0" w:right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本章OPC指"个人+AI协同"的一人公司，核心特征为轻量化运营与全链路AI赋能。OPC创业者需构建"文化智能"框架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，通过AI工具辅助理解不同文化背景下的技术转移需求与合作模式。</w:t>
      </w:r>
    </w:p>
    <w:p w14:paraId="78861744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(1) 文化差异识别与分析</w:t>
      </w:r>
    </w:p>
    <w:p w14:paraId="30744653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OPC创业者应识别并分析主要文化差异：</w:t>
      </w:r>
    </w:p>
    <w:p w14:paraId="31F15B79">
      <w:pPr>
        <w:pageBreakBefore w:val="0"/>
        <w:numPr>
          <w:ilvl w:val="0"/>
          <w:numId w:val="1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沟通风格差异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：欧美企业注重直接表达与结果导向（如德国商务沟通中70%内容为数据化陈述），东亚企业（中、日、韩）注重间接沟通与关系建立，初次合作需3-5次非正式沟通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[1]</w:t>
      </w:r>
    </w:p>
    <w:p w14:paraId="5157B385">
      <w:pPr>
        <w:pageBreakBefore w:val="0"/>
        <w:numPr>
          <w:ilvl w:val="0"/>
          <w:numId w:val="1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决策流程差异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：北美企业决策链平均长度为2-3级，亚太企业（如中国、印度）决策链长且注重集体意见，需经过部门协同与层级审批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[2]</w:t>
      </w:r>
    </w:p>
    <w:p w14:paraId="1AAEC5D2">
      <w:pPr>
        <w:pageBreakBefore w:val="0"/>
        <w:numPr>
          <w:ilvl w:val="0"/>
          <w:numId w:val="1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法律意识差异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：欧美企业合同条款平均包含47项风险防控条款，东南亚企业更注重口头承诺与长期关系，合同纠纷中62%通过调解解决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[3]</w:t>
      </w:r>
    </w:p>
    <w:p w14:paraId="4FA26B1F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AI辅助工具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5301F34D">
      <w:pPr>
        <w:pageBreakBefore w:val="0"/>
        <w:numPr>
          <w:ilvl w:val="0"/>
          <w:numId w:val="2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使用DeepSeek或GPT-4等大模型进行跨文化沟通训练</w:t>
      </w:r>
    </w:p>
    <w:p w14:paraId="38616162">
      <w:pPr>
        <w:pageBreakBefore w:val="0"/>
        <w:numPr>
          <w:ilvl w:val="0"/>
          <w:numId w:val="2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通过Midjourney等工具生成符合当地文化习惯的营销材料</w:t>
      </w:r>
    </w:p>
    <w:p w14:paraId="4E04F049">
      <w:pPr>
        <w:pageBreakBefore w:val="0"/>
        <w:numPr>
          <w:ilvl w:val="0"/>
          <w:numId w:val="2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使用Notion建立"文化知识库"：①创建"国家-文化维度"数据库（含沟通风格、法律禁忌、合作偏好字段）；②接入GPT-4 API实现实时更新（每周自动抓取目标国商业文化动态）；③设置"高风险预警"标签（如中东市场宗教节日期间的商务禁忌）</w:t>
      </w:r>
    </w:p>
    <w:p w14:paraId="6364350C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(2) 本地化运营策略</w:t>
      </w:r>
    </w:p>
    <w:p w14:paraId="1ED65B5F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OPC创业者需采用"前端一人、后端网络"的本地化运营模式  ：</w:t>
      </w:r>
    </w:p>
    <w:p w14:paraId="36966A19">
      <w:pPr>
        <w:pageBreakBefore w:val="0"/>
        <w:numPr>
          <w:ilvl w:val="0"/>
          <w:numId w:val="3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产品本地化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：使用AI工具（如CeMeta的"森宇宙AI营销智能体"）生成符合当地文化习惯的产品描述与营销方案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[26]</w:t>
      </w:r>
    </w:p>
    <w:p w14:paraId="1C02C9D2">
      <w:pPr>
        <w:pageBreakBefore w:val="0"/>
        <w:numPr>
          <w:ilvl w:val="0"/>
          <w:numId w:val="3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法律合规本地化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：通过千律科技的智能合同生成系统，适配不同国家/地区的法律要求</w:t>
      </w:r>
    </w:p>
    <w:p w14:paraId="2BD7281C">
      <w:pPr>
        <w:pageBreakBefore w:val="0"/>
        <w:numPr>
          <w:ilvl w:val="0"/>
          <w:numId w:val="3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团队协作本地化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：使用开源联邦学习框架FedML（支持单人部署）与当地合作伙伴进行数据协同，通过"本地数据训练+模型参数共享"模式实现脑电数据协同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[10]</w:t>
      </w:r>
    </w:p>
    <w:p w14:paraId="6EED955E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实操指南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53A06891">
      <w:pPr>
        <w:pageBreakBefore w:val="0"/>
        <w:numPr>
          <w:ilvl w:val="0"/>
          <w:numId w:val="4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使用"大湾区标准合同"模板，明确数据出境目的、范围和保护措施</w:t>
      </w:r>
    </w:p>
    <w:p w14:paraId="73E36719">
      <w:pPr>
        <w:pageBreakBefore w:val="0"/>
        <w:numPr>
          <w:ilvl w:val="0"/>
          <w:numId w:val="4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1"/>
          <w:szCs w:val="22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通过AI驱动的贸易合规平台（如Adexa Genies），实时监控全球128个国家出口管制清单及关税政策变化，支持设置"AI芯片""加密算法"等关键词预警，每周推送定制化合规报告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[12]</w:t>
      </w:r>
    </w:p>
    <w:p w14:paraId="07AF073A">
      <w:pPr>
        <w:pageBreakBefore w:val="0"/>
        <w:numPr>
          <w:ilvl w:val="0"/>
          <w:numId w:val="4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建立"文化适配清单"，记录不同国家/地区的合作偏好与禁忌</w:t>
      </w:r>
    </w:p>
    <w:p w14:paraId="42D94D3F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(3) 跨文化沟通工具</w:t>
      </w:r>
    </w:p>
    <w:p w14:paraId="63040F3E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OPC创业者需掌握以下跨文化沟通工具：</w:t>
      </w:r>
    </w:p>
    <w:p w14:paraId="78C61F92">
      <w:pPr>
        <w:pageBreakBefore w:val="0"/>
        <w:numPr>
          <w:ilvl w:val="0"/>
          <w:numId w:val="5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AI翻译工具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：DeepSeek或GPT-4等大模型进行实时翻译，支持技术术语和行业背景理解</w:t>
      </w:r>
    </w:p>
    <w:p w14:paraId="04DE9B4F">
      <w:pPr>
        <w:pageBreakBefore w:val="0"/>
        <w:numPr>
          <w:ilvl w:val="0"/>
          <w:numId w:val="5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文化理解助手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：使用ChatGPT等工具分析目标市场文化特点与合作习惯</w:t>
      </w:r>
    </w:p>
    <w:p w14:paraId="27806D65">
      <w:pPr>
        <w:pageBreakBefore w:val="0"/>
        <w:numPr>
          <w:ilvl w:val="0"/>
          <w:numId w:val="5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虚拟协作平台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：通过Retool、Appsmith等低代码平台与海外合作伙伴建立虚拟协作空间</w:t>
      </w:r>
    </w:p>
    <w:p w14:paraId="0F89532A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效率提升数据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7F361AD3">
      <w:pPr>
        <w:pageBreakBefore w:val="0"/>
        <w:numPr>
          <w:ilvl w:val="0"/>
          <w:numId w:val="6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1"/>
          <w:szCs w:val="22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根据DeepSeek《跨语言翻译白皮书》，AI翻译工具技术术语翻译准确率达95.3%，较人工翻译效率提升8倍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[4]</w:t>
      </w:r>
    </w:p>
    <w:p w14:paraId="57A50C6B">
      <w:pPr>
        <w:pageBreakBefore w:val="0"/>
        <w:numPr>
          <w:ilvl w:val="0"/>
          <w:numId w:val="6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1"/>
          <w:szCs w:val="22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虚拟协作平台使跨国团队协作效率提升70%，沟通成本降低50%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[5]</w:t>
      </w:r>
    </w:p>
    <w:p w14:paraId="682F3923">
      <w:pPr>
        <w:pageBreakBefore w:val="0"/>
        <w:wordWrap/>
        <w:spacing w:before="160" w:after="0"/>
        <w:ind w:left="0" w:leftChars="0" w:right="0" w:right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OPC实操要点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：①优先使用GPT-4进行跨文化沟通预演，模拟目标市场合作场景；②文化知识库需包含宗教禁忌（如中东市场斋月期间避免商务拜访）；③通过FedML框架实现数据不出境的跨境协同</w:t>
      </w:r>
    </w:p>
    <w:p w14:paraId="2F0ACC23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8.2 国际市场准入策略</w:t>
      </w:r>
    </w:p>
    <w:p w14:paraId="7FC28A7E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OPC创业者需构建"合规-效率"平衡的国际市场准入策略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，既要满足欧盟AI法案等严格监管要求，又要保持轻量化运营的效率优势。</w:t>
      </w:r>
    </w:p>
    <w:p w14:paraId="3B2F14A7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(1) 欧盟市场准入路径</w:t>
      </w:r>
    </w:p>
    <w:p w14:paraId="6A8E0F8D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针对欧盟市场，OPC创业者需重点关注以下准入要求：</w:t>
      </w:r>
    </w:p>
    <w:p w14:paraId="4CF43F34">
      <w:pPr>
        <w:pageBreakBefore w:val="0"/>
        <w:numPr>
          <w:ilvl w:val="0"/>
          <w:numId w:val="7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AI系统风险分类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：根据欧盟《人工智能法案》第3条，技术转移相关AI系统划分为：高风险（如医疗设备数据解析工具需符合欧盟MDR法规）、中风险（普通技术评估工具）、低风险（营销内容生成工具）三个等级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[6]</w:t>
      </w:r>
    </w:p>
    <w:p w14:paraId="50F24A2A">
      <w:pPr>
        <w:pageBreakBefore w:val="0"/>
        <w:numPr>
          <w:ilvl w:val="0"/>
          <w:numId w:val="7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高风险AI系统要求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：对高风险系统（如医疗诊断AI），需满足严格的事前合规要求，包括建立风险管理系统、数据治理框架等</w:t>
      </w:r>
    </w:p>
    <w:p w14:paraId="2C3FEAF1">
      <w:pPr>
        <w:pageBreakBefore w:val="0"/>
        <w:numPr>
          <w:ilvl w:val="0"/>
          <w:numId w:val="7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通用AI透明度义务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：对生成式AI系统，需明确披露内容由AI生成，并发布训练数据中受版权保护材料的摘要</w:t>
      </w:r>
    </w:p>
    <w:p w14:paraId="6C201213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准入策略实操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0FCED00C">
      <w:pPr>
        <w:pageBreakBefore w:val="0"/>
        <w:numPr>
          <w:ilvl w:val="0"/>
          <w:numId w:val="8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使用欧盟AI法案合规工具（如Adexa Genies）进行系统风险分类与合规评估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[12]</w:t>
      </w:r>
    </w:p>
    <w:p w14:paraId="56EE251E">
      <w:pPr>
        <w:pageBreakBefore w:val="0"/>
        <w:numPr>
          <w:ilvl w:val="0"/>
          <w:numId w:val="8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通过"首试首用"机制，先在欧盟外验证技术，再逐步进入欧盟市场</w:t>
      </w:r>
    </w:p>
    <w:p w14:paraId="0F6790EB">
      <w:pPr>
        <w:pageBreakBefore w:val="0"/>
        <w:numPr>
          <w:ilvl w:val="0"/>
          <w:numId w:val="8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利用联邦学习技术（如微众银行FATE）实现数据不出本地的情况下与欧盟合作伙伴协同建模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[10]</w:t>
      </w:r>
    </w:p>
    <w:p w14:paraId="41A853F6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(2) 东南亚市场拓展策略</w:t>
      </w:r>
    </w:p>
    <w:p w14:paraId="48F9D19D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针对东南亚市场，OPC创业者可采取以下拓展策略：</w:t>
      </w:r>
    </w:p>
    <w:p w14:paraId="42B48E89">
      <w:pPr>
        <w:pageBreakBefore w:val="0"/>
        <w:numPr>
          <w:ilvl w:val="0"/>
          <w:numId w:val="9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RCEP政策利用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：利用区域全面经济伙伴关系协定"技术转移绿色通道"，如深圳某AI视觉技术OPC与泰国高校联合开发农业监测算法，通过联邦学习实现数据不出境协同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[7]</w:t>
      </w:r>
    </w:p>
    <w:p w14:paraId="1E4F49C0">
      <w:pPr>
        <w:pageBreakBefore w:val="0"/>
        <w:numPr>
          <w:ilvl w:val="0"/>
          <w:numId w:val="9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本地化合作网络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：与当地高校（如泰国朱拉隆功大学）建立联合研发机制，使用开源联邦学习框架FedML实现数据协同，个人创业者可通过"本地数据训练+模型参数共享"模式完成技术适配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[10]</w:t>
      </w:r>
    </w:p>
    <w:p w14:paraId="48C234EF">
      <w:pPr>
        <w:pageBreakBefore w:val="0"/>
        <w:numPr>
          <w:ilvl w:val="0"/>
          <w:numId w:val="9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轻资产运营模式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：通过云服务与AI工具实现低成本市场拓展</w:t>
      </w:r>
    </w:p>
    <w:p w14:paraId="639FE1DE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案例启示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32471A7A">
      <w:pPr>
        <w:pageBreakBefore w:val="0"/>
        <w:numPr>
          <w:ilvl w:val="0"/>
          <w:numId w:val="10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深圳某AI视觉技术OPC通过RCEP"技术转移绿色通道"，与泰国高校联合开发农业监测算法，利用联邦学习实现数据不出境协同，6个月内完成技术落地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[7]</w:t>
      </w:r>
    </w:p>
    <w:p w14:paraId="2592F669">
      <w:pPr>
        <w:pageBreakBefore w:val="0"/>
        <w:numPr>
          <w:ilvl w:val="0"/>
          <w:numId w:val="10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使用"东南亚标准合同"模板，明确技术转移条件与本地化要求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[7]</w:t>
      </w:r>
    </w:p>
    <w:p w14:paraId="4D38B7A8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(3) 全球市场准入工具推荐</w:t>
      </w:r>
    </w:p>
    <w:p w14:paraId="2B090EAD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OPC创业者可使用以下工具辅助国际市场准入：</w:t>
      </w:r>
    </w:p>
    <w:p w14:paraId="33C65BD0">
      <w:pPr>
        <w:pageBreakBefore w:val="0"/>
        <w:numPr>
          <w:ilvl w:val="0"/>
          <w:numId w:val="11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合规评估工具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：Adexa Genies实时监控全球128个国家出口管制清单及关税政策变化，支持设置"AI芯片""加密算法"等关键词预警，每周推送定制化合规报告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[12]</w:t>
      </w:r>
    </w:p>
    <w:p w14:paraId="4CD4B6A2">
      <w:pPr>
        <w:pageBreakBefore w:val="0"/>
        <w:numPr>
          <w:ilvl w:val="0"/>
          <w:numId w:val="11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市场分析工具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：CeMeta的"森宇宙AI营销智能体"分析全球市场需求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[26]</w:t>
      </w:r>
    </w:p>
    <w:p w14:paraId="4790D3AA">
      <w:pPr>
        <w:pageBreakBefore w:val="0"/>
        <w:numPr>
          <w:ilvl w:val="0"/>
          <w:numId w:val="11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知识产权保护工具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：智慧芽的"专利价值评估"系统适配不同国家/地区的知识产权要求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[13]</w:t>
      </w:r>
    </w:p>
    <w:p w14:paraId="4988A148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效率提升数据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34AF098C">
      <w:pPr>
        <w:pageBreakBefore w:val="0"/>
        <w:numPr>
          <w:ilvl w:val="0"/>
          <w:numId w:val="12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AI驱动的合规工具将传统合规评估时间从3个月缩短至2周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[8]</w:t>
      </w:r>
    </w:p>
    <w:p w14:paraId="609F958B">
      <w:pPr>
        <w:pageBreakBefore w:val="0"/>
        <w:numPr>
          <w:ilvl w:val="0"/>
          <w:numId w:val="13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市场分析工具可将全球市场调研时间从4周缩短至3天，需求匹配准确率提升35%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[26]</w:t>
      </w:r>
    </w:p>
    <w:p w14:paraId="6285EAEA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8.3 跨境合作与竞争策略</w:t>
      </w:r>
    </w:p>
    <w:p w14:paraId="2FB58B42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OPC创业者需构建"数据可用不可见"的跨境合作模式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，通过联邦学习等技术实现与全球合作伙伴的高效协作。</w:t>
      </w:r>
    </w:p>
    <w:p w14:paraId="7C2994D3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(1) 联邦学习在跨境合作中的应用</w:t>
      </w:r>
    </w:p>
    <w:p w14:paraId="54893075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OPC创业者可利用联邦学习技术实现跨境数据协同：</w:t>
      </w:r>
    </w:p>
    <w:p w14:paraId="6A410CA9">
      <w:pPr>
        <w:pageBreakBefore w:val="0"/>
        <w:numPr>
          <w:ilvl w:val="0"/>
          <w:numId w:val="13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联邦迁移学习(FTL)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：适用于不同样本、不同特征维度的技术转移场景，如将中国的技术方案适配到美国市场</w:t>
      </w:r>
    </w:p>
    <w:p w14:paraId="4B10C26E">
      <w:pPr>
        <w:pageBreakBefore w:val="0"/>
        <w:numPr>
          <w:ilvl w:val="0"/>
          <w:numId w:val="13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横向联邦学习(HFL)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：适用于同一样本空间、不同特征空间的场景，如多个OPC创业者联合训练技术评估模型</w:t>
      </w:r>
    </w:p>
    <w:p w14:paraId="78F7BAA0">
      <w:pPr>
        <w:pageBreakBefore w:val="0"/>
        <w:numPr>
          <w:ilvl w:val="0"/>
          <w:numId w:val="13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纵向联邦学习(VFL)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：适用于不同样本空间、相同特征空间的场景，如与海外高校合作进行技术验证</w:t>
      </w:r>
    </w:p>
    <w:p w14:paraId="264617F6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实操案例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2E930C3C">
      <w:pPr>
        <w:pageBreakBefore w:val="0"/>
        <w:numPr>
          <w:ilvl w:val="0"/>
          <w:numId w:val="14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个人创业者使用FedML框架实现跨境数据协同：①通过FedML官网下载个人版部署包；②配置本地训练节点；③与海外合作方共享模型参数（全程无需代码开发，参考FedML社区"10分钟上手教程"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[10]</w:t>
      </w:r>
    </w:p>
    <w:p w14:paraId="69C4DCED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(2) 区块链技术应用</w:t>
      </w:r>
    </w:p>
    <w:p w14:paraId="6620350D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OPC创业者可使用区块链技术构建透明、不可篡改的技术转移记录：</w:t>
      </w:r>
    </w:p>
    <w:p w14:paraId="794E1EDD">
      <w:pPr>
        <w:pageBreakBefore w:val="0"/>
        <w:numPr>
          <w:ilvl w:val="0"/>
          <w:numId w:val="15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智能合约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：自动执行技术转移交易条款，减少人为干预</w:t>
      </w:r>
    </w:p>
    <w:p w14:paraId="4D1C9ACE">
      <w:pPr>
        <w:pageBreakBefore w:val="0"/>
        <w:numPr>
          <w:ilvl w:val="0"/>
          <w:numId w:val="15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数据存证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：将技术成果、交易记录上链，确保法律效力</w:t>
      </w:r>
    </w:p>
    <w:p w14:paraId="04F56DB5">
      <w:pPr>
        <w:pageBreakBefore w:val="0"/>
        <w:numPr>
          <w:ilvl w:val="0"/>
          <w:numId w:val="15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溯源系统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：构建技术转移全流程溯源系统，增强信任</w:t>
      </w:r>
    </w:p>
    <w:p w14:paraId="5023669B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实操指南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3504B1A6">
      <w:pPr>
        <w:pageBreakBefore w:val="0"/>
        <w:numPr>
          <w:ilvl w:val="0"/>
          <w:numId w:val="16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优先使用Celo区块链（操作难度低，支持智能合约模板）：①通过Celo Wallet创建账户；②调用"技术转移存证"模板；③上传交易文件哈希值，完成存证（全程耗时＜10分钟）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[11]</w:t>
      </w:r>
    </w:p>
    <w:p w14:paraId="7B925D1E">
      <w:pPr>
        <w:pageBreakBefore w:val="0"/>
        <w:numPr>
          <w:ilvl w:val="0"/>
          <w:numId w:val="16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通过区块链技术将技术转移记录的审核时间从数天缩短至数分钟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[11]</w:t>
      </w:r>
    </w:p>
    <w:p w14:paraId="16783228">
      <w:pPr>
        <w:pageBreakBefore w:val="0"/>
        <w:numPr>
          <w:ilvl w:val="0"/>
          <w:numId w:val="16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建立"链上-链下"数据协同机制，保护核心数据隐私</w:t>
      </w:r>
    </w:p>
    <w:p w14:paraId="1D33D561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(3) 全球竞争策略</w:t>
      </w:r>
    </w:p>
    <w:p w14:paraId="7920065E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OPC创业者需采取以下全球竞争策略：</w:t>
      </w:r>
    </w:p>
    <w:p w14:paraId="74E97953">
      <w:pPr>
        <w:pageBreakBefore w:val="0"/>
        <w:numPr>
          <w:ilvl w:val="0"/>
          <w:numId w:val="17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差异化定位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：利用AI工具挖掘技术独特性，形成竞争优势</w:t>
      </w:r>
    </w:p>
    <w:p w14:paraId="1CE41162">
      <w:pPr>
        <w:pageBreakBefore w:val="0"/>
        <w:numPr>
          <w:ilvl w:val="0"/>
          <w:numId w:val="17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敏捷迭代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：通过轻量化架构实现快速技术迭代与市场响应</w:t>
      </w:r>
    </w:p>
    <w:p w14:paraId="2EDEE9BF">
      <w:pPr>
        <w:pageBreakBefore w:val="0"/>
        <w:numPr>
          <w:ilvl w:val="0"/>
          <w:numId w:val="17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生态协同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：接入全球技术转移网络，获取资源与市场机会</w:t>
      </w:r>
    </w:p>
    <w:p w14:paraId="41270E14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案例启示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28AB099C">
      <w:pPr>
        <w:pageBreakBefore w:val="0"/>
        <w:numPr>
          <w:ilvl w:val="0"/>
          <w:numId w:val="18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Pieter Levels通过3个AI工具实现全球化运营：①ChatGPT自动回复客户咨询（7×24小时）；②Midjourney生成多语言营销素材（适配欧美/东南亚审美）；③Notion AI自动整理市场反馈报告，每周输出优化建议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[14]</w:t>
      </w:r>
    </w:p>
    <w:p w14:paraId="71971EC0">
      <w:pPr>
        <w:pageBreakBefore w:val="0"/>
        <w:wordWrap/>
        <w:spacing w:before="160" w:after="0"/>
        <w:ind w:left="0" w:right="0"/>
        <w:jc w:val="left"/>
        <w:textAlignment w:val="auto"/>
        <w:rPr>
          <w:sz w:val="28"/>
        </w:rPr>
      </w:pPr>
      <w:r>
        <w:rPr>
          <w:rFonts w:ascii="宋体" w:hAnsi="宋体" w:eastAsia="宋体" w:cs="宋体"/>
          <w:b/>
          <w:i w:val="0"/>
          <w:spacing w:val="0"/>
          <w:sz w:val="28"/>
        </w:rPr>
        <w:t>8.4 跨境技术转移工具推荐</w:t>
      </w:r>
    </w:p>
    <w:p w14:paraId="0AE84A2B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(1) AI驱动的跨境技术转移工具</w:t>
      </w:r>
    </w:p>
    <w:p w14:paraId="216378F5">
      <w:pPr>
        <w:pageBreakBefore w:val="0"/>
        <w:wordWrap/>
        <w:spacing w:before="160" w:after="0"/>
        <w:ind w:left="0" w:right="0"/>
        <w:jc w:val="left"/>
        <w:textAlignment w:val="auto"/>
        <w:rPr>
          <w:rFonts w:ascii="宋体" w:hAnsi="宋体" w:eastAsia="宋体" w:cs="宋体"/>
          <w:b w:val="0"/>
          <w:i w:val="0"/>
          <w:spacing w:val="0"/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OPC创业者可使用以下AI工具辅助跨境技术转移：</w:t>
      </w:r>
    </w:p>
    <w:p w14:paraId="088A1F5B">
      <w:pPr>
        <w:pageBreakBefore w:val="0"/>
        <w:wordWrap/>
        <w:spacing w:before="160" w:after="0"/>
        <w:ind w:left="0" w:leftChars="0" w:right="0" w:right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OPC实操要点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：①使用Adexa Genies完成目标国合规扫描；②通过Celo区块链实现技术转移记录上链；③采用FedML框架进行跨境数据协同，避免数据出境风险</w:t>
      </w:r>
    </w:p>
    <w:tbl>
      <w:tblPr>
        <w:tblStyle w:val="2"/>
        <w:tblW w:w="1065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626"/>
        <w:gridCol w:w="1560"/>
        <w:gridCol w:w="2550"/>
        <w:gridCol w:w="660"/>
        <w:gridCol w:w="2100"/>
        <w:gridCol w:w="2158"/>
      </w:tblGrid>
      <w:tr w14:paraId="6ED48E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604C46D">
            <w:pPr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b/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  <w:szCs w:val="22"/>
              </w:rPr>
              <w:t>工具</w:t>
            </w:r>
          </w:p>
        </w:tc>
        <w:tc>
          <w:tcPr>
            <w:tcW w:w="1560" w:type="dxa"/>
            <w:tcMar>
              <w:left w:w="108" w:type="dxa"/>
              <w:right w:w="108" w:type="dxa"/>
            </w:tcMar>
            <w:vAlign w:val="center"/>
          </w:tcPr>
          <w:p w14:paraId="5F60B8FE">
            <w:pPr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b/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  <w:szCs w:val="22"/>
              </w:rPr>
              <w:t>适用场景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41D38E2">
            <w:pPr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b/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  <w:szCs w:val="22"/>
              </w:rPr>
              <w:t>优势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311E193">
            <w:pPr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b/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  <w:szCs w:val="22"/>
              </w:rPr>
              <w:t>操作难度</w:t>
            </w:r>
          </w:p>
        </w:tc>
        <w:tc>
          <w:tcPr>
            <w:tcW w:w="2100" w:type="dxa"/>
            <w:tcMar>
              <w:left w:w="108" w:type="dxa"/>
              <w:right w:w="108" w:type="dxa"/>
            </w:tcMar>
            <w:vAlign w:val="center"/>
          </w:tcPr>
          <w:p w14:paraId="791047AC">
            <w:pPr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b/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  <w:szCs w:val="22"/>
              </w:rPr>
              <w:t>入门资源</w:t>
            </w:r>
          </w:p>
        </w:tc>
        <w:tc>
          <w:tcPr>
            <w:tcW w:w="2158" w:type="dxa"/>
            <w:tcMar>
              <w:left w:w="108" w:type="dxa"/>
              <w:right w:w="108" w:type="dxa"/>
            </w:tcMar>
            <w:vAlign w:val="center"/>
          </w:tcPr>
          <w:p w14:paraId="65C060DB">
            <w:pPr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b/>
                <w:sz w:val="24"/>
              </w:rPr>
            </w:pPr>
            <w:r>
              <w:rPr>
                <w:rFonts w:ascii="宋体" w:hAnsi="宋体" w:eastAsia="宋体" w:cs="宋体"/>
                <w:b/>
                <w:i w:val="0"/>
                <w:spacing w:val="0"/>
                <w:sz w:val="24"/>
                <w:szCs w:val="22"/>
              </w:rPr>
              <w:t>安全认证</w:t>
            </w:r>
          </w:p>
        </w:tc>
      </w:tr>
      <w:tr w14:paraId="27882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67EC2DA">
            <w:pPr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智慧芽Eureka平台</w:t>
            </w:r>
          </w:p>
        </w:tc>
        <w:tc>
          <w:tcPr>
            <w:tcW w:w="1560" w:type="dxa"/>
            <w:tcMar>
              <w:left w:w="108" w:type="dxa"/>
              <w:right w:w="108" w:type="dxa"/>
            </w:tcMar>
            <w:vAlign w:val="center"/>
          </w:tcPr>
          <w:p w14:paraId="2BF4D0BE">
            <w:pPr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left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专利分析、查新检索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0791227">
            <w:pPr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left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支持多国专利法适配，自动生成符合标准的报告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D092B0F">
            <w:pPr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中等</w:t>
            </w:r>
          </w:p>
        </w:tc>
        <w:tc>
          <w:tcPr>
            <w:tcW w:w="2100" w:type="dxa"/>
            <w:tcMar>
              <w:left w:w="108" w:type="dxa"/>
              <w:right w:w="108" w:type="dxa"/>
            </w:tcMar>
            <w:vAlign w:val="center"/>
          </w:tcPr>
          <w:p w14:paraId="09493C10">
            <w:pPr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提供30天免费试用，含新手教程视频（官网）</w:t>
            </w:r>
          </w:p>
        </w:tc>
        <w:tc>
          <w:tcPr>
            <w:tcW w:w="2158" w:type="dxa"/>
            <w:tcMar>
              <w:left w:w="108" w:type="dxa"/>
              <w:right w:w="108" w:type="dxa"/>
            </w:tcMar>
            <w:vAlign w:val="center"/>
          </w:tcPr>
          <w:p w14:paraId="56E91E24">
            <w:pPr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left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符合ISO 27001数据安全标准</w:t>
            </w:r>
          </w:p>
        </w:tc>
      </w:tr>
      <w:tr w14:paraId="68AA6F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399C966">
            <w:pPr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科易网企业需求分析系统</w:t>
            </w:r>
          </w:p>
        </w:tc>
        <w:tc>
          <w:tcPr>
            <w:tcW w:w="1560" w:type="dxa"/>
            <w:tcMar>
              <w:left w:w="108" w:type="dxa"/>
              <w:right w:w="108" w:type="dxa"/>
            </w:tcMar>
            <w:vAlign w:val="center"/>
          </w:tcPr>
          <w:p w14:paraId="7956D8C6">
            <w:pPr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left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跨国企业需求匹配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B8ECD4D">
            <w:pPr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left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精准对接全球技术需求，决策周期缩短40%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2FEBC47">
            <w:pPr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中等</w:t>
            </w:r>
          </w:p>
        </w:tc>
        <w:tc>
          <w:tcPr>
            <w:tcW w:w="2100" w:type="dxa"/>
            <w:tcMar>
              <w:left w:w="108" w:type="dxa"/>
              <w:right w:w="108" w:type="dxa"/>
            </w:tcMar>
            <w:vAlign w:val="center"/>
          </w:tcPr>
          <w:p w14:paraId="24158F9E">
            <w:pPr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提供在线培训课程，支持API文档下载（科易网开发者社区）</w:t>
            </w:r>
          </w:p>
        </w:tc>
        <w:tc>
          <w:tcPr>
            <w:tcW w:w="2158" w:type="dxa"/>
            <w:tcMar>
              <w:left w:w="108" w:type="dxa"/>
              <w:right w:w="108" w:type="dxa"/>
            </w:tcMar>
            <w:vAlign w:val="center"/>
          </w:tcPr>
          <w:p w14:paraId="6932C4ED">
            <w:pPr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left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通过国家信息安全等级保护三级认证</w:t>
            </w:r>
          </w:p>
        </w:tc>
      </w:tr>
      <w:tr w14:paraId="43554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7721BD9">
            <w:pPr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Celo区块链</w:t>
            </w:r>
          </w:p>
        </w:tc>
        <w:tc>
          <w:tcPr>
            <w:tcW w:w="1560" w:type="dxa"/>
            <w:tcMar>
              <w:left w:w="108" w:type="dxa"/>
              <w:right w:w="108" w:type="dxa"/>
            </w:tcMar>
            <w:vAlign w:val="center"/>
          </w:tcPr>
          <w:p w14:paraId="7A7CD493">
            <w:pPr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left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区块链存证与智能合约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B34CC77">
            <w:pPr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left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操作难度低，支持智能合约模板，全程耗时＜10分钟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6BC4FD1">
            <w:pPr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低</w:t>
            </w:r>
          </w:p>
        </w:tc>
        <w:tc>
          <w:tcPr>
            <w:tcW w:w="2100" w:type="dxa"/>
            <w:tcMar>
              <w:left w:w="108" w:type="dxa"/>
              <w:right w:w="108" w:type="dxa"/>
            </w:tcMar>
            <w:vAlign w:val="center"/>
          </w:tcPr>
          <w:p w14:paraId="2E3791AA">
            <w:pPr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提供"技术转移存证"模板，含图文教程（Celo官网）</w:t>
            </w:r>
          </w:p>
        </w:tc>
        <w:tc>
          <w:tcPr>
            <w:tcW w:w="2158" w:type="dxa"/>
            <w:tcMar>
              <w:left w:w="108" w:type="dxa"/>
              <w:right w:w="108" w:type="dxa"/>
            </w:tcMar>
            <w:vAlign w:val="center"/>
          </w:tcPr>
          <w:p w14:paraId="4414BFCF">
            <w:pPr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left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符合GDPR数据隐私要求</w:t>
            </w:r>
          </w:p>
        </w:tc>
      </w:tr>
      <w:tr w14:paraId="5AFDB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E556B1C">
            <w:pPr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Adexa Genies</w:t>
            </w:r>
          </w:p>
        </w:tc>
        <w:tc>
          <w:tcPr>
            <w:tcW w:w="1560" w:type="dxa"/>
            <w:tcMar>
              <w:left w:w="108" w:type="dxa"/>
              <w:right w:w="108" w:type="dxa"/>
            </w:tcMar>
            <w:vAlign w:val="center"/>
          </w:tcPr>
          <w:p w14:paraId="4A1EFDBA">
            <w:pPr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left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跨境合规管理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9F9CA51">
            <w:pPr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left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实时监控128国出口管制清单，支持关键词预警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C3D7A57">
            <w:pPr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低</w:t>
            </w:r>
          </w:p>
        </w:tc>
        <w:tc>
          <w:tcPr>
            <w:tcW w:w="2100" w:type="dxa"/>
            <w:tcMar>
              <w:left w:w="108" w:type="dxa"/>
              <w:right w:w="108" w:type="dxa"/>
            </w:tcMar>
            <w:vAlign w:val="center"/>
          </w:tcPr>
          <w:p w14:paraId="1853DD7D">
            <w:pPr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提供7天免费试用，含合规报告模板（Adexa官网）</w:t>
            </w:r>
          </w:p>
        </w:tc>
        <w:tc>
          <w:tcPr>
            <w:tcW w:w="2158" w:type="dxa"/>
            <w:tcMar>
              <w:left w:w="108" w:type="dxa"/>
              <w:right w:w="108" w:type="dxa"/>
            </w:tcMar>
            <w:vAlign w:val="center"/>
          </w:tcPr>
          <w:p w14:paraId="03D4FE20">
            <w:pPr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left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符合ISO 22301业务连续性管理标准</w:t>
            </w:r>
          </w:p>
        </w:tc>
      </w:tr>
      <w:tr w14:paraId="221D86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626" w:type="dxa"/>
            <w:tcMar>
              <w:left w:w="108" w:type="dxa"/>
              <w:right w:w="108" w:type="dxa"/>
            </w:tcMar>
            <w:vAlign w:val="center"/>
          </w:tcPr>
          <w:p w14:paraId="71507C6D">
            <w:pPr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联邦学习平台（FedML）</w:t>
            </w:r>
          </w:p>
        </w:tc>
        <w:tc>
          <w:tcPr>
            <w:tcW w:w="1560" w:type="dxa"/>
            <w:tcMar>
              <w:left w:w="108" w:type="dxa"/>
              <w:right w:w="108" w:type="dxa"/>
            </w:tcMar>
            <w:vAlign w:val="center"/>
          </w:tcPr>
          <w:p w14:paraId="100F95DF">
            <w:pPr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left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跨境数据协同建模</w:t>
            </w:r>
          </w:p>
        </w:tc>
        <w:tc>
          <w:tcPr>
            <w:tcW w:w="2550" w:type="dxa"/>
            <w:tcMar>
              <w:left w:w="108" w:type="dxa"/>
              <w:right w:w="108" w:type="dxa"/>
            </w:tcMar>
            <w:vAlign w:val="center"/>
          </w:tcPr>
          <w:p w14:paraId="46613DAD">
            <w:pPr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left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支持单人部署，数据不出本地，保护隐私</w:t>
            </w:r>
          </w:p>
        </w:tc>
        <w:tc>
          <w:tcPr>
            <w:tcW w:w="660" w:type="dxa"/>
            <w:tcMar>
              <w:left w:w="108" w:type="dxa"/>
              <w:right w:w="108" w:type="dxa"/>
            </w:tcMar>
            <w:vAlign w:val="center"/>
          </w:tcPr>
          <w:p w14:paraId="25341845">
            <w:pPr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低</w:t>
            </w:r>
          </w:p>
        </w:tc>
        <w:tc>
          <w:tcPr>
            <w:tcW w:w="2100" w:type="dxa"/>
            <w:tcMar>
              <w:left w:w="108" w:type="dxa"/>
              <w:right w:w="108" w:type="dxa"/>
            </w:tcMar>
            <w:vAlign w:val="center"/>
          </w:tcPr>
          <w:p w14:paraId="3D48FA7D">
            <w:pPr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center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个人版支持本地部署，文档见FedML社区论坛</w:t>
            </w:r>
          </w:p>
        </w:tc>
        <w:tc>
          <w:tcPr>
            <w:tcW w:w="2158" w:type="dxa"/>
            <w:tcMar>
              <w:left w:w="108" w:type="dxa"/>
              <w:right w:w="108" w:type="dxa"/>
            </w:tcMar>
            <w:vAlign w:val="center"/>
          </w:tcPr>
          <w:p w14:paraId="4E2AFCB1">
            <w:pPr>
              <w:pageBreakBefore w:val="0"/>
              <w:wordWrap/>
              <w:snapToGrid w:val="0"/>
              <w:spacing w:before="160" w:after="0"/>
              <w:ind w:left="0" w:leftChars="0" w:right="0" w:rightChars="0" w:firstLine="0" w:firstLineChars="0"/>
              <w:jc w:val="left"/>
              <w:textAlignment w:val="auto"/>
              <w:rPr>
                <w:rFonts w:ascii="宋体" w:eastAsia="宋体"/>
                <w:sz w:val="24"/>
              </w:rPr>
            </w:pPr>
            <w:r>
              <w:rPr>
                <w:rFonts w:ascii="宋体" w:hAnsi="宋体" w:eastAsia="宋体" w:cs="宋体"/>
                <w:b w:val="0"/>
                <w:i w:val="0"/>
                <w:spacing w:val="0"/>
                <w:sz w:val="24"/>
                <w:szCs w:val="22"/>
              </w:rPr>
              <w:t>通过国家信息安全等级保护三级</w:t>
            </w:r>
          </w:p>
        </w:tc>
      </w:tr>
    </w:tbl>
    <w:p w14:paraId="5E4F1DEA"/>
    <w:p w14:paraId="553DE3A8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(2) 工具使用效率提升</w:t>
      </w:r>
    </w:p>
    <w:p w14:paraId="2E469B63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OPC创业者可通过以下方法提升工具使用效率：</w:t>
      </w:r>
    </w:p>
    <w:p w14:paraId="748FCFAB">
      <w:pPr>
        <w:pageBreakBefore w:val="0"/>
        <w:numPr>
          <w:ilvl w:val="0"/>
          <w:numId w:val="19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API集成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：将常用工具API集成到Notion等平台，实现一键调用</w:t>
      </w:r>
    </w:p>
    <w:p w14:paraId="29485D88">
      <w:pPr>
        <w:pageBreakBefore w:val="0"/>
        <w:numPr>
          <w:ilvl w:val="0"/>
          <w:numId w:val="19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标准化流程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：建立跨境技术转移标准化SOP，核心步骤包括①目标国合规扫描（使用Adexa Genies）；②文化适配清单核查（Notion知识库）；③技术数据加密（采用AES-256算法）；④工具API集成（通过Zapier连接翻译/合同工具）</w:t>
      </w:r>
    </w:p>
    <w:p w14:paraId="0D83D2D4">
      <w:pPr>
        <w:pageBreakBefore w:val="0"/>
        <w:numPr>
          <w:ilvl w:val="0"/>
          <w:numId w:val="19"/>
        </w:numPr>
        <w:wordWrap/>
        <w:spacing w:before="160" w:after="0"/>
        <w:ind w:left="440" w:right="0" w:hanging="44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自动化触发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：设计工具间自动触发机制，如专利检索完成后自动启动需求匹配</w:t>
      </w:r>
    </w:p>
    <w:p w14:paraId="4A2E60AE">
      <w:pPr>
        <w:pageBreakBefore w:val="0"/>
        <w:wordWrap/>
        <w:spacing w:before="160" w:after="0"/>
        <w:ind w:left="0" w:right="0"/>
        <w:jc w:val="left"/>
        <w:textAlignment w:val="auto"/>
        <w:rPr>
          <w:sz w:val="24"/>
        </w:rPr>
      </w:pPr>
      <w:r>
        <w:rPr>
          <w:rFonts w:ascii="宋体" w:hAnsi="宋体" w:eastAsia="宋体" w:cs="宋体"/>
          <w:b/>
          <w:i w:val="0"/>
          <w:spacing w:val="0"/>
          <w:sz w:val="24"/>
        </w:rPr>
        <w:t>效率提升数据</w:t>
      </w:r>
      <w:r>
        <w:rPr>
          <w:rFonts w:ascii="宋体" w:hAnsi="宋体" w:eastAsia="宋体" w:cs="宋体"/>
          <w:b w:val="0"/>
          <w:i w:val="0"/>
          <w:spacing w:val="0"/>
          <w:sz w:val="24"/>
        </w:rPr>
        <w:t>：</w:t>
      </w:r>
    </w:p>
    <w:p w14:paraId="32569F3E">
      <w:pPr>
        <w:pageBreakBefore w:val="0"/>
        <w:numPr>
          <w:ilvl w:val="0"/>
          <w:numId w:val="20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API集成可将工具切换时间从5分钟缩短至10秒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[26]</w:t>
      </w:r>
    </w:p>
    <w:p w14:paraId="7B2FE94F">
      <w:pPr>
        <w:pageBreakBefore w:val="0"/>
        <w:numPr>
          <w:ilvl w:val="0"/>
          <w:numId w:val="20"/>
        </w:numPr>
        <w:wordWrap/>
        <w:spacing w:before="160" w:after="0"/>
        <w:ind w:left="440" w:leftChars="0" w:right="0" w:rightChars="0" w:hanging="440" w:firstLineChars="0"/>
        <w:jc w:val="left"/>
        <w:textAlignment w:val="auto"/>
        <w:rPr>
          <w:rFonts w:asciiTheme="minorHAnsi" w:hAnsiTheme="minorHAnsi" w:eastAsiaTheme="minorEastAsia" w:cstheme="minorBidi"/>
          <w:sz w:val="24"/>
          <w:szCs w:val="22"/>
        </w:rPr>
      </w:pP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标准化流程可将跨境技术转移周期从3个月缩短至4周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  <w:vertAlign w:val="superscript"/>
        </w:rPr>
        <w:t>[27]</w:t>
      </w:r>
    </w:p>
    <w:p w14:paraId="31DDBDA0">
      <w:pPr>
        <w:pageBreakBefore w:val="0"/>
        <w:numPr>
          <w:ilvl w:val="0"/>
          <w:numId w:val="20"/>
        </w:numPr>
        <w:wordWrap/>
        <w:spacing w:before="160" w:after="0"/>
        <w:ind w:left="440" w:right="0" w:hanging="440"/>
        <w:jc w:val="left"/>
        <w:textAlignment w:val="auto"/>
      </w:pPr>
      <w:r>
        <w:rPr>
          <w:rFonts w:ascii="宋体" w:hAnsi="宋体" w:eastAsia="宋体" w:cs="宋体"/>
          <w:b w:val="0"/>
          <w:i w:val="0"/>
          <w:spacing w:val="0"/>
          <w:sz w:val="24"/>
        </w:rPr>
        <w:t>自动化触发机制可减少人为操作错误，提高流程可靠性</w:t>
      </w:r>
    </w:p>
    <w:p w14:paraId="7C9A4BF7">
      <w:pPr>
        <w:pageBreakBefore w:val="0"/>
        <w:numPr>
          <w:ilvl w:val="0"/>
          <w:numId w:val="20"/>
        </w:numPr>
        <w:wordWrap/>
        <w:spacing w:before="160" w:after="0"/>
        <w:ind w:left="440" w:right="0" w:hanging="44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24"/>
          <w:szCs w:val="22"/>
        </w:rPr>
        <w:t>OPC实操要点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：①优先选择操作难度低且提供入门资源的工具（如Celo区块链、FedML）；②严格执行标准化SOP，重点完成合规扫描与数据加密；③定期更新工具安全认证状态，确保符合目标国法规要求</w:t>
      </w:r>
    </w:p>
    <w:p w14:paraId="36DBBC92">
      <w:pPr>
        <w:pageBreakBefore w:val="0"/>
        <w:wordWrap/>
        <w:spacing w:before="160" w:after="0"/>
        <w:ind w:left="0" w:leftChars="0" w:right="0" w:rightChars="0"/>
        <w:jc w:val="left"/>
        <w:textAlignment w:val="auto"/>
        <w:rPr>
          <w:rFonts w:ascii="宋体" w:hAnsi="宋体" w:eastAsia="宋体" w:cs="宋体"/>
          <w:b/>
          <w:i w:val="0"/>
          <w:spacing w:val="0"/>
          <w:sz w:val="36"/>
          <w:szCs w:val="22"/>
        </w:rPr>
      </w:pPr>
    </w:p>
    <w:p w14:paraId="021D7207">
      <w:pPr>
        <w:pageBreakBefore w:val="0"/>
        <w:wordWrap/>
        <w:spacing w:before="160" w:after="0"/>
        <w:ind w:left="0" w:leftChars="0" w:right="0" w:rightChars="0"/>
        <w:jc w:val="left"/>
        <w:textAlignment w:val="auto"/>
      </w:pPr>
      <w:r>
        <w:rPr>
          <w:rFonts w:ascii="宋体" w:hAnsi="宋体" w:eastAsia="宋体" w:cs="宋体"/>
          <w:b/>
          <w:i w:val="0"/>
          <w:spacing w:val="0"/>
          <w:sz w:val="36"/>
          <w:szCs w:val="22"/>
        </w:rPr>
        <w:t>参考文献</w:t>
      </w:r>
    </w:p>
    <w:p w14:paraId="1EDAFE43">
      <w:pPr>
        <w:pageBreakBefore w:val="0"/>
        <w:numPr>
          <w:numId w:val="0"/>
        </w:numPr>
        <w:wordWrap/>
        <w:spacing w:before="160" w:after="0"/>
        <w:ind w:leftChars="0" w:right="0" w:rightChars="0"/>
        <w:jc w:val="left"/>
        <w:textAlignment w:val="auto"/>
      </w:pPr>
      <w:bookmarkStart w:id="0" w:name="_GoBack"/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[</w:t>
      </w:r>
      <w:bookmarkEnd w:id="0"/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1</w:t>
      </w: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. Hofstede文化维度数据库. 文化维度与跨国商业行为研究. 2025. 荷兰Hofstede Insights机构.</w:t>
      </w:r>
    </w:p>
    <w:p w14:paraId="2410A1DE">
      <w:pPr>
        <w:pageBreakBefore w:val="0"/>
        <w:numPr>
          <w:numId w:val="0"/>
        </w:numPr>
        <w:wordWrap/>
        <w:spacing w:before="160" w:after="0"/>
        <w:ind w:leftChars="0" w:right="0" w:rightChars="0"/>
        <w:jc w:val="left"/>
        <w:textAlignment w:val="auto"/>
      </w:pP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[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2</w:t>
      </w: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. 全球管理咨询协会. 全球商业决策模式报告2024. 2024. 全球管理咨询协会（GMCA）.</w:t>
      </w:r>
    </w:p>
    <w:p w14:paraId="6D10407E">
      <w:pPr>
        <w:pageBreakBefore w:val="0"/>
        <w:numPr>
          <w:numId w:val="0"/>
        </w:numPr>
        <w:wordWrap/>
        <w:spacing w:before="160" w:after="0"/>
        <w:ind w:leftChars="0" w:right="0" w:rightChars="0"/>
        <w:jc w:val="left"/>
        <w:textAlignment w:val="auto"/>
      </w:pP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[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3</w:t>
      </w: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. 中国国际贸易促进委员会. 跨境技术转移法律实践指南. 2025. 中国国际贸易促进委员会（CCPIT）.</w:t>
      </w:r>
    </w:p>
    <w:p w14:paraId="4724E43A">
      <w:pPr>
        <w:pageBreakBefore w:val="0"/>
        <w:numPr>
          <w:numId w:val="0"/>
        </w:numPr>
        <w:wordWrap/>
        <w:spacing w:before="160" w:after="0"/>
        <w:ind w:leftChars="0" w:right="0" w:rightChars="0"/>
        <w:jc w:val="left"/>
        <w:textAlignment w:val="auto"/>
      </w:pP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[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4</w:t>
      </w: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. DeepSeek. 跨语言翻译白皮书. 2025. 北京深度求索科技有限公司.</w:t>
      </w:r>
    </w:p>
    <w:p w14:paraId="07B95ADD">
      <w:pPr>
        <w:pageBreakBefore w:val="0"/>
        <w:numPr>
          <w:numId w:val="0"/>
        </w:numPr>
        <w:wordWrap/>
        <w:spacing w:before="160" w:after="0"/>
        <w:ind w:leftChars="0" w:right="0" w:rightChars="0"/>
        <w:jc w:val="left"/>
        <w:textAlignment w:val="auto"/>
      </w:pP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[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5</w:t>
      </w: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. 国际远程工作协会. 远程协作效率报告2024. 2024. 国际远程工作协会（IRWA）.</w:t>
      </w:r>
    </w:p>
    <w:p w14:paraId="389A1EB9">
      <w:pPr>
        <w:pageBreakBefore w:val="0"/>
        <w:numPr>
          <w:numId w:val="0"/>
        </w:numPr>
        <w:wordWrap/>
        <w:spacing w:before="160" w:after="0"/>
        <w:ind w:leftChars="0" w:right="0" w:rightChars="0"/>
        <w:jc w:val="left"/>
        <w:textAlignment w:val="auto"/>
      </w:pP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[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6</w:t>
      </w: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. 欧洲议会与欧盟理事会. 人工智能法案. 2024. 欧洲议会与欧盟理事会.</w:t>
      </w:r>
    </w:p>
    <w:p w14:paraId="1C205E6F">
      <w:pPr>
        <w:pageBreakBefore w:val="0"/>
        <w:numPr>
          <w:numId w:val="0"/>
        </w:numPr>
        <w:wordWrap/>
        <w:spacing w:before="160" w:after="0"/>
        <w:ind w:leftChars="0" w:right="0" w:rightChars="0"/>
        <w:jc w:val="left"/>
        <w:textAlignment w:val="auto"/>
      </w:pP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[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7</w:t>
      </w: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. 东盟秘书处. 区域全面经济伙伴关系协定（RCEP）技术转移案例集2025. 2025. 东盟秘书处.</w:t>
      </w:r>
    </w:p>
    <w:p w14:paraId="0C87C2E4">
      <w:pPr>
        <w:pageBreakBefore w:val="0"/>
        <w:numPr>
          <w:numId w:val="0"/>
        </w:numPr>
        <w:wordWrap/>
        <w:spacing w:before="160" w:after="0"/>
        <w:ind w:leftChars="0" w:right="0" w:rightChars="0"/>
        <w:jc w:val="left"/>
        <w:textAlignment w:val="auto"/>
      </w:pP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[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8</w:t>
      </w: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. 联合国贸发会议. 2025全球技术转移效率报告. 2025. 联合国贸发会议（UNCTAD）.</w:t>
      </w:r>
    </w:p>
    <w:p w14:paraId="79848202">
      <w:pPr>
        <w:pageBreakBefore w:val="0"/>
        <w:numPr>
          <w:numId w:val="0"/>
        </w:numPr>
        <w:wordWrap/>
        <w:spacing w:before="160" w:after="0"/>
        <w:ind w:leftChars="0" w:right="0" w:rightChars="0"/>
        <w:jc w:val="left"/>
        <w:textAlignment w:val="auto"/>
      </w:pP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[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9</w:t>
      </w: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. 全国人大常委会. 数据安全法与个人信息保护法. 2021. 全国人大常委会.</w:t>
      </w:r>
    </w:p>
    <w:p w14:paraId="6CEAA04D">
      <w:pPr>
        <w:pageBreakBefore w:val="0"/>
        <w:numPr>
          <w:numId w:val="0"/>
        </w:numPr>
        <w:wordWrap/>
        <w:spacing w:before="160" w:after="0"/>
        <w:ind w:leftChars="0" w:right="0" w:rightChars="0"/>
        <w:jc w:val="left"/>
        <w:textAlignment w:val="auto"/>
      </w:pP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[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10</w:t>
      </w: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. 联邦学习开源社区. FedML官网“个人开发者指南”. 2025. 联邦学习开源社区.</w:t>
      </w:r>
    </w:p>
    <w:p w14:paraId="174D73C1">
      <w:pPr>
        <w:pageBreakBefore w:val="0"/>
        <w:numPr>
          <w:numId w:val="0"/>
        </w:numPr>
        <w:wordWrap/>
        <w:spacing w:before="160" w:after="0"/>
        <w:ind w:leftChars="0" w:right="0" w:rightChars="0"/>
        <w:jc w:val="left"/>
        <w:textAlignment w:val="auto"/>
      </w:pP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[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11</w:t>
      </w: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. Celo基金会. Celo区块链“技术转移存证”模板使用指南. 2025. Celo基金会.</w:t>
      </w:r>
    </w:p>
    <w:p w14:paraId="637411C8">
      <w:pPr>
        <w:pageBreakBefore w:val="0"/>
        <w:numPr>
          <w:numId w:val="0"/>
        </w:numPr>
        <w:wordWrap/>
        <w:spacing w:before="160" w:after="0"/>
        <w:ind w:leftChars="0" w:right="0" w:rightChars="0"/>
        <w:jc w:val="left"/>
        <w:textAlignment w:val="auto"/>
      </w:pP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[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12</w:t>
      </w: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. Adexa公司. Adexa Genies合规平台用户手册. 2025. Adexa公司.</w:t>
      </w:r>
    </w:p>
    <w:p w14:paraId="55BA6369">
      <w:pPr>
        <w:pageBreakBefore w:val="0"/>
        <w:numPr>
          <w:numId w:val="0"/>
        </w:numPr>
        <w:wordWrap/>
        <w:spacing w:before="160" w:after="0"/>
        <w:ind w:leftChars="0" w:right="0" w:rightChars="0"/>
        <w:jc w:val="left"/>
        <w:textAlignment w:val="auto"/>
      </w:pP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[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13</w:t>
      </w: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. 智慧芽信息科技有限公司. 智慧芽Eureka平台“专利价值评估”系统技术白皮书. 2025. 智慧芽信息科技有限公司.</w:t>
      </w:r>
    </w:p>
    <w:p w14:paraId="388BEFB8">
      <w:pPr>
        <w:pageBreakBefore w:val="0"/>
        <w:numPr>
          <w:numId w:val="0"/>
        </w:numPr>
        <w:wordWrap/>
        <w:spacing w:before="160" w:after="0"/>
        <w:ind w:leftChars="0" w:right="0" w:rightChars="0"/>
        <w:jc w:val="left"/>
        <w:textAlignment w:val="auto"/>
      </w:pP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[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14</w:t>
      </w: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. Pieter Levels. 一人公司全球化运营指南2025. 2025. 独立创业者联盟.</w:t>
      </w:r>
    </w:p>
    <w:p w14:paraId="1C042945">
      <w:pPr>
        <w:pageBreakBefore w:val="0"/>
        <w:numPr>
          <w:numId w:val="0"/>
        </w:numPr>
        <w:wordWrap/>
        <w:spacing w:before="160" w:after="0"/>
        <w:ind w:leftChars="0" w:right="0" w:rightChars="0"/>
        <w:jc w:val="left"/>
        <w:textAlignment w:val="auto"/>
      </w:pP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[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15</w:t>
      </w: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. 中国-东盟技术转移中心. RCEP技术转移典型案例集. 2025. 中国-东盟技术转移中心.</w:t>
      </w:r>
    </w:p>
    <w:p w14:paraId="089171D5">
      <w:pPr>
        <w:pageBreakBefore w:val="0"/>
        <w:numPr>
          <w:numId w:val="0"/>
        </w:numPr>
        <w:wordWrap/>
        <w:spacing w:before="160" w:after="0"/>
        <w:ind w:leftChars="0" w:right="0" w:rightChars="0"/>
        <w:jc w:val="left"/>
        <w:textAlignment w:val="auto"/>
      </w:pP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[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16</w:t>
      </w: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. 东南亚国家联盟. 东南亚技术转移报告2024. 2024. 东南亚国家联盟（ASEAN）.</w:t>
      </w:r>
    </w:p>
    <w:p w14:paraId="5C364574">
      <w:pPr>
        <w:pageBreakBefore w:val="0"/>
        <w:numPr>
          <w:numId w:val="0"/>
        </w:numPr>
        <w:wordWrap/>
        <w:spacing w:before="160" w:after="0"/>
        <w:ind w:leftChars="0" w:right="0" w:rightChars="0"/>
        <w:jc w:val="left"/>
        <w:textAlignment w:val="auto"/>
      </w:pP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[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17</w:t>
      </w: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. Hofstede, G. Cultural Dimensions in Global Business. 2025. Sage Publications.</w:t>
      </w:r>
    </w:p>
    <w:p w14:paraId="5E8C9FF6">
      <w:pPr>
        <w:pageBreakBefore w:val="0"/>
        <w:numPr>
          <w:numId w:val="0"/>
        </w:numPr>
        <w:wordWrap/>
        <w:spacing w:before="160" w:after="0"/>
        <w:ind w:leftChars="0" w:right="0" w:rightChars="0"/>
        <w:jc w:val="left"/>
        <w:textAlignment w:val="auto"/>
      </w:pP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[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18</w:t>
      </w: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. Siegel, D. et al. University Technology Transfer Efficiency: A Comparative Study. 2025. Research Policy, 54(3).</w:t>
      </w:r>
    </w:p>
    <w:p w14:paraId="64D7D2BA">
      <w:pPr>
        <w:pageBreakBefore w:val="0"/>
        <w:numPr>
          <w:numId w:val="0"/>
        </w:numPr>
        <w:wordWrap/>
        <w:spacing w:before="160" w:after="0"/>
        <w:ind w:leftChars="0" w:right="0" w:rightChars="0"/>
        <w:jc w:val="left"/>
        <w:textAlignment w:val="auto"/>
      </w:pP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[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19</w:t>
      </w: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. 世界经济论坛. 2025年全球技术治理报告. 2025. 世界经济论坛（WEF）.</w:t>
      </w:r>
    </w:p>
    <w:p w14:paraId="6107F26C">
      <w:pPr>
        <w:pageBreakBefore w:val="0"/>
        <w:numPr>
          <w:numId w:val="0"/>
        </w:numPr>
        <w:wordWrap/>
        <w:spacing w:before="160" w:after="0"/>
        <w:ind w:leftChars="0" w:right="0" w:rightChars="0"/>
        <w:jc w:val="left"/>
        <w:textAlignment w:val="auto"/>
      </w:pP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[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20</w:t>
      </w: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. 专知智库OPC研究院. 全球OPC经济体发展白皮书（2026）. 2026. 专知智库OPC研究院.</w:t>
      </w:r>
    </w:p>
    <w:p w14:paraId="6E02DA23">
      <w:pPr>
        <w:pageBreakBefore w:val="0"/>
        <w:numPr>
          <w:numId w:val="0"/>
        </w:numPr>
        <w:wordWrap/>
        <w:spacing w:before="160" w:after="0"/>
        <w:ind w:leftChars="0" w:right="0" w:rightChars="0"/>
        <w:jc w:val="left"/>
        <w:textAlignment w:val="auto"/>
      </w:pP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[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21</w:t>
      </w: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. 北京前沿未来科技产业发展研究院. 全球人工智能变革背景下OPC创业态势和趋势报告（2026年）. 2026. 北京前沿未来科技产业发展研究院.</w:t>
      </w:r>
    </w:p>
    <w:p w14:paraId="0014460A">
      <w:pPr>
        <w:pageBreakBefore w:val="0"/>
        <w:numPr>
          <w:numId w:val="0"/>
        </w:numPr>
        <w:wordWrap/>
        <w:spacing w:before="160" w:after="0"/>
        <w:ind w:leftChars="0" w:right="0" w:rightChars="0"/>
        <w:jc w:val="left"/>
        <w:textAlignment w:val="auto"/>
      </w:pP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[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22</w:t>
      </w: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. 国家市场监管总局. 中国OPC发展调研报告2026. 2026. 国家市场监管总局.</w:t>
      </w:r>
    </w:p>
    <w:p w14:paraId="501534BA">
      <w:pPr>
        <w:pageBreakBefore w:val="0"/>
        <w:numPr>
          <w:numId w:val="0"/>
        </w:numPr>
        <w:wordWrap/>
        <w:spacing w:before="160" w:after="0"/>
        <w:ind w:leftChars="0" w:right="0" w:rightChars="0"/>
        <w:jc w:val="left"/>
        <w:textAlignment w:val="auto"/>
      </w:pP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[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23</w:t>
      </w: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. 广东省发展改革委. 广东省支持人工智能OPC创新发展行动方案（2026—2028年）. 2026. 广东省发展改革委.</w:t>
      </w:r>
    </w:p>
    <w:p w14:paraId="09A08B52">
      <w:pPr>
        <w:pageBreakBefore w:val="0"/>
        <w:numPr>
          <w:numId w:val="0"/>
        </w:numPr>
        <w:wordWrap/>
        <w:spacing w:before="160" w:after="0"/>
        <w:ind w:leftChars="0" w:right="0" w:rightChars="0"/>
        <w:jc w:val="left"/>
        <w:textAlignment w:val="auto"/>
      </w:pP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[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24</w:t>
      </w: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. 企业存储技术公众号. 2025 OCP Global Summit 分论坛主题预览. 2025. 企业存储技术公众号.</w:t>
      </w:r>
    </w:p>
    <w:p w14:paraId="7F406118">
      <w:pPr>
        <w:pageBreakBefore w:val="0"/>
        <w:numPr>
          <w:numId w:val="0"/>
        </w:numPr>
        <w:wordWrap/>
        <w:spacing w:before="160" w:after="0"/>
        <w:ind w:leftChars="0" w:right="0" w:rightChars="0"/>
        <w:jc w:val="left"/>
        <w:textAlignment w:val="auto"/>
      </w:pP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[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25</w:t>
      </w: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. OCP基金会. OPC AI开放系统白皮书：可扩展基础设施蓝图. 2025. OCP基金会.</w:t>
      </w:r>
    </w:p>
    <w:p w14:paraId="00821D58">
      <w:pPr>
        <w:pageBreakBefore w:val="0"/>
        <w:numPr>
          <w:numId w:val="0"/>
        </w:numPr>
        <w:wordWrap/>
        <w:spacing w:before="160" w:after="0"/>
        <w:ind w:leftChars="0" w:right="0" w:rightChars="0"/>
        <w:jc w:val="left"/>
        <w:textAlignment w:val="auto"/>
      </w:pP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[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26</w:t>
      </w: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. CeMeta. 2025工具集成效率报告. 2025. CeMeta.</w:t>
      </w:r>
    </w:p>
    <w:p w14:paraId="5007ECBA">
      <w:pPr>
        <w:pageBreakBefore w:val="0"/>
        <w:numPr>
          <w:numId w:val="0"/>
        </w:numPr>
        <w:wordWrap/>
        <w:spacing w:before="160" w:after="0"/>
        <w:ind w:leftChars="0" w:right="0" w:rightChars="0"/>
        <w:jc w:val="left"/>
        <w:textAlignment w:val="auto"/>
      </w:pP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[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27</w:t>
      </w:r>
      <w:r>
        <w:rPr>
          <w:rFonts w:hint="eastAsia" w:ascii="宋体" w:hAnsi="宋体" w:eastAsia="宋体" w:cs="宋体"/>
          <w:b w:val="0"/>
          <w:i w:val="0"/>
          <w:spacing w:val="0"/>
          <w:sz w:val="24"/>
          <w:szCs w:val="22"/>
          <w:lang w:val="en-US" w:eastAsia="zh-CN"/>
        </w:rPr>
        <w:t>]</w:t>
      </w:r>
      <w:r>
        <w:rPr>
          <w:rFonts w:ascii="宋体" w:hAnsi="宋体" w:eastAsia="宋体" w:cs="宋体"/>
          <w:b w:val="0"/>
          <w:i w:val="0"/>
          <w:spacing w:val="0"/>
          <w:sz w:val="24"/>
          <w:szCs w:val="22"/>
        </w:rPr>
        <w:t>. 全球技术转移SOP实践指南. 2025. 全球技术转移SOP实践指南.</w:t>
      </w:r>
    </w:p>
    <w:sectPr>
      <w:headerReference r:id="rId3" w:type="default"/>
      <w:footerReference r:id="rId4" w:type="default"/>
      <w:pgSz w:w="12240" w:h="15840"/>
      <w:pgMar w:top="1440" w:right="1800" w:bottom="1440" w:left="18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BB4B31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8EE344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3A4B87"/>
    <w:multiLevelType w:val="multilevel"/>
    <w:tmpl w:val="813A4B87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">
    <w:nsid w:val="8461FADE"/>
    <w:multiLevelType w:val="multilevel"/>
    <w:tmpl w:val="8461FADE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2">
    <w:nsid w:val="91995D4F"/>
    <w:multiLevelType w:val="multilevel"/>
    <w:tmpl w:val="91995D4F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3">
    <w:nsid w:val="9288B902"/>
    <w:multiLevelType w:val="multilevel"/>
    <w:tmpl w:val="9288B902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4">
    <w:nsid w:val="B0F1ACD9"/>
    <w:multiLevelType w:val="multilevel"/>
    <w:tmpl w:val="B0F1ACD9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5">
    <w:nsid w:val="B8CEF35B"/>
    <w:multiLevelType w:val="multilevel"/>
    <w:tmpl w:val="B8CEF35B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6">
    <w:nsid w:val="BB64CFA9"/>
    <w:multiLevelType w:val="multilevel"/>
    <w:tmpl w:val="BB64CFA9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7">
    <w:nsid w:val="BE923771"/>
    <w:multiLevelType w:val="multilevel"/>
    <w:tmpl w:val="BE923771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8">
    <w:nsid w:val="E093A4B0"/>
    <w:multiLevelType w:val="multilevel"/>
    <w:tmpl w:val="E093A4B0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9">
    <w:nsid w:val="F7735DC9"/>
    <w:multiLevelType w:val="multilevel"/>
    <w:tmpl w:val="F7735DC9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0">
    <w:nsid w:val="243FCF68"/>
    <w:multiLevelType w:val="multilevel"/>
    <w:tmpl w:val="243FCF68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1">
    <w:nsid w:val="30FC5B15"/>
    <w:multiLevelType w:val="multilevel"/>
    <w:tmpl w:val="30FC5B15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2">
    <w:nsid w:val="39A0D9AC"/>
    <w:multiLevelType w:val="multilevel"/>
    <w:tmpl w:val="39A0D9AC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3">
    <w:nsid w:val="4D94DA66"/>
    <w:multiLevelType w:val="multilevel"/>
    <w:tmpl w:val="4D94DA66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4">
    <w:nsid w:val="58765686"/>
    <w:multiLevelType w:val="multilevel"/>
    <w:tmpl w:val="58765686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5">
    <w:nsid w:val="629F7852"/>
    <w:multiLevelType w:val="multilevel"/>
    <w:tmpl w:val="629F7852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6">
    <w:nsid w:val="77ECEA79"/>
    <w:multiLevelType w:val="multilevel"/>
    <w:tmpl w:val="77ECEA79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7">
    <w:nsid w:val="79AA4FA4"/>
    <w:multiLevelType w:val="multilevel"/>
    <w:tmpl w:val="79AA4FA4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8">
    <w:nsid w:val="7C246926"/>
    <w:multiLevelType w:val="multilevel"/>
    <w:tmpl w:val="7C246926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19">
    <w:nsid w:val="7DEC2089"/>
    <w:multiLevelType w:val="multilevel"/>
    <w:tmpl w:val="7DEC2089"/>
    <w:lvl w:ilvl="0" w:tentative="0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num w:numId="1">
    <w:abstractNumId w:val="4"/>
  </w:num>
  <w:num w:numId="2">
    <w:abstractNumId w:val="18"/>
  </w:num>
  <w:num w:numId="3">
    <w:abstractNumId w:val="16"/>
  </w:num>
  <w:num w:numId="4">
    <w:abstractNumId w:val="7"/>
  </w:num>
  <w:num w:numId="5">
    <w:abstractNumId w:val="15"/>
  </w:num>
  <w:num w:numId="6">
    <w:abstractNumId w:val="3"/>
  </w:num>
  <w:num w:numId="7">
    <w:abstractNumId w:val="12"/>
  </w:num>
  <w:num w:numId="8">
    <w:abstractNumId w:val="1"/>
  </w:num>
  <w:num w:numId="9">
    <w:abstractNumId w:val="14"/>
  </w:num>
  <w:num w:numId="10">
    <w:abstractNumId w:val="19"/>
  </w:num>
  <w:num w:numId="11">
    <w:abstractNumId w:val="0"/>
  </w:num>
  <w:num w:numId="12">
    <w:abstractNumId w:val="10"/>
  </w:num>
  <w:num w:numId="13">
    <w:abstractNumId w:val="13"/>
  </w:num>
  <w:num w:numId="14">
    <w:abstractNumId w:val="9"/>
  </w:num>
  <w:num w:numId="15">
    <w:abstractNumId w:val="8"/>
  </w:num>
  <w:num w:numId="16">
    <w:abstractNumId w:val="11"/>
  </w:num>
  <w:num w:numId="17">
    <w:abstractNumId w:val="17"/>
  </w:num>
  <w:num w:numId="18">
    <w:abstractNumId w:val="6"/>
  </w:num>
  <w:num w:numId="19">
    <w:abstractNumId w:val="2"/>
  </w:num>
  <w:num w:numId="2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167"/>
  <w:documentProtection w:enforcement="0"/>
  <w:compat>
    <w:ulTrailSpace/>
    <w:useFELayout/>
    <w:compatSetting w:name="compatibilityMode" w:uri="http://schemas.microsoft.com/office/word" w:val="15"/>
  </w:compat>
  <w:rsids>
    <w:rsidRoot w:val="00000000"/>
    <w:rsid w:val="16041290"/>
    <w:rsid w:val="4C5A2353"/>
    <w:rsid w:val="5595267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2532</Words>
  <Characters>2792</Characters>
  <TotalTime>45</TotalTime>
  <ScaleCrop>false</ScaleCrop>
  <LinksUpToDate>false</LinksUpToDate>
  <CharactersWithSpaces>2815</CharactersWithSpaces>
  <Application>WPS Office_12.1.0.25222_F1E327BC-269C-435d-A152-05C5408002CA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2026-01-07T05:02:00Z</dcterms:created>
  <dc:creator>Apache POI</dc:creator>
  <cp:lastModifiedBy>左笔方寸有AI</cp:lastModifiedBy>
  <dcterms:modified xsi:type="dcterms:W3CDTF">2026-03-31T08:47:46Z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ContentPropagator":"001191440101MA9Y9T4H7A00000","Label":"1","ReservedCode1":"iO8eIYo6F3NhSj+k2YnLuq7uNmNiR7TfkEzQhFEtnEs=","ProduceID":"doc_sgs:fde81830-2267-4410-8aac-8fb64355f45e","ReservedCode2":"iO8eIYo6F3NhSj+k2YnLuq7uNmNiR7TfkEzQhFEtnEs=","PropagateID":"doc_sgs:fde81830-2267-4410-8aac-8fb64355f45e","ContentProducer":"001191440101MA9Y9T4H7A00000"}</vt:lpwstr>
  </property>
  <property fmtid="{D5CDD505-2E9C-101B-9397-08002B2CF9AE}" pid="3" name="KSOProductBuildVer">
    <vt:lpwstr>2052-12.1.0.25222</vt:lpwstr>
  </property>
  <property fmtid="{D5CDD505-2E9C-101B-9397-08002B2CF9AE}" pid="4" name="ICV">
    <vt:lpwstr>35BBFCC1E08441D1AD061035C3E93CFD_13</vt:lpwstr>
  </property>
  <property fmtid="{D5CDD505-2E9C-101B-9397-08002B2CF9AE}" pid="5" name="KSOTemplateDocerSaveRecord">
    <vt:lpwstr>eyJoZGlkIjoiODY3YjA1NmUyMjVkZTE1N2YzNjBhNGMyZmE2YzBlNDgiLCJ1c2VySWQiOiIxNjc2MTQ0NTQifQ==</vt:lpwstr>
  </property>
</Properties>
</file>