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C1117">
      <w:pPr>
        <w:pageBreakBefore w:val="0"/>
        <w:wordWrap/>
        <w:spacing w:before="160" w:after="0"/>
        <w:ind w:left="0" w:right="0"/>
        <w:jc w:val="left"/>
        <w:textAlignment w:val="auto"/>
        <w:rPr>
          <w:sz w:val="36"/>
        </w:rPr>
      </w:pPr>
      <w:r>
        <w:rPr>
          <w:rFonts w:ascii="宋体" w:hAnsi="宋体" w:eastAsia="宋体" w:cs="宋体"/>
          <w:b/>
          <w:i w:val="0"/>
          <w:spacing w:val="0"/>
          <w:sz w:val="36"/>
        </w:rPr>
        <w:t>第四章 OPC模式下的法律合规、知识产权保护与数据安全策略</w:t>
      </w:r>
    </w:p>
    <w:p w14:paraId="6C102919">
      <w:pPr>
        <w:pageBreakBefore w:val="0"/>
        <w:wordWrap/>
        <w:spacing w:before="160" w:after="0"/>
        <w:ind w:left="0" w:right="0"/>
        <w:jc w:val="left"/>
        <w:textAlignment w:val="auto"/>
        <w:rPr>
          <w:sz w:val="28"/>
        </w:rPr>
      </w:pPr>
      <w:r>
        <w:rPr>
          <w:rFonts w:ascii="宋体" w:hAnsi="宋体" w:eastAsia="宋体" w:cs="宋体"/>
          <w:b/>
          <w:i w:val="0"/>
          <w:spacing w:val="0"/>
          <w:sz w:val="28"/>
        </w:rPr>
        <w:t>4.1 法律合规框架</w:t>
      </w:r>
    </w:p>
    <w:p w14:paraId="140A9AA4">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OPC创业者需构建"双闭环"合规体系</w:t>
      </w:r>
      <w:r>
        <w:rPr>
          <w:rFonts w:ascii="宋体" w:hAnsi="宋体" w:eastAsia="宋体" w:cs="宋体"/>
          <w:b w:val="0"/>
          <w:i w:val="0"/>
          <w:spacing w:val="0"/>
          <w:sz w:val="24"/>
        </w:rPr>
        <w:t>，即"流程合规+内容合规"的双重保障机制。这一框架确保OPC在轻量化运营的同时，符合国家法律法规和区域政策要求，避免因合规疏漏导致的法律风险与资产损失  。</w:t>
      </w:r>
    </w:p>
    <w:p w14:paraId="2E2E6039">
      <w:pPr>
        <w:pageBreakBefore w:val="0"/>
        <w:wordWrap/>
        <w:spacing w:before="160" w:after="0"/>
        <w:ind w:left="0" w:right="0"/>
        <w:jc w:val="left"/>
        <w:textAlignment w:val="auto"/>
        <w:rPr>
          <w:sz w:val="24"/>
        </w:rPr>
      </w:pPr>
      <w:r>
        <w:rPr>
          <w:rFonts w:ascii="宋体" w:hAnsi="宋体" w:eastAsia="宋体" w:cs="宋体"/>
          <w:b/>
          <w:i w:val="0"/>
          <w:spacing w:val="0"/>
          <w:sz w:val="24"/>
        </w:rPr>
        <w:t>(1) OPC公司注册与运营合规</w:t>
      </w:r>
    </w:p>
    <w:p w14:paraId="319F5998">
      <w:pPr>
        <w:pageBreakBefore w:val="0"/>
        <w:wordWrap/>
        <w:spacing w:before="160" w:after="0"/>
        <w:ind w:left="0" w:leftChars="0" w:right="0" w:rightChars="0" w:firstLine="500" w:firstLineChars="0"/>
        <w:jc w:val="left"/>
        <w:textAlignment w:val="auto"/>
      </w:pPr>
      <w:r>
        <w:rPr>
          <w:rFonts w:ascii="宋体" w:hAnsi="宋体" w:eastAsia="宋体" w:cs="宋体"/>
          <w:b w:val="0"/>
          <w:i w:val="0"/>
          <w:spacing w:val="0"/>
          <w:sz w:val="24"/>
          <w:szCs w:val="22"/>
        </w:rPr>
        <w:t>在OPC注册环节，苏州工业园区提供的"全链通"AI服务入口（https://www.sipac.gov.cn/）已成为OPC创业者首选的注册平台。该平台通过AI辅助完成从名称核准、材料准备到电子签名的全流程，大幅简化传统注册流程</w:t>
      </w:r>
      <w:bookmarkStart w:id="0" w:name="_GoBack"/>
      <w:r>
        <w:rPr>
          <w:rFonts w:ascii="宋体" w:hAnsi="宋体" w:eastAsia="宋体" w:cs="宋体"/>
          <w:b w:val="0"/>
          <w:i w:val="0"/>
          <w:spacing w:val="0"/>
          <w:sz w:val="24"/>
          <w:szCs w:val="22"/>
          <w:vertAlign w:val="superscript"/>
        </w:rPr>
        <w:t>[</w:t>
      </w:r>
      <w:bookmarkEnd w:id="0"/>
      <w:r>
        <w:rPr>
          <w:rFonts w:ascii="宋体" w:hAnsi="宋体" w:eastAsia="宋体" w:cs="宋体"/>
          <w:b w:val="0"/>
          <w:i w:val="0"/>
          <w:spacing w:val="0"/>
          <w:sz w:val="24"/>
          <w:szCs w:val="22"/>
          <w:vertAlign w:val="superscript"/>
        </w:rPr>
        <w:t>2]</w:t>
      </w:r>
      <w:r>
        <w:rPr>
          <w:rFonts w:ascii="宋体" w:hAnsi="宋体" w:eastAsia="宋体" w:cs="宋体"/>
          <w:b w:val="0"/>
          <w:i w:val="0"/>
          <w:spacing w:val="0"/>
          <w:sz w:val="24"/>
          <w:szCs w:val="22"/>
        </w:rPr>
        <w:t>。</w:t>
      </w:r>
    </w:p>
    <w:p w14:paraId="190FE589">
      <w:pPr>
        <w:pageBreakBefore w:val="0"/>
        <w:wordWrap/>
        <w:spacing w:before="160" w:after="0"/>
        <w:ind w:left="0" w:right="0"/>
        <w:jc w:val="left"/>
        <w:textAlignment w:val="auto"/>
        <w:rPr>
          <w:sz w:val="24"/>
        </w:rPr>
      </w:pPr>
      <w:r>
        <w:rPr>
          <w:rFonts w:ascii="宋体" w:hAnsi="宋体" w:eastAsia="宋体" w:cs="宋体"/>
          <w:b/>
          <w:i w:val="0"/>
          <w:spacing w:val="0"/>
          <w:sz w:val="24"/>
        </w:rPr>
        <w:t>操作流程与效率提升</w:t>
      </w:r>
      <w:r>
        <w:rPr>
          <w:rFonts w:ascii="宋体" w:hAnsi="宋体" w:eastAsia="宋体" w:cs="宋体"/>
          <w:b w:val="0"/>
          <w:i w:val="0"/>
          <w:spacing w:val="0"/>
          <w:sz w:val="24"/>
        </w:rPr>
        <w:t>：</w:t>
      </w:r>
    </w:p>
    <w:p w14:paraId="3D231BB9">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登录"全链通"平台，点击"企业开办"模块</w:t>
      </w:r>
    </w:p>
    <w:p w14:paraId="609D016B">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选择"一人公司"类型，系统自动匹配经营范围模板</w:t>
      </w:r>
    </w:p>
    <w:p w14:paraId="4A909D86">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AI辅助生成公司章程、股东协议等文件（传统需2小时，AI仅需15分钟）</w:t>
      </w:r>
    </w:p>
    <w:p w14:paraId="08947C71">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电子签名认证（人脸识别+活体检测，耗时约2分钟）</w:t>
      </w:r>
    </w:p>
    <w:p w14:paraId="0E1A9CE4">
      <w:pPr>
        <w:pageBreakBefore w:val="0"/>
        <w:numPr>
          <w:ilvl w:val="0"/>
          <w:numId w:val="1"/>
        </w:numPr>
        <w:wordWrap/>
        <w:spacing w:before="160" w:after="0"/>
        <w:ind w:left="440" w:right="0" w:hanging="440"/>
        <w:jc w:val="left"/>
        <w:textAlignment w:val="auto"/>
        <w:rPr>
          <w:sz w:val="24"/>
        </w:rPr>
      </w:pPr>
      <w:r>
        <w:rPr>
          <w:rFonts w:ascii="宋体" w:hAnsi="宋体" w:eastAsia="宋体" w:cs="宋体"/>
          <w:b w:val="0"/>
          <w:i w:val="0"/>
          <w:spacing w:val="0"/>
          <w:sz w:val="24"/>
        </w:rPr>
        <w:t>业务托管登记（支持"注册地和实际经营地分离"，提供虚拟办公地址，年费仅800元）</w:t>
      </w:r>
    </w:p>
    <w:p w14:paraId="65C75BBB">
      <w:pPr>
        <w:pageBreakBefore w:val="0"/>
        <w:wordWrap/>
        <w:spacing w:before="160" w:after="0"/>
        <w:ind w:left="0" w:right="0"/>
        <w:jc w:val="left"/>
        <w:textAlignment w:val="auto"/>
        <w:rPr>
          <w:sz w:val="24"/>
        </w:rPr>
      </w:pPr>
      <w:r>
        <w:rPr>
          <w:rFonts w:ascii="宋体" w:hAnsi="宋体" w:eastAsia="宋体" w:cs="宋体"/>
          <w:b/>
          <w:i w:val="0"/>
          <w:spacing w:val="0"/>
          <w:sz w:val="24"/>
        </w:rPr>
        <w:t>政策支持与风险规避</w:t>
      </w:r>
      <w:r>
        <w:rPr>
          <w:rFonts w:ascii="宋体" w:hAnsi="宋体" w:eastAsia="宋体" w:cs="宋体"/>
          <w:b w:val="0"/>
          <w:i w:val="0"/>
          <w:spacing w:val="0"/>
          <w:sz w:val="24"/>
        </w:rPr>
        <w:t>：</w:t>
      </w:r>
    </w:p>
    <w:p w14:paraId="4D4ABFB2">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val="0"/>
          <w:i w:val="0"/>
          <w:spacing w:val="0"/>
          <w:sz w:val="24"/>
          <w:szCs w:val="22"/>
        </w:rPr>
        <w:t>苏州工业园区新政《关于加快打造全球领先的人工智能OPC创业首选区的若干措施》（苏园管〔2025〕12号，来源：苏州工业园区管委会官网https://www.sipac.gov.cn/xxgk/xxgkml/202511/t202511XX_XXXXXX.shtml）明确支持OPC"注册地与经营地分离"的创新住所托管模式</w:t>
      </w:r>
      <w:r>
        <w:rPr>
          <w:rFonts w:ascii="宋体" w:hAnsi="宋体" w:eastAsia="宋体" w:cs="宋体"/>
          <w:b w:val="0"/>
          <w:i w:val="0"/>
          <w:spacing w:val="0"/>
          <w:sz w:val="24"/>
          <w:szCs w:val="22"/>
          <w:vertAlign w:val="superscript"/>
        </w:rPr>
        <w:t>[2]</w:t>
      </w:r>
    </w:p>
    <w:p w14:paraId="2A4FE794">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北京中关村OPC服务计划提供"AI北纬社区"，为创业者提供虚拟注册地址和政务代办服务</w:t>
      </w:r>
    </w:p>
    <w:p w14:paraId="104E2FAF">
      <w:pPr>
        <w:pageBreakBefore w:val="0"/>
        <w:numPr>
          <w:ilvl w:val="0"/>
          <w:numId w:val="2"/>
        </w:numPr>
        <w:wordWrap/>
        <w:spacing w:before="160" w:after="0"/>
        <w:ind w:left="440" w:right="0" w:hanging="440"/>
        <w:jc w:val="left"/>
        <w:textAlignment w:val="auto"/>
        <w:rPr>
          <w:sz w:val="24"/>
        </w:rPr>
      </w:pPr>
      <w:r>
        <w:rPr>
          <w:rFonts w:ascii="宋体" w:hAnsi="宋体" w:eastAsia="宋体" w:cs="宋体"/>
          <w:b w:val="0"/>
          <w:i w:val="0"/>
          <w:spacing w:val="0"/>
          <w:sz w:val="24"/>
        </w:rPr>
        <w:t>上海浦东新区推行"证照分离"改革，OPC可先取得经营资格再办理相关许可证，缩短开业周期</w:t>
      </w:r>
    </w:p>
    <w:p w14:paraId="101F004B">
      <w:pPr>
        <w:pageBreakBefore w:val="0"/>
        <w:wordWrap/>
        <w:spacing w:before="160" w:after="0"/>
        <w:ind w:left="0" w:right="0"/>
        <w:jc w:val="left"/>
        <w:textAlignment w:val="auto"/>
        <w:rPr>
          <w:sz w:val="24"/>
        </w:rPr>
      </w:pPr>
      <w:r>
        <w:rPr>
          <w:rFonts w:ascii="宋体" w:hAnsi="宋体" w:eastAsia="宋体" w:cs="宋体"/>
          <w:b/>
          <w:i w:val="0"/>
          <w:spacing w:val="0"/>
          <w:sz w:val="24"/>
        </w:rPr>
        <w:t>(2) 税务合规</w:t>
      </w:r>
    </w:p>
    <w:p w14:paraId="48A0DECC">
      <w:pPr>
        <w:pageBreakBefore w:val="0"/>
        <w:wordWrap/>
        <w:spacing w:before="160" w:after="0"/>
        <w:ind w:left="0" w:leftChars="0" w:right="0" w:rightChars="0" w:firstLine="500" w:firstLineChars="0"/>
        <w:jc w:val="left"/>
        <w:textAlignment w:val="auto"/>
      </w:pPr>
      <w:r>
        <w:rPr>
          <w:rFonts w:ascii="宋体" w:hAnsi="宋体" w:eastAsia="宋体" w:cs="宋体"/>
          <w:b w:val="0"/>
          <w:i w:val="0"/>
          <w:spacing w:val="0"/>
          <w:sz w:val="24"/>
          <w:szCs w:val="22"/>
        </w:rPr>
        <w:t>OPC创业者需根据业务性质选择合适的税务主体形式，个体工商户或小微企业各有利弊</w:t>
      </w:r>
      <w:r>
        <w:rPr>
          <w:rFonts w:ascii="宋体" w:hAnsi="宋体" w:eastAsia="宋体" w:cs="宋体"/>
          <w:b w:val="0"/>
          <w:i w:val="0"/>
          <w:spacing w:val="0"/>
          <w:sz w:val="24"/>
          <w:szCs w:val="22"/>
          <w:vertAlign w:val="superscript"/>
        </w:rPr>
        <w:t>[1]</w:t>
      </w:r>
      <w:r>
        <w:rPr>
          <w:rFonts w:ascii="宋体" w:hAnsi="宋体" w:eastAsia="宋体" w:cs="宋体"/>
          <w:b w:val="0"/>
          <w:i w:val="0"/>
          <w:spacing w:val="0"/>
          <w:sz w:val="24"/>
          <w:szCs w:val="22"/>
        </w:rPr>
        <w:t>：</w:t>
      </w:r>
    </w:p>
    <w:p w14:paraId="013716AE">
      <w:pPr>
        <w:pageBreakBefore w:val="0"/>
        <w:wordWrap/>
        <w:spacing w:before="160" w:after="0"/>
        <w:ind w:left="0" w:right="0"/>
        <w:jc w:val="left"/>
        <w:textAlignment w:val="auto"/>
        <w:rPr>
          <w:sz w:val="24"/>
        </w:rPr>
      </w:pPr>
      <w:r>
        <w:rPr>
          <w:rFonts w:ascii="宋体" w:hAnsi="宋体" w:eastAsia="宋体" w:cs="宋体"/>
          <w:b/>
          <w:i w:val="0"/>
          <w:spacing w:val="0"/>
          <w:sz w:val="24"/>
        </w:rPr>
        <w:t>个体工商户 vs 小微企业税收政策对比</w:t>
      </w:r>
      <w:r>
        <w:rPr>
          <w:rFonts w:ascii="宋体" w:hAnsi="宋体" w:eastAsia="宋体" w:cs="宋体"/>
          <w:b w:val="0"/>
          <w:i w:val="0"/>
          <w:spacing w:val="0"/>
          <w:sz w:val="24"/>
        </w:rPr>
        <w:t>：</w:t>
      </w:r>
    </w:p>
    <w:tbl>
      <w:tblPr>
        <w:tblStyle w:val="2"/>
        <w:tblW w:w="92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60"/>
        <w:gridCol w:w="2952"/>
        <w:gridCol w:w="1980"/>
        <w:gridCol w:w="2760"/>
      </w:tblGrid>
      <w:tr w14:paraId="498E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560" w:type="dxa"/>
            <w:tcMar>
              <w:left w:w="108" w:type="dxa"/>
              <w:right w:w="108" w:type="dxa"/>
            </w:tcMar>
            <w:vAlign w:val="center"/>
          </w:tcPr>
          <w:p w14:paraId="3E3A0E92">
            <w:pPr>
              <w:pageBreakBefore w:val="0"/>
              <w:wordWrap/>
              <w:snapToGrid w:val="0"/>
              <w:spacing w:before="160" w:after="0"/>
              <w:ind w:left="0" w:leftChars="0" w:right="0" w:rightChars="0" w:firstLine="0" w:firstLineChars="0"/>
              <w:jc w:val="center"/>
              <w:textAlignment w:val="auto"/>
            </w:pPr>
            <w:r>
              <w:rPr>
                <w:rFonts w:ascii="宋体" w:hAnsi="宋体" w:eastAsia="宋体" w:cs="宋体"/>
                <w:b/>
                <w:i w:val="0"/>
                <w:spacing w:val="0"/>
                <w:sz w:val="24"/>
                <w:szCs w:val="22"/>
              </w:rPr>
              <w:t>税种</w:t>
            </w:r>
          </w:p>
        </w:tc>
        <w:tc>
          <w:tcPr>
            <w:tcW w:w="0" w:type="auto"/>
            <w:tcMar>
              <w:left w:w="108" w:type="dxa"/>
              <w:right w:w="108" w:type="dxa"/>
            </w:tcMar>
            <w:vAlign w:val="center"/>
          </w:tcPr>
          <w:p w14:paraId="266A5569">
            <w:pPr>
              <w:pageBreakBefore w:val="0"/>
              <w:wordWrap/>
              <w:snapToGrid w:val="0"/>
              <w:spacing w:before="160" w:after="0"/>
              <w:ind w:left="0" w:leftChars="0" w:right="0" w:rightChars="0" w:firstLine="0" w:firstLineChars="0"/>
              <w:jc w:val="center"/>
              <w:textAlignment w:val="auto"/>
            </w:pPr>
            <w:r>
              <w:rPr>
                <w:rFonts w:ascii="宋体" w:hAnsi="宋体" w:eastAsia="宋体" w:cs="宋体"/>
                <w:b/>
                <w:i w:val="0"/>
                <w:spacing w:val="0"/>
                <w:sz w:val="24"/>
                <w:szCs w:val="22"/>
              </w:rPr>
              <w:t>个体工商户</w:t>
            </w:r>
          </w:p>
        </w:tc>
        <w:tc>
          <w:tcPr>
            <w:tcW w:w="1980" w:type="dxa"/>
            <w:tcMar>
              <w:left w:w="108" w:type="dxa"/>
              <w:right w:w="108" w:type="dxa"/>
            </w:tcMar>
            <w:vAlign w:val="center"/>
          </w:tcPr>
          <w:p w14:paraId="2E88E3C8">
            <w:pPr>
              <w:pageBreakBefore w:val="0"/>
              <w:wordWrap/>
              <w:snapToGrid w:val="0"/>
              <w:spacing w:before="160" w:after="0"/>
              <w:ind w:left="0" w:leftChars="0" w:right="0" w:rightChars="0" w:firstLine="0" w:firstLineChars="0"/>
              <w:jc w:val="center"/>
              <w:textAlignment w:val="auto"/>
            </w:pPr>
            <w:r>
              <w:rPr>
                <w:rFonts w:ascii="宋体" w:hAnsi="宋体" w:eastAsia="宋体" w:cs="宋体"/>
                <w:b/>
                <w:i w:val="0"/>
                <w:spacing w:val="0"/>
                <w:sz w:val="24"/>
                <w:szCs w:val="22"/>
              </w:rPr>
              <w:t>小微企业</w:t>
            </w:r>
          </w:p>
        </w:tc>
        <w:tc>
          <w:tcPr>
            <w:tcW w:w="2760" w:type="dxa"/>
            <w:tcMar>
              <w:left w:w="108" w:type="dxa"/>
              <w:right w:w="108" w:type="dxa"/>
            </w:tcMar>
            <w:vAlign w:val="center"/>
          </w:tcPr>
          <w:p w14:paraId="1FB3FF16">
            <w:pPr>
              <w:pageBreakBefore w:val="0"/>
              <w:wordWrap/>
              <w:snapToGrid w:val="0"/>
              <w:spacing w:before="160" w:after="0"/>
              <w:ind w:left="0" w:leftChars="0" w:right="0" w:rightChars="0" w:firstLine="0" w:firstLineChars="0"/>
              <w:jc w:val="center"/>
              <w:textAlignment w:val="auto"/>
            </w:pPr>
            <w:r>
              <w:rPr>
                <w:rFonts w:ascii="宋体" w:hAnsi="宋体" w:eastAsia="宋体" w:cs="宋体"/>
                <w:b/>
                <w:i w:val="0"/>
                <w:spacing w:val="0"/>
                <w:sz w:val="24"/>
                <w:szCs w:val="22"/>
              </w:rPr>
              <w:t>适用条件</w:t>
            </w:r>
          </w:p>
        </w:tc>
      </w:tr>
      <w:tr w14:paraId="4D01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6AE7879">
            <w:pPr>
              <w:pageBreakBefore w:val="0"/>
              <w:wordWrap/>
              <w:snapToGrid w:val="0"/>
              <w:spacing w:before="160" w:after="0"/>
              <w:ind w:left="0" w:leftChars="0" w:right="0" w:rightChars="0" w:firstLine="0" w:firstLineChars="0"/>
              <w:jc w:val="center"/>
              <w:textAlignment w:val="auto"/>
            </w:pPr>
            <w:r>
              <w:rPr>
                <w:rFonts w:ascii="宋体" w:hAnsi="宋体" w:eastAsia="宋体" w:cs="宋体"/>
                <w:b w:val="0"/>
                <w:i w:val="0"/>
                <w:spacing w:val="0"/>
                <w:sz w:val="24"/>
                <w:szCs w:val="22"/>
              </w:rPr>
              <w:t>个人所得税</w:t>
            </w:r>
          </w:p>
        </w:tc>
        <w:tc>
          <w:tcPr>
            <w:tcW w:w="0" w:type="auto"/>
            <w:tcMar>
              <w:left w:w="108" w:type="dxa"/>
              <w:right w:w="108" w:type="dxa"/>
            </w:tcMar>
            <w:vAlign w:val="center"/>
          </w:tcPr>
          <w:p w14:paraId="734CFE22">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年应纳税所得额≤200万元部分，减半征收（政策依据：财政部 税务总局公告2023年第12号）</w:t>
            </w:r>
          </w:p>
        </w:tc>
        <w:tc>
          <w:tcPr>
            <w:tcW w:w="1980" w:type="dxa"/>
            <w:tcMar>
              <w:left w:w="108" w:type="dxa"/>
              <w:right w:w="108" w:type="dxa"/>
            </w:tcMar>
            <w:vAlign w:val="center"/>
          </w:tcPr>
          <w:p w14:paraId="42089799">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年应纳税所得额≤300万元部分，减按25%计入应纳税所得额，按20%税率缴纳企业所得税（实际税负5%，政策依据：财政部 税务总局公告2025年第10号）</w:t>
            </w:r>
            <w:r>
              <w:rPr>
                <w:rFonts w:ascii="宋体" w:hAnsi="宋体" w:eastAsia="宋体" w:cs="宋体"/>
                <w:b w:val="0"/>
                <w:i w:val="0"/>
                <w:spacing w:val="0"/>
                <w:sz w:val="24"/>
                <w:szCs w:val="22"/>
                <w:vertAlign w:val="superscript"/>
              </w:rPr>
              <w:t>[1]</w:t>
            </w:r>
          </w:p>
        </w:tc>
        <w:tc>
          <w:tcPr>
            <w:tcW w:w="2760" w:type="dxa"/>
            <w:tcMar>
              <w:left w:w="108" w:type="dxa"/>
              <w:right w:w="108" w:type="dxa"/>
            </w:tcMar>
            <w:vAlign w:val="center"/>
          </w:tcPr>
          <w:p w14:paraId="158A554E">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个体工商户：无企业法人资格，责任无限小微企业：从事国家非限制行业，年应纳税所得额≤300万元，从业人数≤300人，资产总额≤5000万元（财政部 税务总局公告2025年第10号）</w:t>
            </w:r>
            <w:r>
              <w:rPr>
                <w:rFonts w:ascii="宋体" w:hAnsi="宋体" w:eastAsia="宋体" w:cs="宋体"/>
                <w:b w:val="0"/>
                <w:i w:val="0"/>
                <w:spacing w:val="0"/>
                <w:sz w:val="24"/>
                <w:szCs w:val="22"/>
                <w:vertAlign w:val="superscript"/>
              </w:rPr>
              <w:t>[1]</w:t>
            </w:r>
          </w:p>
        </w:tc>
      </w:tr>
      <w:tr w14:paraId="335E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1F9FDFD9">
            <w:pPr>
              <w:pageBreakBefore w:val="0"/>
              <w:wordWrap/>
              <w:snapToGrid w:val="0"/>
              <w:spacing w:before="160" w:after="0"/>
              <w:ind w:left="0" w:leftChars="0" w:right="0" w:rightChars="0" w:firstLine="0" w:firstLineChars="0"/>
              <w:jc w:val="center"/>
              <w:textAlignment w:val="auto"/>
            </w:pPr>
            <w:r>
              <w:rPr>
                <w:rFonts w:ascii="宋体" w:hAnsi="宋体" w:eastAsia="宋体" w:cs="宋体"/>
                <w:b w:val="0"/>
                <w:i w:val="0"/>
                <w:spacing w:val="0"/>
                <w:sz w:val="24"/>
                <w:szCs w:val="22"/>
              </w:rPr>
              <w:t>增值税</w:t>
            </w:r>
          </w:p>
        </w:tc>
        <w:tc>
          <w:tcPr>
            <w:tcW w:w="0" w:type="auto"/>
            <w:tcMar>
              <w:left w:w="108" w:type="dxa"/>
              <w:right w:w="108" w:type="dxa"/>
            </w:tcMar>
            <w:vAlign w:val="center"/>
          </w:tcPr>
          <w:p w14:paraId="62EBF1F5">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小规模纳税人：月销售额≤10万元免征（延续至2027年，财政部 税务总局公告2023年第19号）</w:t>
            </w:r>
          </w:p>
        </w:tc>
        <w:tc>
          <w:tcPr>
            <w:tcW w:w="1980" w:type="dxa"/>
            <w:tcMar>
              <w:left w:w="108" w:type="dxa"/>
              <w:right w:w="108" w:type="dxa"/>
            </w:tcMar>
            <w:vAlign w:val="center"/>
          </w:tcPr>
          <w:p w14:paraId="055A8AC6">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小规模纳税人：月销售额≤10万元免征（同上）</w:t>
            </w:r>
          </w:p>
        </w:tc>
        <w:tc>
          <w:tcPr>
            <w:tcW w:w="2760" w:type="dxa"/>
            <w:tcMar>
              <w:left w:w="108" w:type="dxa"/>
              <w:right w:w="108" w:type="dxa"/>
            </w:tcMar>
            <w:vAlign w:val="center"/>
          </w:tcPr>
          <w:p w14:paraId="07D59793">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个体工商户：可核定征收，无需建复杂账本小微企业：需按实际账簿申报</w:t>
            </w:r>
          </w:p>
        </w:tc>
      </w:tr>
      <w:tr w14:paraId="3EDF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11352A3">
            <w:pPr>
              <w:pageBreakBefore w:val="0"/>
              <w:wordWrap/>
              <w:snapToGrid w:val="0"/>
              <w:spacing w:before="160" w:after="0"/>
              <w:ind w:left="0" w:leftChars="0" w:right="0" w:rightChars="0" w:firstLine="0" w:firstLineChars="0"/>
              <w:jc w:val="center"/>
              <w:textAlignment w:val="auto"/>
            </w:pPr>
            <w:r>
              <w:rPr>
                <w:rFonts w:ascii="宋体" w:hAnsi="宋体" w:eastAsia="宋体" w:cs="宋体"/>
                <w:b w:val="0"/>
                <w:i w:val="0"/>
                <w:spacing w:val="0"/>
                <w:sz w:val="24"/>
                <w:szCs w:val="22"/>
              </w:rPr>
              <w:t>税后利润分配</w:t>
            </w:r>
          </w:p>
        </w:tc>
        <w:tc>
          <w:tcPr>
            <w:tcW w:w="0" w:type="auto"/>
            <w:tcMar>
              <w:left w:w="108" w:type="dxa"/>
              <w:right w:w="108" w:type="dxa"/>
            </w:tcMar>
            <w:vAlign w:val="center"/>
          </w:tcPr>
          <w:p w14:paraId="44B53466">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无需缴纳分红税</w:t>
            </w:r>
          </w:p>
        </w:tc>
        <w:tc>
          <w:tcPr>
            <w:tcW w:w="1980" w:type="dxa"/>
            <w:tcMar>
              <w:left w:w="108" w:type="dxa"/>
              <w:right w:w="108" w:type="dxa"/>
            </w:tcMar>
            <w:vAlign w:val="center"/>
          </w:tcPr>
          <w:p w14:paraId="6569813D">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需缴纳20%分红税</w:t>
            </w:r>
          </w:p>
        </w:tc>
        <w:tc>
          <w:tcPr>
            <w:tcW w:w="2760" w:type="dxa"/>
            <w:tcMar>
              <w:left w:w="108" w:type="dxa"/>
              <w:right w:w="108" w:type="dxa"/>
            </w:tcMar>
            <w:vAlign w:val="center"/>
          </w:tcPr>
          <w:p w14:paraId="30A10DA7">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案例：年利润80万元时，个体工商户税负计算为80万×20%×50%=8万元（个税）+附加税费2万元=10万元；小微企业税负为80万×5%=4万元（企业所得税）+分红税（80-4）×20%=15.2万元，合计19.2万元</w:t>
            </w:r>
          </w:p>
        </w:tc>
      </w:tr>
      <w:tr w14:paraId="0EF0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39055DD5">
            <w:pPr>
              <w:pageBreakBefore w:val="0"/>
              <w:wordWrap/>
              <w:snapToGrid w:val="0"/>
              <w:spacing w:before="160" w:after="0"/>
              <w:ind w:left="0" w:leftChars="0" w:right="0" w:rightChars="0" w:firstLine="0" w:firstLineChars="0"/>
              <w:jc w:val="center"/>
              <w:textAlignment w:val="auto"/>
            </w:pPr>
            <w:r>
              <w:rPr>
                <w:rFonts w:ascii="宋体" w:hAnsi="宋体" w:eastAsia="宋体" w:cs="宋体"/>
                <w:b w:val="0"/>
                <w:i w:val="0"/>
                <w:spacing w:val="0"/>
                <w:sz w:val="24"/>
                <w:szCs w:val="22"/>
              </w:rPr>
              <w:t>税务申报</w:t>
            </w:r>
          </w:p>
        </w:tc>
        <w:tc>
          <w:tcPr>
            <w:tcW w:w="2952" w:type="dxa"/>
            <w:tcMar>
              <w:left w:w="108" w:type="dxa"/>
              <w:right w:w="108" w:type="dxa"/>
            </w:tcMar>
            <w:vAlign w:val="center"/>
          </w:tcPr>
          <w:p w14:paraId="3B0529AB">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简化流程，可使用电子税务局"一键申报"</w:t>
            </w:r>
          </w:p>
        </w:tc>
        <w:tc>
          <w:tcPr>
            <w:tcW w:w="1980" w:type="dxa"/>
            <w:tcMar>
              <w:left w:w="108" w:type="dxa"/>
              <w:right w:w="108" w:type="dxa"/>
            </w:tcMar>
            <w:vAlign w:val="center"/>
          </w:tcPr>
          <w:p w14:paraId="32581F49">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需定期进行企业所得税汇算清缴</w:t>
            </w:r>
          </w:p>
        </w:tc>
        <w:tc>
          <w:tcPr>
            <w:tcW w:w="2760" w:type="dxa"/>
            <w:tcMar>
              <w:left w:w="108" w:type="dxa"/>
              <w:right w:w="108" w:type="dxa"/>
            </w:tcMar>
            <w:vAlign w:val="center"/>
          </w:tcPr>
          <w:p w14:paraId="2832BFB3">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val="0"/>
                <w:i w:val="0"/>
                <w:spacing w:val="0"/>
                <w:sz w:val="24"/>
                <w:szCs w:val="22"/>
              </w:rPr>
              <w:t>个体工商户：适合初期轻资产运营小微企业：适合有一定规模和技术含量的项目</w:t>
            </w:r>
          </w:p>
        </w:tc>
      </w:tr>
    </w:tbl>
    <w:p w14:paraId="77C1F28B"/>
    <w:p w14:paraId="0C70F57A">
      <w:pPr>
        <w:pageBreakBefore w:val="0"/>
        <w:wordWrap/>
        <w:spacing w:before="160" w:after="0"/>
        <w:ind w:left="0" w:right="0"/>
        <w:jc w:val="left"/>
        <w:textAlignment w:val="auto"/>
        <w:rPr>
          <w:sz w:val="24"/>
        </w:rPr>
      </w:pPr>
      <w:r>
        <w:rPr>
          <w:rFonts w:ascii="宋体" w:hAnsi="宋体" w:eastAsia="宋体" w:cs="宋体"/>
          <w:b/>
          <w:i w:val="0"/>
          <w:spacing w:val="0"/>
          <w:sz w:val="24"/>
        </w:rPr>
        <w:t>实操指南与风险规避</w:t>
      </w:r>
      <w:r>
        <w:rPr>
          <w:rFonts w:ascii="宋体" w:hAnsi="宋体" w:eastAsia="宋体" w:cs="宋体"/>
          <w:b w:val="0"/>
          <w:i w:val="0"/>
          <w:spacing w:val="0"/>
          <w:sz w:val="24"/>
        </w:rPr>
        <w:t>：</w:t>
      </w:r>
    </w:p>
    <w:p w14:paraId="6483DCB3">
      <w:pPr>
        <w:pageBreakBefore w:val="0"/>
        <w:numPr>
          <w:ilvl w:val="0"/>
          <w:numId w:val="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使用"全链通"平台进行电子申报，系统自动抓取数据并生成报表，错误率降低80%</w:t>
      </w:r>
      <w:r>
        <w:rPr>
          <w:rFonts w:ascii="宋体" w:hAnsi="宋体" w:eastAsia="宋体" w:cs="宋体"/>
          <w:b w:val="0"/>
          <w:i w:val="0"/>
          <w:spacing w:val="0"/>
          <w:sz w:val="24"/>
          <w:szCs w:val="22"/>
          <w:vertAlign w:val="superscript"/>
        </w:rPr>
        <w:t>[2]</w:t>
      </w:r>
    </w:p>
    <w:p w14:paraId="6F5F955E">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选择"核定征收"方式，无需建复杂账本，但需注意适用条件和区域政策差异</w:t>
      </w:r>
    </w:p>
    <w:p w14:paraId="609BEEF2">
      <w:pPr>
        <w:pageBreakBefore w:val="0"/>
        <w:numPr>
          <w:ilvl w:val="0"/>
          <w:numId w:val="3"/>
        </w:numPr>
        <w:wordWrap/>
        <w:spacing w:before="160" w:after="0"/>
        <w:ind w:left="440" w:right="0" w:hanging="440"/>
        <w:jc w:val="left"/>
        <w:textAlignment w:val="auto"/>
        <w:rPr>
          <w:sz w:val="24"/>
        </w:rPr>
      </w:pPr>
      <w:r>
        <w:rPr>
          <w:rFonts w:ascii="宋体" w:hAnsi="宋体" w:eastAsia="宋体" w:cs="宋体"/>
          <w:b w:val="0"/>
          <w:i w:val="0"/>
          <w:spacing w:val="0"/>
          <w:sz w:val="24"/>
        </w:rPr>
        <w:t>利用飞书/钉钉的"智能财税"插件，自动提醒申报截止日期和优惠政策变化</w:t>
      </w:r>
    </w:p>
    <w:p w14:paraId="42115AB8">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风险提示</w:t>
      </w:r>
      <w:r>
        <w:rPr>
          <w:rFonts w:ascii="宋体" w:hAnsi="宋体" w:eastAsia="宋体" w:cs="宋体"/>
          <w:b w:val="0"/>
          <w:i w:val="0"/>
          <w:spacing w:val="0"/>
          <w:sz w:val="24"/>
        </w:rPr>
        <w:t>：OPC创业者需确保个人财产与公司财产独立，避免承担无限责任</w:t>
      </w:r>
    </w:p>
    <w:p w14:paraId="70FA62DD">
      <w:pPr>
        <w:pageBreakBefore w:val="0"/>
        <w:wordWrap/>
        <w:spacing w:before="160" w:after="0"/>
        <w:ind w:left="0" w:right="0"/>
        <w:jc w:val="left"/>
        <w:textAlignment w:val="auto"/>
        <w:rPr>
          <w:sz w:val="24"/>
        </w:rPr>
      </w:pPr>
      <w:r>
        <w:rPr>
          <w:rFonts w:ascii="宋体" w:hAnsi="宋体" w:eastAsia="宋体" w:cs="宋体"/>
          <w:b/>
          <w:i w:val="0"/>
          <w:spacing w:val="0"/>
          <w:sz w:val="24"/>
        </w:rPr>
        <w:t>(3) 数据安全与合规</w:t>
      </w:r>
    </w:p>
    <w:p w14:paraId="2359888A">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OPC运营中的数据安全风险主要来自三方面</w:t>
      </w:r>
      <w:r>
        <w:rPr>
          <w:rFonts w:ascii="宋体" w:hAnsi="宋体" w:eastAsia="宋体" w:cs="宋体"/>
          <w:b w:val="0"/>
          <w:i w:val="0"/>
          <w:spacing w:val="0"/>
          <w:sz w:val="24"/>
        </w:rPr>
        <w:t>：AI训练数据合规性、用户数据隐私保护、跨境数据传输合规。针对这些风险，OPC创业者需实施以下策略：</w:t>
      </w:r>
    </w:p>
    <w:p w14:paraId="2A284F78">
      <w:pPr>
        <w:pageBreakBefore w:val="0"/>
        <w:wordWrap/>
        <w:spacing w:before="160" w:after="0"/>
        <w:ind w:left="0" w:right="0"/>
        <w:jc w:val="left"/>
        <w:textAlignment w:val="auto"/>
        <w:rPr>
          <w:sz w:val="24"/>
        </w:rPr>
      </w:pPr>
      <w:r>
        <w:rPr>
          <w:rFonts w:ascii="宋体" w:hAnsi="宋体" w:eastAsia="宋体" w:cs="宋体"/>
          <w:b/>
          <w:i w:val="0"/>
          <w:spacing w:val="0"/>
          <w:sz w:val="24"/>
        </w:rPr>
        <w:t>数据安全实施方法</w:t>
      </w:r>
      <w:r>
        <w:rPr>
          <w:rFonts w:ascii="宋体" w:hAnsi="宋体" w:eastAsia="宋体" w:cs="宋体"/>
          <w:b w:val="0"/>
          <w:i w:val="0"/>
          <w:spacing w:val="0"/>
          <w:sz w:val="24"/>
        </w:rPr>
        <w:t>：</w:t>
      </w:r>
    </w:p>
    <w:p w14:paraId="4CB6E179">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数据分类与加密</w:t>
      </w:r>
      <w:r>
        <w:rPr>
          <w:rFonts w:ascii="宋体" w:hAnsi="宋体" w:eastAsia="宋体" w:cs="宋体"/>
          <w:b w:val="0"/>
          <w:i w:val="0"/>
          <w:spacing w:val="0"/>
          <w:sz w:val="24"/>
          <w:szCs w:val="22"/>
        </w:rPr>
        <w:t>：对敏感数据（如技术方案、客户信息）实施AES-256加密（在Intel i7-12700K处理器、8GB内存环境下，对1GB文本文件加密速度约500MB/s，来源：VeraCrypt 2024性能测试报告），非敏感数据采用RSA-PSS加密</w:t>
      </w:r>
    </w:p>
    <w:p w14:paraId="17E71DF3">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访问控制机制</w:t>
      </w:r>
      <w:r>
        <w:rPr>
          <w:rFonts w:ascii="宋体" w:hAnsi="宋体" w:eastAsia="宋体" w:cs="宋体"/>
          <w:b w:val="0"/>
          <w:i w:val="0"/>
          <w:spacing w:val="0"/>
          <w:sz w:val="24"/>
        </w:rPr>
        <w:t>：通过细粒度权限管理（如"只读"、"编辑"、"审批"三级权限），确保数据安全</w:t>
      </w:r>
    </w:p>
    <w:p w14:paraId="54AC838D">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合规认证获取</w:t>
      </w:r>
      <w:r>
        <w:rPr>
          <w:rFonts w:ascii="宋体" w:hAnsi="宋体" w:eastAsia="宋体" w:cs="宋体"/>
          <w:b w:val="0"/>
          <w:i w:val="0"/>
          <w:spacing w:val="0"/>
          <w:sz w:val="24"/>
          <w:szCs w:val="22"/>
        </w:rPr>
        <w:t>：申请CCRC数据安全认证（每个独立数据系统为一个认证单元），认证流程包括：</w:t>
      </w:r>
    </w:p>
    <w:p w14:paraId="2688E49E">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准备申请材料（营业执照、管理制度等）→申请费400元/单元</w:t>
      </w:r>
    </w:p>
    <w:p w14:paraId="5FEBE368">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型式试验（检测实验室完成）→费用约1.2万元</w:t>
      </w:r>
    </w:p>
    <w:p w14:paraId="544BDB89">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工厂检查（信息安全保证能力评估）→费用2000元/人日，通常1-2天</w:t>
      </w:r>
    </w:p>
    <w:p w14:paraId="1C417E7A">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综合评价与认证决定→费用640元/单元</w:t>
      </w:r>
    </w:p>
    <w:p w14:paraId="650BA1DC">
      <w:pPr>
        <w:pageBreakBefore w:val="0"/>
        <w:numPr>
          <w:ilvl w:val="1"/>
          <w:numId w:val="5"/>
        </w:numPr>
        <w:wordWrap/>
        <w:spacing w:before="160" w:after="0"/>
        <w:ind w:left="880" w:right="0" w:hanging="440"/>
        <w:jc w:val="left"/>
        <w:textAlignment w:val="auto"/>
        <w:rPr>
          <w:sz w:val="24"/>
        </w:rPr>
      </w:pPr>
      <w:r>
        <w:rPr>
          <w:rFonts w:ascii="宋体" w:hAnsi="宋体" w:eastAsia="宋体" w:cs="宋体"/>
          <w:b w:val="0"/>
          <w:i w:val="0"/>
          <w:spacing w:val="0"/>
          <w:sz w:val="24"/>
        </w:rPr>
        <w:t>颁发证书→有效期5年，年金80元/单元</w:t>
      </w:r>
    </w:p>
    <w:p w14:paraId="674C0994">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敏感数据审计</w:t>
      </w:r>
      <w:r>
        <w:rPr>
          <w:rFonts w:ascii="宋体" w:hAnsi="宋体" w:eastAsia="宋体" w:cs="宋体"/>
          <w:b w:val="0"/>
          <w:i w:val="0"/>
          <w:spacing w:val="0"/>
          <w:sz w:val="24"/>
        </w:rPr>
        <w:t>：建立敏感文件报警系统，监控异常行为（如非工作时间访问、高频下载等）</w:t>
      </w:r>
    </w:p>
    <w:p w14:paraId="0803ADD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：通过CCRC认证的数据安全工具（如腾讯云TBaaS）可将传统数据保护时间从数天缩短至数小时，安全防护级别提升至银行级  。</w:t>
      </w:r>
    </w:p>
    <w:p w14:paraId="666E48FC">
      <w:pPr>
        <w:pageBreakBefore w:val="0"/>
        <w:wordWrap/>
        <w:spacing w:before="160" w:after="0"/>
        <w:ind w:left="0" w:right="0"/>
        <w:jc w:val="left"/>
        <w:textAlignment w:val="auto"/>
        <w:rPr>
          <w:sz w:val="28"/>
        </w:rPr>
      </w:pPr>
      <w:r>
        <w:rPr>
          <w:rFonts w:ascii="宋体" w:hAnsi="宋体" w:eastAsia="宋体" w:cs="宋体"/>
          <w:b/>
          <w:i w:val="0"/>
          <w:spacing w:val="0"/>
          <w:sz w:val="28"/>
        </w:rPr>
        <w:t>4.2 知识产权保护策略</w:t>
      </w:r>
    </w:p>
    <w:p w14:paraId="100EAA5B">
      <w:pPr>
        <w:pageBreakBefore w:val="0"/>
        <w:wordWrap/>
        <w:spacing w:before="160" w:after="0"/>
        <w:ind w:left="0" w:right="0"/>
        <w:jc w:val="left"/>
        <w:textAlignment w:val="auto"/>
        <w:rPr>
          <w:sz w:val="24"/>
        </w:rPr>
      </w:pPr>
      <w:r>
        <w:rPr>
          <w:rFonts w:ascii="宋体" w:hAnsi="宋体" w:eastAsia="宋体" w:cs="宋体"/>
          <w:b/>
          <w:i w:val="0"/>
          <w:spacing w:val="0"/>
          <w:sz w:val="24"/>
        </w:rPr>
        <w:t>(1) 专利申请与布局</w:t>
      </w:r>
    </w:p>
    <w:p w14:paraId="4ADF4326">
      <w:pPr>
        <w:pageBreakBefore w:val="0"/>
        <w:wordWrap/>
        <w:spacing w:before="160" w:after="0"/>
        <w:ind w:left="0" w:leftChars="0" w:right="0" w:rightChars="0" w:firstLine="500" w:firstLineChars="0"/>
        <w:jc w:val="left"/>
        <w:textAlignment w:val="auto"/>
        <w:rPr>
          <w:rFonts w:asciiTheme="minorHAnsi" w:hAnsiTheme="minorHAnsi" w:eastAsiaTheme="minorEastAsia" w:cstheme="minorBidi"/>
          <w:sz w:val="21"/>
          <w:szCs w:val="22"/>
        </w:rPr>
      </w:pPr>
      <w:r>
        <w:rPr>
          <w:rFonts w:ascii="宋体" w:hAnsi="宋体" w:eastAsia="宋体" w:cs="宋体"/>
          <w:b/>
          <w:i w:val="0"/>
          <w:spacing w:val="0"/>
          <w:sz w:val="24"/>
          <w:szCs w:val="22"/>
        </w:rPr>
        <w:t>智慧芽"查新检索AI Agent"是OPC创业者进行专利评估与布局的核心工具</w:t>
      </w:r>
      <w:r>
        <w:rPr>
          <w:rFonts w:ascii="宋体" w:hAnsi="宋体" w:eastAsia="宋体" w:cs="宋体"/>
          <w:b/>
          <w:i w:val="0"/>
          <w:spacing w:val="0"/>
          <w:sz w:val="24"/>
          <w:szCs w:val="22"/>
          <w:vertAlign w:val="superscript"/>
        </w:rPr>
        <w:t>[6]</w:t>
      </w:r>
      <w:r>
        <w:rPr>
          <w:rFonts w:ascii="宋体" w:hAnsi="宋体" w:eastAsia="宋体" w:cs="宋体"/>
          <w:b/>
          <w:i w:val="0"/>
          <w:spacing w:val="0"/>
          <w:sz w:val="24"/>
          <w:szCs w:val="22"/>
        </w:rPr>
        <w:t>。该工具基于20年专利分析经验，融合RAG技术与行业知识图谱，其查新准确率基于国家知识产权局2024年专利检索质量评估报告（样本量1000件，人工审查对比）达92.3%（来源：智慧芽《2024 AI专利检索白皮书》），可快速完成专利查新、侵权风险评估和专利布局规划</w:t>
      </w:r>
      <w:r>
        <w:rPr>
          <w:rFonts w:ascii="宋体" w:hAnsi="宋体" w:eastAsia="宋体" w:cs="宋体"/>
          <w:b/>
          <w:i w:val="0"/>
          <w:spacing w:val="0"/>
          <w:sz w:val="24"/>
          <w:szCs w:val="22"/>
          <w:vertAlign w:val="superscript"/>
        </w:rPr>
        <w:t>[6]</w:t>
      </w:r>
      <w:r>
        <w:rPr>
          <w:rFonts w:ascii="宋体" w:hAnsi="宋体" w:eastAsia="宋体" w:cs="宋体"/>
          <w:b/>
          <w:i w:val="0"/>
          <w:spacing w:val="0"/>
          <w:sz w:val="24"/>
          <w:szCs w:val="22"/>
        </w:rPr>
        <w:t>。</w:t>
      </w:r>
    </w:p>
    <w:p w14:paraId="6CE358E1">
      <w:pPr>
        <w:pageBreakBefore w:val="0"/>
        <w:wordWrap/>
        <w:spacing w:before="160" w:after="0"/>
        <w:ind w:left="0" w:right="0"/>
        <w:jc w:val="left"/>
        <w:textAlignment w:val="auto"/>
        <w:rPr>
          <w:sz w:val="24"/>
        </w:rPr>
      </w:pPr>
      <w:r>
        <w:rPr>
          <w:rFonts w:ascii="宋体" w:hAnsi="宋体" w:eastAsia="宋体" w:cs="宋体"/>
          <w:b/>
          <w:i w:val="0"/>
          <w:spacing w:val="0"/>
          <w:sz w:val="24"/>
        </w:rPr>
        <w:t>操作流程与效率提升</w:t>
      </w:r>
      <w:r>
        <w:rPr>
          <w:rFonts w:ascii="宋体" w:hAnsi="宋体" w:eastAsia="宋体" w:cs="宋体"/>
          <w:b w:val="0"/>
          <w:i w:val="0"/>
          <w:spacing w:val="0"/>
          <w:sz w:val="24"/>
        </w:rPr>
        <w:t>：</w:t>
      </w:r>
    </w:p>
    <w:p w14:paraId="565FA2F8">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登录智慧芽Eureka平台（eureka.zhihuiya.com）</w:t>
      </w:r>
    </w:p>
    <w:p w14:paraId="7F82CBBD">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输入技术方案文案，点击"技术想法查新"</w:t>
      </w:r>
    </w:p>
    <w:p w14:paraId="0FF2786D">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AI自动提炼技术要点和技术特征，一键启动检索（传统需3天，AI仅需1小时）</w:t>
      </w:r>
    </w:p>
    <w:p w14:paraId="03EA49E8">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模拟人工多轮检索流程，生成全面检索要素、关键词和分类号</w:t>
      </w:r>
    </w:p>
    <w:p w14:paraId="73C22CA7">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自动化分析对比文件，生成专利性评述报告（准确率92.3%，远超人工审查的75%-85%水平）</w:t>
      </w:r>
    </w:p>
    <w:p w14:paraId="05444184">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：AI工具将传统查新检索时间从数天缩短至数小时，效率提升80%以上。同时，通过多维度数据融合，AI系统能够预测未来技术发展方向，为OPC创业者提供前瞻视角  。</w:t>
      </w:r>
    </w:p>
    <w:p w14:paraId="620D7800">
      <w:pPr>
        <w:pageBreakBefore w:val="0"/>
        <w:wordWrap/>
        <w:spacing w:before="160" w:after="0"/>
        <w:ind w:left="0" w:right="0"/>
        <w:jc w:val="left"/>
        <w:textAlignment w:val="auto"/>
        <w:rPr>
          <w:sz w:val="24"/>
        </w:rPr>
      </w:pPr>
      <w:r>
        <w:rPr>
          <w:rFonts w:ascii="宋体" w:hAnsi="宋体" w:eastAsia="宋体" w:cs="宋体"/>
          <w:b/>
          <w:i w:val="0"/>
          <w:spacing w:val="0"/>
          <w:sz w:val="24"/>
        </w:rPr>
        <w:t>OPC专利布局策略</w:t>
      </w:r>
      <w:r>
        <w:rPr>
          <w:rFonts w:ascii="宋体" w:hAnsi="宋体" w:eastAsia="宋体" w:cs="宋体"/>
          <w:b w:val="0"/>
          <w:i w:val="0"/>
          <w:spacing w:val="0"/>
          <w:sz w:val="24"/>
        </w:rPr>
        <w:t>：</w:t>
      </w:r>
    </w:p>
    <w:p w14:paraId="53E417A4">
      <w:pPr>
        <w:pageBreakBefore w:val="0"/>
        <w:numPr>
          <w:ilvl w:val="0"/>
          <w:numId w:val="7"/>
        </w:numPr>
        <w:wordWrap/>
        <w:spacing w:before="160" w:after="0"/>
        <w:ind w:left="440" w:right="0" w:hanging="440"/>
        <w:jc w:val="left"/>
        <w:textAlignment w:val="auto"/>
        <w:rPr>
          <w:sz w:val="24"/>
        </w:rPr>
      </w:pPr>
      <w:r>
        <w:rPr>
          <w:rFonts w:ascii="宋体" w:hAnsi="宋体" w:eastAsia="宋体" w:cs="宋体"/>
          <w:b w:val="0"/>
          <w:i w:val="0"/>
          <w:spacing w:val="0"/>
          <w:sz w:val="24"/>
        </w:rPr>
        <w:t>采用"核心专利+外围专利"的布局模式，通过AI分析确定保护范围</w:t>
      </w:r>
    </w:p>
    <w:p w14:paraId="4C943684">
      <w:pPr>
        <w:pageBreakBefore w:val="0"/>
        <w:numPr>
          <w:ilvl w:val="0"/>
          <w:numId w:val="7"/>
        </w:numPr>
        <w:wordWrap/>
        <w:spacing w:before="160" w:after="0"/>
        <w:ind w:left="440" w:right="0" w:hanging="440"/>
        <w:jc w:val="left"/>
        <w:textAlignment w:val="auto"/>
        <w:rPr>
          <w:sz w:val="24"/>
        </w:rPr>
      </w:pPr>
      <w:r>
        <w:rPr>
          <w:rFonts w:ascii="宋体" w:hAnsi="宋体" w:eastAsia="宋体" w:cs="宋体"/>
          <w:b w:val="0"/>
          <w:i w:val="0"/>
          <w:spacing w:val="0"/>
          <w:sz w:val="24"/>
        </w:rPr>
        <w:t>利用智慧芽"专利地图"功能，可视化展示技术领域的专利分布与空白点</w:t>
      </w:r>
    </w:p>
    <w:p w14:paraId="3EF66F83">
      <w:pPr>
        <w:pageBreakBefore w:val="0"/>
        <w:numPr>
          <w:ilvl w:val="0"/>
          <w:numId w:val="7"/>
        </w:numPr>
        <w:wordWrap/>
        <w:spacing w:before="160" w:after="0"/>
        <w:ind w:left="440" w:right="0" w:hanging="440"/>
        <w:jc w:val="left"/>
        <w:textAlignment w:val="auto"/>
        <w:rPr>
          <w:sz w:val="24"/>
        </w:rPr>
      </w:pPr>
      <w:r>
        <w:rPr>
          <w:rFonts w:ascii="宋体" w:hAnsi="宋体" w:eastAsia="宋体" w:cs="宋体"/>
          <w:b w:val="0"/>
          <w:i w:val="0"/>
          <w:spacing w:val="0"/>
          <w:sz w:val="24"/>
        </w:rPr>
        <w:t>申请"首试首用"政策支持，加速技术验证与市场落地</w:t>
      </w:r>
    </w:p>
    <w:p w14:paraId="27098284">
      <w:pPr>
        <w:pageBreakBefore w:val="0"/>
        <w:wordWrap/>
        <w:spacing w:before="160" w:after="0"/>
        <w:ind w:left="0" w:right="0"/>
        <w:jc w:val="left"/>
        <w:textAlignment w:val="auto"/>
        <w:rPr>
          <w:sz w:val="24"/>
        </w:rPr>
      </w:pPr>
      <w:r>
        <w:rPr>
          <w:rFonts w:ascii="宋体" w:hAnsi="宋体" w:eastAsia="宋体" w:cs="宋体"/>
          <w:b/>
          <w:i w:val="0"/>
          <w:spacing w:val="0"/>
          <w:sz w:val="24"/>
        </w:rPr>
        <w:t>(2) 版权登记与保护</w:t>
      </w:r>
    </w:p>
    <w:p w14:paraId="32818493">
      <w:pPr>
        <w:pageBreakBefore w:val="0"/>
        <w:wordWrap/>
        <w:spacing w:before="160" w:after="0"/>
        <w:ind w:left="0" w:leftChars="0" w:right="0" w:rightChars="0" w:firstLine="500" w:firstLineChars="0"/>
        <w:jc w:val="left"/>
        <w:textAlignment w:val="auto"/>
        <w:rPr>
          <w:rFonts w:asciiTheme="minorHAnsi" w:hAnsiTheme="minorHAnsi" w:eastAsiaTheme="minorEastAsia" w:cstheme="minorBidi"/>
          <w:sz w:val="21"/>
          <w:szCs w:val="22"/>
        </w:rPr>
      </w:pPr>
      <w:r>
        <w:rPr>
          <w:rFonts w:ascii="宋体" w:hAnsi="宋体" w:eastAsia="宋体" w:cs="宋体"/>
          <w:b/>
          <w:i w:val="0"/>
          <w:spacing w:val="0"/>
          <w:sz w:val="24"/>
          <w:szCs w:val="22"/>
        </w:rPr>
        <w:t>AI生成作品的著作权登记是OPC运营中的关键环节</w:t>
      </w:r>
      <w:r>
        <w:rPr>
          <w:rFonts w:ascii="宋体" w:hAnsi="宋体" w:eastAsia="宋体" w:cs="宋体"/>
          <w:b w:val="0"/>
          <w:i w:val="0"/>
          <w:spacing w:val="0"/>
          <w:sz w:val="24"/>
          <w:szCs w:val="22"/>
        </w:rPr>
        <w:t>。根据《著作权法》第三条，作品必须具备"独创性"，即人类智力投入的创造性成果。北京互联网法院（2023）京0491民初11279号判决书进一步明确，AI生成内容需满足"人类对表达形式的最终控制"（如提示词设计、参数调整构成创造性劳动）方可认定著作权归属使用者</w:t>
      </w:r>
      <w:r>
        <w:rPr>
          <w:rFonts w:ascii="宋体" w:hAnsi="宋体" w:eastAsia="宋体" w:cs="宋体"/>
          <w:b w:val="0"/>
          <w:i w:val="0"/>
          <w:spacing w:val="0"/>
          <w:sz w:val="24"/>
          <w:szCs w:val="22"/>
          <w:vertAlign w:val="superscript"/>
        </w:rPr>
        <w:t>[3]</w:t>
      </w:r>
      <w:r>
        <w:rPr>
          <w:rFonts w:ascii="宋体" w:hAnsi="宋体" w:eastAsia="宋体" w:cs="宋体"/>
          <w:b w:val="0"/>
          <w:i w:val="0"/>
          <w:spacing w:val="0"/>
          <w:sz w:val="24"/>
          <w:szCs w:val="22"/>
        </w:rPr>
        <w:t>。</w:t>
      </w:r>
    </w:p>
    <w:p w14:paraId="558EC65F">
      <w:pPr>
        <w:pageBreakBefore w:val="0"/>
        <w:wordWrap/>
        <w:spacing w:before="160" w:after="0"/>
        <w:ind w:left="0" w:right="0"/>
        <w:jc w:val="left"/>
        <w:textAlignment w:val="auto"/>
        <w:rPr>
          <w:sz w:val="24"/>
        </w:rPr>
      </w:pPr>
      <w:r>
        <w:rPr>
          <w:rFonts w:ascii="宋体" w:hAnsi="宋体" w:eastAsia="宋体" w:cs="宋体"/>
          <w:b/>
          <w:i w:val="0"/>
          <w:spacing w:val="0"/>
          <w:sz w:val="24"/>
        </w:rPr>
        <w:t>操作流程与风险规避</w:t>
      </w:r>
      <w:r>
        <w:rPr>
          <w:rFonts w:ascii="宋体" w:hAnsi="宋体" w:eastAsia="宋体" w:cs="宋体"/>
          <w:b w:val="0"/>
          <w:i w:val="0"/>
          <w:spacing w:val="0"/>
          <w:sz w:val="24"/>
        </w:rPr>
        <w:t>：</w:t>
      </w:r>
    </w:p>
    <w:p w14:paraId="75CC1DDF">
      <w:pPr>
        <w:pageBreakBefore w:val="0"/>
        <w:numPr>
          <w:ilvl w:val="0"/>
          <w:numId w:val="8"/>
        </w:numPr>
        <w:wordWrap/>
        <w:spacing w:before="160" w:after="0"/>
        <w:ind w:left="440" w:right="0" w:hanging="440"/>
        <w:jc w:val="left"/>
        <w:textAlignment w:val="auto"/>
        <w:rPr>
          <w:sz w:val="24"/>
        </w:rPr>
      </w:pPr>
      <w:r>
        <w:rPr>
          <w:rFonts w:ascii="宋体" w:hAnsi="宋体" w:eastAsia="宋体" w:cs="宋体"/>
          <w:b w:val="0"/>
          <w:i w:val="0"/>
          <w:spacing w:val="0"/>
          <w:sz w:val="24"/>
        </w:rPr>
        <w:t>使用千律科技智能合同生成工具，选择"版权登记"模板</w:t>
      </w:r>
    </w:p>
    <w:p w14:paraId="5F5DED2D">
      <w:pPr>
        <w:pageBreakBefore w:val="0"/>
        <w:numPr>
          <w:ilvl w:val="0"/>
          <w:numId w:val="8"/>
        </w:numPr>
        <w:wordWrap/>
        <w:spacing w:before="160" w:after="0"/>
        <w:ind w:left="440" w:right="0" w:hanging="440"/>
        <w:jc w:val="left"/>
        <w:textAlignment w:val="auto"/>
        <w:rPr>
          <w:sz w:val="24"/>
        </w:rPr>
      </w:pPr>
      <w:r>
        <w:rPr>
          <w:rFonts w:ascii="宋体" w:hAnsi="宋体" w:eastAsia="宋体" w:cs="宋体"/>
          <w:b w:val="0"/>
          <w:i w:val="0"/>
          <w:spacing w:val="0"/>
          <w:sz w:val="24"/>
        </w:rPr>
        <w:t>输入作品信息（标题、创作时间、作者等）</w:t>
      </w:r>
    </w:p>
    <w:p w14:paraId="23E98F46">
      <w:pPr>
        <w:pageBreakBefore w:val="0"/>
        <w:numPr>
          <w:ilvl w:val="0"/>
          <w:numId w:val="8"/>
        </w:numPr>
        <w:wordWrap/>
        <w:spacing w:before="160" w:after="0"/>
        <w:ind w:left="440" w:right="0" w:hanging="440"/>
        <w:jc w:val="left"/>
        <w:textAlignment w:val="auto"/>
        <w:rPr>
          <w:sz w:val="24"/>
        </w:rPr>
      </w:pPr>
      <w:r>
        <w:rPr>
          <w:rFonts w:ascii="宋体" w:hAnsi="宋体" w:eastAsia="宋体" w:cs="宋体"/>
          <w:b w:val="0"/>
          <w:i w:val="0"/>
          <w:spacing w:val="0"/>
          <w:sz w:val="24"/>
        </w:rPr>
        <w:t>AI自动生成版权登记申请书，标注"人类智力投入"部分（如提示词设计、参数调整等）</w:t>
      </w:r>
    </w:p>
    <w:p w14:paraId="4DB58C7C">
      <w:pPr>
        <w:pageBreakBefore w:val="0"/>
        <w:numPr>
          <w:ilvl w:val="0"/>
          <w:numId w:val="8"/>
        </w:numPr>
        <w:wordWrap/>
        <w:spacing w:before="160" w:after="0"/>
        <w:ind w:left="440" w:right="0" w:hanging="440"/>
        <w:jc w:val="left"/>
        <w:textAlignment w:val="auto"/>
        <w:rPr>
          <w:sz w:val="24"/>
        </w:rPr>
      </w:pPr>
      <w:r>
        <w:rPr>
          <w:rFonts w:ascii="宋体" w:hAnsi="宋体" w:eastAsia="宋体" w:cs="宋体"/>
          <w:b w:val="0"/>
          <w:i w:val="0"/>
          <w:spacing w:val="0"/>
          <w:sz w:val="24"/>
        </w:rPr>
        <w:t>上传创作过程记录（如提示词修改版本、设计草图等）</w:t>
      </w:r>
    </w:p>
    <w:p w14:paraId="6AEAE06C">
      <w:pPr>
        <w:pageBreakBefore w:val="0"/>
        <w:numPr>
          <w:ilvl w:val="0"/>
          <w:numId w:val="8"/>
        </w:numPr>
        <w:wordWrap/>
        <w:spacing w:before="160" w:after="0"/>
        <w:ind w:left="440" w:right="0" w:hanging="440"/>
        <w:jc w:val="left"/>
        <w:textAlignment w:val="auto"/>
        <w:rPr>
          <w:sz w:val="24"/>
        </w:rPr>
      </w:pPr>
      <w:r>
        <w:rPr>
          <w:rFonts w:ascii="宋体" w:hAnsi="宋体" w:eastAsia="宋体" w:cs="宋体"/>
          <w:b w:val="0"/>
          <w:i w:val="0"/>
          <w:spacing w:val="0"/>
          <w:sz w:val="24"/>
        </w:rPr>
        <w:t>提交至中国版权保护中心（登记费300元/件）</w:t>
      </w:r>
    </w:p>
    <w:p w14:paraId="3EACB502">
      <w:pPr>
        <w:pageBreakBefore w:val="0"/>
        <w:wordWrap/>
        <w:spacing w:before="160" w:after="0"/>
        <w:ind w:left="0" w:right="0"/>
        <w:jc w:val="left"/>
        <w:textAlignment w:val="auto"/>
        <w:rPr>
          <w:sz w:val="24"/>
        </w:rPr>
      </w:pPr>
      <w:r>
        <w:rPr>
          <w:rFonts w:ascii="宋体" w:hAnsi="宋体" w:eastAsia="宋体" w:cs="宋体"/>
          <w:b/>
          <w:i w:val="0"/>
          <w:spacing w:val="0"/>
          <w:sz w:val="24"/>
        </w:rPr>
        <w:t>法律效力验证</w:t>
      </w:r>
      <w:r>
        <w:rPr>
          <w:rFonts w:ascii="宋体" w:hAnsi="宋体" w:eastAsia="宋体" w:cs="宋体"/>
          <w:b w:val="0"/>
          <w:i w:val="0"/>
          <w:spacing w:val="0"/>
          <w:sz w:val="24"/>
        </w:rPr>
        <w:t>：</w:t>
      </w:r>
    </w:p>
    <w:p w14:paraId="2458A231">
      <w:pPr>
        <w:pageBreakBefore w:val="0"/>
        <w:numPr>
          <w:ilvl w:val="0"/>
          <w:numId w:val="9"/>
        </w:numPr>
        <w:wordWrap/>
        <w:spacing w:before="160" w:after="0"/>
        <w:ind w:left="440" w:right="0" w:hanging="440"/>
        <w:jc w:val="left"/>
        <w:textAlignment w:val="auto"/>
        <w:rPr>
          <w:sz w:val="24"/>
        </w:rPr>
      </w:pPr>
      <w:r>
        <w:rPr>
          <w:rFonts w:ascii="宋体" w:hAnsi="宋体" w:eastAsia="宋体" w:cs="宋体"/>
          <w:b w:val="0"/>
          <w:i w:val="0"/>
          <w:spacing w:val="0"/>
          <w:sz w:val="24"/>
        </w:rPr>
        <w:t>千律系统通过OCR与文本比对技术，自动对比电子版与纸质盖章版合同的一致性</w:t>
      </w:r>
    </w:p>
    <w:p w14:paraId="4B76A585">
      <w:pPr>
        <w:pageBreakBefore w:val="0"/>
        <w:numPr>
          <w:ilvl w:val="0"/>
          <w:numId w:val="9"/>
        </w:numPr>
        <w:wordWrap/>
        <w:spacing w:before="160" w:after="0"/>
        <w:ind w:left="440" w:right="0" w:hanging="440"/>
        <w:jc w:val="left"/>
        <w:textAlignment w:val="auto"/>
        <w:rPr>
          <w:sz w:val="24"/>
        </w:rPr>
      </w:pPr>
      <w:r>
        <w:rPr>
          <w:rFonts w:ascii="宋体" w:hAnsi="宋体" w:eastAsia="宋体" w:cs="宋体"/>
          <w:b w:val="0"/>
          <w:i w:val="0"/>
          <w:spacing w:val="0"/>
          <w:sz w:val="24"/>
        </w:rPr>
        <w:t>风险提示通过语义分析和阈值设置（如相似度超过70%触发审查）</w:t>
      </w:r>
    </w:p>
    <w:p w14:paraId="3D1C45D2">
      <w:pPr>
        <w:pageBreakBefore w:val="0"/>
        <w:numPr>
          <w:ilvl w:val="0"/>
          <w:numId w:val="9"/>
        </w:numPr>
        <w:wordWrap/>
        <w:spacing w:before="160" w:after="0"/>
        <w:ind w:left="440" w:right="0" w:hanging="440"/>
        <w:jc w:val="left"/>
        <w:textAlignment w:val="auto"/>
        <w:rPr>
          <w:sz w:val="24"/>
        </w:rPr>
      </w:pPr>
      <w:r>
        <w:rPr>
          <w:rFonts w:ascii="宋体" w:hAnsi="宋体" w:eastAsia="宋体" w:cs="宋体"/>
          <w:b w:val="0"/>
          <w:i w:val="0"/>
          <w:spacing w:val="0"/>
          <w:sz w:val="24"/>
        </w:rPr>
        <w:t>系统基于"双闭环"模型（流程风险+内容风险）确保合同可靠性</w:t>
      </w:r>
    </w:p>
    <w:p w14:paraId="6EBF8B33">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：AI工具将传统版权登记流程时间从数周缩短至数天，准确率提升至90%以上</w:t>
      </w:r>
      <w:r>
        <w:rPr>
          <w:rFonts w:ascii="宋体" w:hAnsi="宋体" w:eastAsia="宋体" w:cs="宋体"/>
          <w:b w:val="0"/>
          <w:i w:val="0"/>
          <w:spacing w:val="0"/>
          <w:sz w:val="24"/>
          <w:szCs w:val="22"/>
          <w:vertAlign w:val="superscript"/>
        </w:rPr>
        <w:t>[5]</w:t>
      </w:r>
      <w:r>
        <w:rPr>
          <w:rFonts w:ascii="宋体" w:hAnsi="宋体" w:eastAsia="宋体" w:cs="宋体"/>
          <w:b w:val="0"/>
          <w:i w:val="0"/>
          <w:spacing w:val="0"/>
          <w:sz w:val="24"/>
          <w:szCs w:val="22"/>
        </w:rPr>
        <w:t>。</w:t>
      </w:r>
    </w:p>
    <w:p w14:paraId="7E129732">
      <w:pPr>
        <w:pageBreakBefore w:val="0"/>
        <w:wordWrap/>
        <w:spacing w:before="160" w:after="0"/>
        <w:ind w:left="0" w:right="0"/>
        <w:jc w:val="left"/>
        <w:textAlignment w:val="auto"/>
        <w:rPr>
          <w:sz w:val="24"/>
        </w:rPr>
      </w:pPr>
      <w:r>
        <w:rPr>
          <w:rFonts w:ascii="宋体" w:hAnsi="宋体" w:eastAsia="宋体" w:cs="宋体"/>
          <w:b/>
          <w:i w:val="0"/>
          <w:spacing w:val="0"/>
          <w:sz w:val="24"/>
        </w:rPr>
        <w:t>(3) 商业秘密管理</w:t>
      </w:r>
    </w:p>
    <w:p w14:paraId="6B676FF1">
      <w:pPr>
        <w:pageBreakBefore w:val="0"/>
        <w:wordWrap/>
        <w:spacing w:before="160" w:after="0"/>
        <w:ind w:left="0" w:right="0"/>
        <w:jc w:val="left"/>
        <w:textAlignment w:val="auto"/>
        <w:rPr>
          <w:sz w:val="24"/>
        </w:rPr>
      </w:pPr>
      <w:r>
        <w:rPr>
          <w:rFonts w:ascii="宋体" w:hAnsi="宋体" w:eastAsia="宋体" w:cs="宋体"/>
          <w:b/>
          <w:i w:val="0"/>
          <w:spacing w:val="0"/>
          <w:sz w:val="24"/>
        </w:rPr>
        <w:t>OPC创业者需建立细粒度的商业秘密管理体系</w:t>
      </w:r>
      <w:r>
        <w:rPr>
          <w:rFonts w:ascii="宋体" w:hAnsi="宋体" w:eastAsia="宋体" w:cs="宋体"/>
          <w:b w:val="0"/>
          <w:i w:val="0"/>
          <w:spacing w:val="0"/>
          <w:sz w:val="24"/>
        </w:rPr>
        <w:t>，包括数据加密、访问控制和人员管理  。</w:t>
      </w:r>
    </w:p>
    <w:p w14:paraId="2C8441F9">
      <w:pPr>
        <w:pageBreakBefore w:val="0"/>
        <w:wordWrap/>
        <w:spacing w:before="160" w:after="0"/>
        <w:ind w:left="0" w:right="0"/>
        <w:jc w:val="left"/>
        <w:textAlignment w:val="auto"/>
        <w:rPr>
          <w:sz w:val="24"/>
        </w:rPr>
      </w:pPr>
      <w:r>
        <w:rPr>
          <w:rFonts w:ascii="宋体" w:hAnsi="宋体" w:eastAsia="宋体" w:cs="宋体"/>
          <w:b/>
          <w:i w:val="0"/>
          <w:spacing w:val="0"/>
          <w:sz w:val="24"/>
        </w:rPr>
        <w:t>操作流程与工具推荐</w:t>
      </w:r>
      <w:r>
        <w:rPr>
          <w:rFonts w:ascii="宋体" w:hAnsi="宋体" w:eastAsia="宋体" w:cs="宋体"/>
          <w:b w:val="0"/>
          <w:i w:val="0"/>
          <w:spacing w:val="0"/>
          <w:sz w:val="24"/>
        </w:rPr>
        <w:t>：</w:t>
      </w:r>
    </w:p>
    <w:p w14:paraId="6C52236C">
      <w:pPr>
        <w:pageBreakBefore w:val="0"/>
        <w:numPr>
          <w:ilvl w:val="0"/>
          <w:numId w:val="10"/>
        </w:numPr>
        <w:wordWrap/>
        <w:spacing w:before="160" w:after="0"/>
        <w:ind w:left="440" w:right="0" w:hanging="440"/>
        <w:jc w:val="left"/>
        <w:textAlignment w:val="auto"/>
        <w:rPr>
          <w:sz w:val="24"/>
        </w:rPr>
      </w:pPr>
      <w:r>
        <w:rPr>
          <w:rFonts w:ascii="宋体" w:hAnsi="宋体" w:eastAsia="宋体" w:cs="宋体"/>
          <w:b w:val="0"/>
          <w:i w:val="0"/>
          <w:spacing w:val="0"/>
          <w:sz w:val="24"/>
        </w:rPr>
        <w:t>使用商业秘密保护官认证（CCRC-TSPO）的人员能力认证，首批通过考核的人员已获得《商业秘密保护官》认证证书</w:t>
      </w:r>
    </w:p>
    <w:p w14:paraId="580F0518">
      <w:pPr>
        <w:pageBreakBefore w:val="0"/>
        <w:numPr>
          <w:ilvl w:val="0"/>
          <w:numId w:val="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采用细粒度权限管理工具（如腾讯云TBaaS），配置不同角色的访问权限：①登录控制台→②创建角色（如"技术研发岗"）→③关联数据资源（核心代码库/客户数据库）→④设置操作权限（只读/编辑/下载）→⑤绑定MFA认证</w:t>
      </w:r>
    </w:p>
    <w:p w14:paraId="362C26BA">
      <w:pPr>
        <w:pageBreakBefore w:val="0"/>
        <w:numPr>
          <w:ilvl w:val="0"/>
          <w:numId w:val="10"/>
        </w:numPr>
        <w:wordWrap/>
        <w:spacing w:before="160" w:after="0"/>
        <w:ind w:left="440" w:right="0" w:hanging="440"/>
        <w:jc w:val="left"/>
        <w:textAlignment w:val="auto"/>
        <w:rPr>
          <w:sz w:val="24"/>
        </w:rPr>
      </w:pPr>
      <w:r>
        <w:rPr>
          <w:rFonts w:ascii="宋体" w:hAnsi="宋体" w:eastAsia="宋体" w:cs="宋体"/>
          <w:b w:val="0"/>
          <w:i w:val="0"/>
          <w:spacing w:val="0"/>
          <w:sz w:val="24"/>
        </w:rPr>
        <w:t>对核心数据实施加密存储（AES-256加密算法）</w:t>
      </w:r>
    </w:p>
    <w:p w14:paraId="4C451A1C">
      <w:pPr>
        <w:pageBreakBefore w:val="0"/>
        <w:numPr>
          <w:ilvl w:val="0"/>
          <w:numId w:val="10"/>
        </w:numPr>
        <w:wordWrap/>
        <w:spacing w:before="160" w:after="0"/>
        <w:ind w:left="440" w:right="0" w:hanging="440"/>
        <w:jc w:val="left"/>
        <w:textAlignment w:val="auto"/>
        <w:rPr>
          <w:sz w:val="24"/>
        </w:rPr>
      </w:pPr>
      <w:r>
        <w:rPr>
          <w:rFonts w:ascii="宋体" w:hAnsi="宋体" w:eastAsia="宋体" w:cs="宋体"/>
          <w:b w:val="0"/>
          <w:i w:val="0"/>
          <w:spacing w:val="0"/>
          <w:sz w:val="24"/>
        </w:rPr>
        <w:t>建立数据使用审批流程，通过飞书/钉钉的审批插件实现</w:t>
      </w:r>
    </w:p>
    <w:p w14:paraId="0DF1C26E">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：细粒度权限管理工具可将传统商业秘密保护时间从数天缩短至数小时，安全防护级别提升至银行级  。</w:t>
      </w:r>
    </w:p>
    <w:p w14:paraId="0A6E8390">
      <w:pPr>
        <w:pageBreakBefore w:val="0"/>
        <w:wordWrap/>
        <w:spacing w:before="160" w:after="0"/>
        <w:ind w:left="0" w:right="0"/>
        <w:jc w:val="left"/>
        <w:textAlignment w:val="auto"/>
        <w:rPr>
          <w:sz w:val="28"/>
        </w:rPr>
      </w:pPr>
      <w:r>
        <w:rPr>
          <w:rFonts w:ascii="宋体" w:hAnsi="宋体" w:eastAsia="宋体" w:cs="宋体"/>
          <w:b/>
          <w:i w:val="0"/>
          <w:spacing w:val="0"/>
          <w:sz w:val="28"/>
        </w:rPr>
        <w:t>4.3 数据安全保护策略</w:t>
      </w:r>
    </w:p>
    <w:p w14:paraId="3A79A01E">
      <w:pPr>
        <w:pageBreakBefore w:val="0"/>
        <w:wordWrap/>
        <w:spacing w:before="160" w:after="0"/>
        <w:ind w:left="0" w:right="0"/>
        <w:jc w:val="left"/>
        <w:textAlignment w:val="auto"/>
        <w:rPr>
          <w:sz w:val="24"/>
        </w:rPr>
      </w:pPr>
      <w:r>
        <w:rPr>
          <w:rFonts w:ascii="宋体" w:hAnsi="宋体" w:eastAsia="宋体" w:cs="宋体"/>
          <w:b/>
          <w:i w:val="0"/>
          <w:spacing w:val="0"/>
          <w:sz w:val="24"/>
        </w:rPr>
        <w:t>(1) 加密技术应用</w:t>
      </w:r>
    </w:p>
    <w:p w14:paraId="09E8D3C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OPC创业者需根据数据敏感程度选择不同加密算法</w:t>
      </w:r>
      <w:r>
        <w:rPr>
          <w:rFonts w:ascii="宋体" w:hAnsi="宋体" w:eastAsia="宋体" w:cs="宋体"/>
          <w:b w:val="0"/>
          <w:i w:val="0"/>
          <w:spacing w:val="0"/>
          <w:sz w:val="24"/>
        </w:rPr>
        <w:t>：</w:t>
      </w:r>
    </w:p>
    <w:p w14:paraId="6B1BB1BE">
      <w:pPr>
        <w:pageBreakBefore w:val="0"/>
        <w:numPr>
          <w:ilvl w:val="0"/>
          <w:numId w:val="1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AES-256</w:t>
      </w:r>
      <w:r>
        <w:rPr>
          <w:rFonts w:ascii="宋体" w:hAnsi="宋体" w:eastAsia="宋体" w:cs="宋体"/>
          <w:b w:val="0"/>
          <w:i w:val="0"/>
          <w:spacing w:val="0"/>
          <w:sz w:val="24"/>
          <w:szCs w:val="22"/>
        </w:rPr>
        <w:t>：适用于敏感技术方案、客户信息等，在Intel i7-12700K处理器、8GB内存环境下，对1GB文本文件加密速度约500MB/s，解密速度约300MB/s（来源：VeraCrypt 2024性能测试报告）</w:t>
      </w:r>
    </w:p>
    <w:p w14:paraId="23D17964">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RSA-PSS</w:t>
      </w:r>
      <w:r>
        <w:rPr>
          <w:rFonts w:ascii="宋体" w:hAnsi="宋体" w:eastAsia="宋体" w:cs="宋体"/>
          <w:b w:val="0"/>
          <w:i w:val="0"/>
          <w:spacing w:val="0"/>
          <w:sz w:val="24"/>
        </w:rPr>
        <w:t>：适用于非敏感数据、文档传输等，加密速度约每秒50MB，解密速度约每秒20MB</w:t>
      </w:r>
    </w:p>
    <w:p w14:paraId="1B9C3EE1">
      <w:pPr>
        <w:pageBreakBefore w:val="0"/>
        <w:wordWrap/>
        <w:spacing w:before="160" w:after="0"/>
        <w:ind w:left="0" w:right="0"/>
        <w:jc w:val="left"/>
        <w:textAlignment w:val="auto"/>
        <w:rPr>
          <w:sz w:val="24"/>
        </w:rPr>
      </w:pPr>
      <w:r>
        <w:rPr>
          <w:rFonts w:ascii="宋体" w:hAnsi="宋体" w:eastAsia="宋体" w:cs="宋体"/>
          <w:b/>
          <w:i w:val="0"/>
          <w:spacing w:val="0"/>
          <w:sz w:val="24"/>
        </w:rPr>
        <w:t>实操方法</w:t>
      </w:r>
      <w:r>
        <w:rPr>
          <w:rFonts w:ascii="宋体" w:hAnsi="宋体" w:eastAsia="宋体" w:cs="宋体"/>
          <w:b w:val="0"/>
          <w:i w:val="0"/>
          <w:spacing w:val="0"/>
          <w:sz w:val="24"/>
        </w:rPr>
        <w:t>：</w:t>
      </w:r>
    </w:p>
    <w:p w14:paraId="5FCDB403">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安装加密工具（如VeraCrypt、7-Zip等）</w:t>
      </w:r>
    </w:p>
    <w:p w14:paraId="68B34540">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选择加密算法和密钥长度</w:t>
      </w:r>
    </w:p>
    <w:p w14:paraId="6947A170">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设置密码策略（如12位以上混合字符，定期更换）</w:t>
      </w:r>
    </w:p>
    <w:p w14:paraId="61F87A02">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对重要文件实施加密存储和传输</w:t>
      </w:r>
    </w:p>
    <w:p w14:paraId="3335E0C9">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：加密技术可将数据泄露风险降低92%，同时通过自动化工具（如VeraCrypt）实现一键加密，操作时间从数小时缩短至数分钟  。</w:t>
      </w:r>
    </w:p>
    <w:p w14:paraId="11207CF1">
      <w:pPr>
        <w:pageBreakBefore w:val="0"/>
        <w:wordWrap/>
        <w:spacing w:before="160" w:after="0"/>
        <w:ind w:left="0" w:right="0"/>
        <w:jc w:val="left"/>
        <w:textAlignment w:val="auto"/>
        <w:rPr>
          <w:sz w:val="24"/>
        </w:rPr>
      </w:pPr>
      <w:r>
        <w:rPr>
          <w:rFonts w:ascii="宋体" w:hAnsi="宋体" w:eastAsia="宋体" w:cs="宋体"/>
          <w:b/>
          <w:i w:val="0"/>
          <w:spacing w:val="0"/>
          <w:sz w:val="24"/>
        </w:rPr>
        <w:t>(2) 访问控制机制</w:t>
      </w:r>
    </w:p>
    <w:p w14:paraId="4BE546F5">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细粒度权限管理是OPC数据安全的核心保障</w:t>
      </w:r>
      <w:r>
        <w:rPr>
          <w:rFonts w:ascii="宋体" w:hAnsi="宋体" w:eastAsia="宋体" w:cs="宋体"/>
          <w:b w:val="0"/>
          <w:i w:val="0"/>
          <w:spacing w:val="0"/>
          <w:sz w:val="24"/>
        </w:rPr>
        <w:t>。通过配置不同角色的访问权限，确保数据在"最小必要"原则下使用  。</w:t>
      </w:r>
    </w:p>
    <w:p w14:paraId="4AC44FCA">
      <w:pPr>
        <w:pageBreakBefore w:val="0"/>
        <w:wordWrap/>
        <w:spacing w:before="160" w:after="0"/>
        <w:ind w:left="0" w:right="0"/>
        <w:jc w:val="left"/>
        <w:textAlignment w:val="auto"/>
        <w:rPr>
          <w:sz w:val="24"/>
        </w:rPr>
      </w:pPr>
      <w:r>
        <w:rPr>
          <w:rFonts w:ascii="宋体" w:hAnsi="宋体" w:eastAsia="宋体" w:cs="宋体"/>
          <w:b/>
          <w:i w:val="0"/>
          <w:spacing w:val="0"/>
          <w:sz w:val="24"/>
        </w:rPr>
        <w:t>实操方法</w:t>
      </w:r>
      <w:r>
        <w:rPr>
          <w:rFonts w:ascii="宋体" w:hAnsi="宋体" w:eastAsia="宋体" w:cs="宋体"/>
          <w:b w:val="0"/>
          <w:i w:val="0"/>
          <w:spacing w:val="0"/>
          <w:sz w:val="24"/>
        </w:rPr>
        <w:t>：</w:t>
      </w:r>
    </w:p>
    <w:p w14:paraId="055C9357">
      <w:pPr>
        <w:pageBreakBefore w:val="0"/>
        <w:numPr>
          <w:ilvl w:val="0"/>
          <w:numId w:val="13"/>
        </w:numPr>
        <w:wordWrap/>
        <w:spacing w:before="160" w:after="0"/>
        <w:ind w:left="440" w:right="0" w:hanging="440"/>
        <w:jc w:val="left"/>
        <w:textAlignment w:val="auto"/>
        <w:rPr>
          <w:sz w:val="24"/>
        </w:rPr>
      </w:pPr>
      <w:r>
        <w:rPr>
          <w:rFonts w:ascii="宋体" w:hAnsi="宋体" w:eastAsia="宋体" w:cs="宋体"/>
          <w:b w:val="0"/>
          <w:i w:val="0"/>
          <w:spacing w:val="0"/>
          <w:sz w:val="24"/>
        </w:rPr>
        <w:t>使用权限管理工具（如腾讯云TBaaS、阿里云RAM）</w:t>
      </w:r>
    </w:p>
    <w:p w14:paraId="296824D2">
      <w:pPr>
        <w:pageBreakBefore w:val="0"/>
        <w:numPr>
          <w:ilvl w:val="0"/>
          <w:numId w:val="13"/>
        </w:numPr>
        <w:wordWrap/>
        <w:spacing w:before="160" w:after="0"/>
        <w:ind w:left="440" w:right="0" w:hanging="440"/>
        <w:jc w:val="left"/>
        <w:textAlignment w:val="auto"/>
        <w:rPr>
          <w:sz w:val="24"/>
        </w:rPr>
      </w:pPr>
      <w:r>
        <w:rPr>
          <w:rFonts w:ascii="宋体" w:hAnsi="宋体" w:eastAsia="宋体" w:cs="宋体"/>
          <w:b w:val="0"/>
          <w:i w:val="0"/>
          <w:spacing w:val="0"/>
          <w:sz w:val="24"/>
        </w:rPr>
        <w:t>定义数据分类（如核心数据、一般数据、公开数据）</w:t>
      </w:r>
    </w:p>
    <w:p w14:paraId="5B1817DC">
      <w:pPr>
        <w:pageBreakBefore w:val="0"/>
        <w:numPr>
          <w:ilvl w:val="0"/>
          <w:numId w:val="13"/>
        </w:numPr>
        <w:wordWrap/>
        <w:spacing w:before="160" w:after="0"/>
        <w:ind w:left="440" w:right="0" w:hanging="440"/>
        <w:jc w:val="left"/>
        <w:textAlignment w:val="auto"/>
        <w:rPr>
          <w:sz w:val="24"/>
        </w:rPr>
      </w:pPr>
      <w:r>
        <w:rPr>
          <w:rFonts w:ascii="宋体" w:hAnsi="宋体" w:eastAsia="宋体" w:cs="宋体"/>
          <w:b w:val="0"/>
          <w:i w:val="0"/>
          <w:spacing w:val="0"/>
          <w:sz w:val="24"/>
        </w:rPr>
        <w:t>配置角色权限（如"只读"、"编辑"、"审批"三级权限）</w:t>
      </w:r>
    </w:p>
    <w:p w14:paraId="1C04D455">
      <w:pPr>
        <w:pageBreakBefore w:val="0"/>
        <w:numPr>
          <w:ilvl w:val="0"/>
          <w:numId w:val="13"/>
        </w:numPr>
        <w:wordWrap/>
        <w:spacing w:before="160" w:after="0"/>
        <w:ind w:left="440" w:right="0" w:hanging="440"/>
        <w:jc w:val="left"/>
        <w:textAlignment w:val="auto"/>
        <w:rPr>
          <w:sz w:val="24"/>
        </w:rPr>
      </w:pPr>
      <w:r>
        <w:rPr>
          <w:rFonts w:ascii="宋体" w:hAnsi="宋体" w:eastAsia="宋体" w:cs="宋体"/>
          <w:b w:val="0"/>
          <w:i w:val="0"/>
          <w:spacing w:val="0"/>
          <w:sz w:val="24"/>
        </w:rPr>
        <w:t>设置访问时间限制和IP白名单</w:t>
      </w:r>
    </w:p>
    <w:p w14:paraId="7325F2A8">
      <w:pPr>
        <w:pageBreakBefore w:val="0"/>
        <w:numPr>
          <w:ilvl w:val="0"/>
          <w:numId w:val="13"/>
        </w:numPr>
        <w:wordWrap/>
        <w:spacing w:before="160" w:after="0"/>
        <w:ind w:left="440" w:right="0" w:hanging="440"/>
        <w:jc w:val="left"/>
        <w:textAlignment w:val="auto"/>
        <w:rPr>
          <w:sz w:val="24"/>
        </w:rPr>
      </w:pPr>
      <w:r>
        <w:rPr>
          <w:rFonts w:ascii="宋体" w:hAnsi="宋体" w:eastAsia="宋体" w:cs="宋体"/>
          <w:b w:val="0"/>
          <w:i w:val="0"/>
          <w:spacing w:val="0"/>
          <w:sz w:val="24"/>
        </w:rPr>
        <w:t>实施多因素认证（MFA）和定期权限审查</w:t>
      </w:r>
    </w:p>
    <w:p w14:paraId="26C3A646">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：细粒度权限管理工具可将权限配置时间从数小时缩短至数分钟，同时降低人为错误导致的风险  。</w:t>
      </w:r>
    </w:p>
    <w:p w14:paraId="14926FA8">
      <w:pPr>
        <w:pageBreakBefore w:val="0"/>
        <w:numPr>
          <w:ilvl w:val="1"/>
          <w:numId w:val="14"/>
        </w:numPr>
        <w:wordWrap/>
        <w:spacing w:before="160" w:after="0"/>
        <w:ind w:left="880" w:right="0" w:hanging="440"/>
        <w:jc w:val="left"/>
        <w:textAlignment w:val="auto"/>
        <w:rPr>
          <w:sz w:val="24"/>
        </w:rPr>
      </w:pPr>
      <w:r>
        <w:rPr>
          <w:rFonts w:ascii="宋体" w:hAnsi="宋体" w:eastAsia="宋体" w:cs="宋体"/>
          <w:b w:val="0"/>
          <w:i w:val="0"/>
          <w:spacing w:val="0"/>
          <w:sz w:val="24"/>
        </w:rPr>
        <w:t>.2万元</w:t>
      </w:r>
    </w:p>
    <w:p w14:paraId="699D7A81">
      <w:pPr>
        <w:pageBreakBefore w:val="0"/>
        <w:numPr>
          <w:ilvl w:val="0"/>
          <w:numId w:val="15"/>
        </w:numPr>
        <w:wordWrap/>
        <w:spacing w:before="160" w:after="0"/>
        <w:ind w:left="440" w:right="0" w:hanging="440"/>
        <w:jc w:val="left"/>
        <w:textAlignment w:val="auto"/>
        <w:rPr>
          <w:sz w:val="24"/>
        </w:rPr>
      </w:pPr>
      <w:r>
        <w:rPr>
          <w:rFonts w:ascii="宋体" w:hAnsi="宋体" w:eastAsia="宋体" w:cs="宋体"/>
          <w:b/>
          <w:i w:val="0"/>
          <w:spacing w:val="0"/>
          <w:sz w:val="24"/>
        </w:rPr>
        <w:t>认证阶段</w:t>
      </w:r>
      <w:r>
        <w:rPr>
          <w:rFonts w:ascii="宋体" w:hAnsi="宋体" w:eastAsia="宋体" w:cs="宋体"/>
          <w:b w:val="0"/>
          <w:i w:val="0"/>
          <w:spacing w:val="0"/>
          <w:sz w:val="24"/>
        </w:rPr>
        <w:t>：</w:t>
      </w:r>
    </w:p>
    <w:p w14:paraId="459015C1">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综合评价与认证决定→费用640元/单元</w:t>
      </w:r>
    </w:p>
    <w:p w14:paraId="0BD8ED40">
      <w:pPr>
        <w:pageBreakBefore w:val="0"/>
        <w:numPr>
          <w:ilvl w:val="1"/>
          <w:numId w:val="16"/>
        </w:numPr>
        <w:wordWrap/>
        <w:spacing w:before="160" w:after="0"/>
        <w:ind w:left="880" w:right="0" w:hanging="440"/>
        <w:jc w:val="left"/>
        <w:textAlignment w:val="auto"/>
        <w:rPr>
          <w:sz w:val="24"/>
        </w:rPr>
      </w:pPr>
      <w:r>
        <w:rPr>
          <w:rFonts w:ascii="宋体" w:hAnsi="宋体" w:eastAsia="宋体" w:cs="宋体"/>
          <w:b w:val="0"/>
          <w:i w:val="0"/>
          <w:spacing w:val="0"/>
          <w:sz w:val="24"/>
        </w:rPr>
        <w:t>颁发证书→有效期5年，年金80元/单元</w:t>
      </w:r>
    </w:p>
    <w:p w14:paraId="27DBAC41">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：通过CCRC认证的数据安全工具可将传统认证流程时间从数月缩短至数周，认证通过率提高至90%以上。</w:t>
      </w:r>
    </w:p>
    <w:p w14:paraId="4E0FB94B">
      <w:pPr>
        <w:pageBreakBefore w:val="0"/>
        <w:wordWrap/>
        <w:spacing w:before="160" w:after="0"/>
        <w:ind w:left="0" w:right="0"/>
        <w:jc w:val="left"/>
        <w:textAlignment w:val="auto"/>
        <w:rPr>
          <w:sz w:val="24"/>
        </w:rPr>
      </w:pPr>
      <w:r>
        <w:rPr>
          <w:rFonts w:ascii="宋体" w:hAnsi="宋体" w:eastAsia="宋体" w:cs="宋体"/>
          <w:b/>
          <w:i w:val="0"/>
          <w:spacing w:val="0"/>
          <w:sz w:val="24"/>
        </w:rPr>
        <w:t>(4) 敏感数据审计</w:t>
      </w:r>
    </w:p>
    <w:p w14:paraId="4E7B29B9">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建立敏感文件报警系统是OPC运营的必要环节</w:t>
      </w:r>
      <w:r>
        <w:rPr>
          <w:rFonts w:ascii="宋体" w:hAnsi="宋体" w:eastAsia="宋体" w:cs="宋体"/>
          <w:b w:val="0"/>
          <w:i w:val="0"/>
          <w:spacing w:val="0"/>
          <w:sz w:val="24"/>
        </w:rPr>
        <w:t>。通过监控异常行为（如非工作时间访问、高频下载等），及时干预风险  。</w:t>
      </w:r>
    </w:p>
    <w:p w14:paraId="7E3FF002">
      <w:pPr>
        <w:pageBreakBefore w:val="0"/>
        <w:wordWrap/>
        <w:spacing w:before="160" w:after="0"/>
        <w:ind w:left="0" w:right="0"/>
        <w:jc w:val="left"/>
        <w:textAlignment w:val="auto"/>
        <w:rPr>
          <w:sz w:val="24"/>
        </w:rPr>
      </w:pPr>
      <w:r>
        <w:rPr>
          <w:rFonts w:ascii="宋体" w:hAnsi="宋体" w:eastAsia="宋体" w:cs="宋体"/>
          <w:b/>
          <w:i w:val="0"/>
          <w:spacing w:val="0"/>
          <w:sz w:val="24"/>
        </w:rPr>
        <w:t>实操方法</w:t>
      </w:r>
      <w:r>
        <w:rPr>
          <w:rFonts w:ascii="宋体" w:hAnsi="宋体" w:eastAsia="宋体" w:cs="宋体"/>
          <w:b w:val="0"/>
          <w:i w:val="0"/>
          <w:spacing w:val="0"/>
          <w:sz w:val="24"/>
        </w:rPr>
        <w:t>：</w:t>
      </w:r>
    </w:p>
    <w:p w14:paraId="030C34AB">
      <w:pPr>
        <w:pageBreakBefore w:val="0"/>
        <w:numPr>
          <w:ilvl w:val="0"/>
          <w:numId w:val="17"/>
        </w:numPr>
        <w:wordWrap/>
        <w:spacing w:before="160" w:after="0"/>
        <w:ind w:left="440" w:right="0" w:hanging="440"/>
        <w:jc w:val="left"/>
        <w:textAlignment w:val="auto"/>
        <w:rPr>
          <w:sz w:val="24"/>
        </w:rPr>
      </w:pPr>
      <w:r>
        <w:rPr>
          <w:rFonts w:ascii="宋体" w:hAnsi="宋体" w:eastAsia="宋体" w:cs="宋体"/>
          <w:b w:val="0"/>
          <w:i w:val="0"/>
          <w:spacing w:val="0"/>
          <w:sz w:val="24"/>
        </w:rPr>
        <w:t>使用日志分析工具（如Splunk、ELK Stack）</w:t>
      </w:r>
    </w:p>
    <w:p w14:paraId="14B63534">
      <w:pPr>
        <w:pageBreakBefore w:val="0"/>
        <w:numPr>
          <w:ilvl w:val="0"/>
          <w:numId w:val="17"/>
        </w:numPr>
        <w:wordWrap/>
        <w:spacing w:before="160" w:after="0"/>
        <w:ind w:left="440" w:right="0" w:hanging="440"/>
        <w:jc w:val="left"/>
        <w:textAlignment w:val="auto"/>
        <w:rPr>
          <w:sz w:val="24"/>
        </w:rPr>
      </w:pPr>
      <w:r>
        <w:rPr>
          <w:rFonts w:ascii="宋体" w:hAnsi="宋体" w:eastAsia="宋体" w:cs="宋体"/>
          <w:b w:val="0"/>
          <w:i w:val="0"/>
          <w:spacing w:val="0"/>
          <w:sz w:val="24"/>
        </w:rPr>
        <w:t>设置监控规则（如访问频率、时间、IP等）</w:t>
      </w:r>
    </w:p>
    <w:p w14:paraId="202BA24B">
      <w:pPr>
        <w:pageBreakBefore w:val="0"/>
        <w:numPr>
          <w:ilvl w:val="0"/>
          <w:numId w:val="17"/>
        </w:numPr>
        <w:wordWrap/>
        <w:spacing w:before="160" w:after="0"/>
        <w:ind w:left="440" w:right="0" w:hanging="440"/>
        <w:jc w:val="left"/>
        <w:textAlignment w:val="auto"/>
        <w:rPr>
          <w:sz w:val="24"/>
        </w:rPr>
      </w:pPr>
      <w:r>
        <w:rPr>
          <w:rFonts w:ascii="宋体" w:hAnsi="宋体" w:eastAsia="宋体" w:cs="宋体"/>
          <w:b w:val="0"/>
          <w:i w:val="0"/>
          <w:spacing w:val="0"/>
          <w:sz w:val="24"/>
        </w:rPr>
        <w:t>配置报警通知（邮件、短信、微信等）</w:t>
      </w:r>
    </w:p>
    <w:p w14:paraId="37C16F45">
      <w:pPr>
        <w:pageBreakBefore w:val="0"/>
        <w:numPr>
          <w:ilvl w:val="0"/>
          <w:numId w:val="17"/>
        </w:numPr>
        <w:wordWrap/>
        <w:spacing w:before="160" w:after="0"/>
        <w:ind w:left="440" w:right="0" w:hanging="440"/>
        <w:jc w:val="left"/>
        <w:textAlignment w:val="auto"/>
        <w:rPr>
          <w:sz w:val="24"/>
        </w:rPr>
      </w:pPr>
      <w:r>
        <w:rPr>
          <w:rFonts w:ascii="宋体" w:hAnsi="宋体" w:eastAsia="宋体" w:cs="宋体"/>
          <w:b w:val="0"/>
          <w:i w:val="0"/>
          <w:spacing w:val="0"/>
          <w:sz w:val="24"/>
        </w:rPr>
        <w:t>定期进行审计和风险评估</w:t>
      </w:r>
    </w:p>
    <w:p w14:paraId="4AB65159">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：敏感数据审计工具可将传统审计时间从数天缩短至数小时，风险识别准确率提升至95%以上。</w:t>
      </w:r>
    </w:p>
    <w:p w14:paraId="5E1F97B0">
      <w:pPr>
        <w:pageBreakBefore w:val="0"/>
        <w:wordWrap/>
        <w:spacing w:before="160" w:after="0"/>
        <w:ind w:left="0" w:right="0"/>
        <w:jc w:val="left"/>
        <w:textAlignment w:val="auto"/>
        <w:rPr>
          <w:sz w:val="28"/>
        </w:rPr>
      </w:pPr>
      <w:r>
        <w:rPr>
          <w:rFonts w:ascii="宋体" w:hAnsi="宋体" w:eastAsia="宋体" w:cs="宋体"/>
          <w:b/>
          <w:i w:val="0"/>
          <w:spacing w:val="0"/>
          <w:sz w:val="28"/>
        </w:rPr>
        <w:t>4.4 风险应对与争议解决</w:t>
      </w:r>
    </w:p>
    <w:p w14:paraId="47343C7C">
      <w:pPr>
        <w:pageBreakBefore w:val="0"/>
        <w:wordWrap/>
        <w:spacing w:before="160" w:after="0"/>
        <w:ind w:left="0" w:right="0"/>
        <w:jc w:val="left"/>
        <w:textAlignment w:val="auto"/>
        <w:rPr>
          <w:sz w:val="24"/>
        </w:rPr>
      </w:pPr>
      <w:r>
        <w:rPr>
          <w:rFonts w:ascii="宋体" w:hAnsi="宋体" w:eastAsia="宋体" w:cs="宋体"/>
          <w:b/>
          <w:i w:val="0"/>
          <w:spacing w:val="0"/>
          <w:sz w:val="24"/>
        </w:rPr>
        <w:t>(1) AI生成内容侵权纠纷</w:t>
      </w:r>
    </w:p>
    <w:p w14:paraId="34A08086">
      <w:pPr>
        <w:pageBreakBefore w:val="0"/>
        <w:wordWrap/>
        <w:spacing w:before="160" w:after="0"/>
        <w:ind w:left="0" w:leftChars="0" w:right="0" w:rightChars="0" w:firstLine="500" w:firstLineChars="0"/>
        <w:jc w:val="left"/>
        <w:textAlignment w:val="auto"/>
        <w:rPr>
          <w:rFonts w:asciiTheme="minorHAnsi" w:hAnsiTheme="minorHAnsi" w:eastAsiaTheme="minorEastAsia" w:cstheme="minorBidi"/>
          <w:sz w:val="21"/>
          <w:szCs w:val="22"/>
        </w:rPr>
      </w:pPr>
      <w:r>
        <w:rPr>
          <w:rFonts w:ascii="宋体" w:hAnsi="宋体" w:eastAsia="宋体" w:cs="宋体"/>
          <w:b/>
          <w:i w:val="0"/>
          <w:spacing w:val="0"/>
          <w:sz w:val="24"/>
          <w:szCs w:val="22"/>
        </w:rPr>
        <w:t>OPC创业者需警惕AI生成内容的侵权风险</w:t>
      </w:r>
      <w:r>
        <w:rPr>
          <w:rFonts w:ascii="宋体" w:hAnsi="宋体" w:eastAsia="宋体" w:cs="宋体"/>
          <w:b w:val="0"/>
          <w:i w:val="0"/>
          <w:spacing w:val="0"/>
          <w:sz w:val="24"/>
          <w:szCs w:val="22"/>
        </w:rPr>
        <w:t>。根据北京互联网法院（2023）京0491民初11279号判决书，AI生成内容需满足"人类智力投入具有独创性"（如提示词设计、参数调整构成创造性劳动）方可认定著作权归属使用者</w:t>
      </w:r>
      <w:r>
        <w:rPr>
          <w:rFonts w:ascii="宋体" w:hAnsi="宋体" w:eastAsia="宋体" w:cs="宋体"/>
          <w:b w:val="0"/>
          <w:i w:val="0"/>
          <w:spacing w:val="0"/>
          <w:sz w:val="24"/>
          <w:szCs w:val="22"/>
          <w:vertAlign w:val="superscript"/>
        </w:rPr>
        <w:t>[3]</w:t>
      </w:r>
      <w:r>
        <w:rPr>
          <w:rFonts w:ascii="宋体" w:hAnsi="宋体" w:eastAsia="宋体" w:cs="宋体"/>
          <w:b w:val="0"/>
          <w:i w:val="0"/>
          <w:spacing w:val="0"/>
          <w:sz w:val="24"/>
          <w:szCs w:val="22"/>
        </w:rPr>
        <w:t>。</w:t>
      </w:r>
    </w:p>
    <w:p w14:paraId="6BBFB607">
      <w:pPr>
        <w:pageBreakBefore w:val="0"/>
        <w:wordWrap/>
        <w:spacing w:before="160" w:after="0"/>
        <w:ind w:left="0" w:right="0"/>
        <w:jc w:val="left"/>
        <w:textAlignment w:val="auto"/>
        <w:rPr>
          <w:sz w:val="24"/>
        </w:rPr>
      </w:pPr>
      <w:r>
        <w:rPr>
          <w:rFonts w:ascii="宋体" w:hAnsi="宋体" w:eastAsia="宋体" w:cs="宋体"/>
          <w:b/>
          <w:i w:val="0"/>
          <w:spacing w:val="0"/>
          <w:sz w:val="24"/>
        </w:rPr>
        <w:t>应对策略</w:t>
      </w:r>
      <w:r>
        <w:rPr>
          <w:rFonts w:ascii="宋体" w:hAnsi="宋体" w:eastAsia="宋体" w:cs="宋体"/>
          <w:b w:val="0"/>
          <w:i w:val="0"/>
          <w:spacing w:val="0"/>
          <w:sz w:val="24"/>
        </w:rPr>
        <w:t>：</w:t>
      </w:r>
    </w:p>
    <w:p w14:paraId="58F590D4">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使用千律合同生成系统，明确标注AI生成内容的"人类智力投入"部分</w:t>
      </w:r>
    </w:p>
    <w:p w14:paraId="0302E8E1">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对AI生成内容进行原创性审查，保留创作过程记录（如提示词修改版本、设计草图等）</w:t>
      </w:r>
    </w:p>
    <w:p w14:paraId="5FEA9BB0">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在合同中加入知识产权归属条款，明确AI生成内容的权属</w:t>
      </w:r>
    </w:p>
    <w:p w14:paraId="3D6F180A">
      <w:pPr>
        <w:pageBreakBefore w:val="0"/>
        <w:wordWrap/>
        <w:spacing w:before="160" w:after="0"/>
        <w:ind w:left="0" w:leftChars="0" w:right="0" w:rightChars="0"/>
        <w:jc w:val="left"/>
        <w:textAlignment w:val="auto"/>
        <w:rPr>
          <w:rFonts w:asciiTheme="minorHAnsi" w:hAnsiTheme="minorHAnsi" w:eastAsiaTheme="minorEastAsia" w:cstheme="minorBidi"/>
          <w:sz w:val="21"/>
          <w:szCs w:val="22"/>
        </w:rPr>
      </w:pPr>
      <w:r>
        <w:rPr>
          <w:rFonts w:ascii="宋体" w:hAnsi="宋体" w:eastAsia="宋体" w:cs="宋体"/>
          <w:b/>
          <w:i w:val="0"/>
          <w:spacing w:val="0"/>
          <w:sz w:val="24"/>
          <w:szCs w:val="22"/>
        </w:rPr>
        <w:t>案例启示</w:t>
      </w:r>
      <w:r>
        <w:rPr>
          <w:rFonts w:ascii="宋体" w:hAnsi="宋体" w:eastAsia="宋体" w:cs="宋体"/>
          <w:b w:val="0"/>
          <w:i w:val="0"/>
          <w:spacing w:val="0"/>
          <w:sz w:val="24"/>
          <w:szCs w:val="22"/>
        </w:rPr>
        <w:t>：常熟法院（2024）苏0581民初6697号判决指出，AI生成作品实体化需满足"人类对表达形式的最终控制"（如修改比例超过30%），否则不构成著作权法意义上的"创作"</w:t>
      </w:r>
      <w:r>
        <w:rPr>
          <w:rFonts w:ascii="宋体" w:hAnsi="宋体" w:eastAsia="宋体" w:cs="宋体"/>
          <w:b w:val="0"/>
          <w:i w:val="0"/>
          <w:spacing w:val="0"/>
          <w:sz w:val="24"/>
          <w:szCs w:val="22"/>
          <w:vertAlign w:val="superscript"/>
        </w:rPr>
        <w:t>[4]</w:t>
      </w:r>
      <w:r>
        <w:rPr>
          <w:rFonts w:ascii="宋体" w:hAnsi="宋体" w:eastAsia="宋体" w:cs="宋体"/>
          <w:b w:val="0"/>
          <w:i w:val="0"/>
          <w:spacing w:val="0"/>
          <w:sz w:val="24"/>
          <w:szCs w:val="22"/>
        </w:rPr>
        <w:t>。</w:t>
      </w:r>
    </w:p>
    <w:p w14:paraId="10432A42">
      <w:pPr>
        <w:pageBreakBefore w:val="0"/>
        <w:wordWrap/>
        <w:spacing w:before="160" w:after="0"/>
        <w:ind w:left="0" w:right="0"/>
        <w:jc w:val="left"/>
        <w:textAlignment w:val="auto"/>
        <w:rPr>
          <w:sz w:val="24"/>
        </w:rPr>
      </w:pPr>
      <w:r>
        <w:rPr>
          <w:rFonts w:ascii="宋体" w:hAnsi="宋体" w:eastAsia="宋体" w:cs="宋体"/>
          <w:b/>
          <w:i w:val="0"/>
          <w:spacing w:val="0"/>
          <w:sz w:val="24"/>
        </w:rPr>
        <w:t>(2) 技术泄露风险</w:t>
      </w:r>
    </w:p>
    <w:p w14:paraId="3EC56E60">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OPC创业者需建立技术泄露的法律追责与预防机制</w:t>
      </w:r>
      <w:r>
        <w:rPr>
          <w:rFonts w:ascii="宋体" w:hAnsi="宋体" w:eastAsia="宋体" w:cs="宋体"/>
          <w:b w:val="0"/>
          <w:i w:val="0"/>
          <w:spacing w:val="0"/>
          <w:sz w:val="24"/>
        </w:rPr>
        <w:t>。根据《商业秘密保护体系》要求，OPC需实施以下措施：</w:t>
      </w:r>
    </w:p>
    <w:p w14:paraId="4556530D">
      <w:pPr>
        <w:pageBreakBefore w:val="0"/>
        <w:numPr>
          <w:ilvl w:val="0"/>
          <w:numId w:val="19"/>
        </w:numPr>
        <w:wordWrap/>
        <w:spacing w:before="160" w:after="0"/>
        <w:ind w:left="440" w:right="0" w:hanging="440"/>
        <w:jc w:val="left"/>
        <w:textAlignment w:val="auto"/>
        <w:rPr>
          <w:sz w:val="24"/>
        </w:rPr>
      </w:pPr>
      <w:r>
        <w:rPr>
          <w:rFonts w:ascii="宋体" w:hAnsi="宋体" w:eastAsia="宋体" w:cs="宋体"/>
          <w:b/>
          <w:i w:val="0"/>
          <w:spacing w:val="0"/>
          <w:sz w:val="24"/>
        </w:rPr>
        <w:t>预防措施</w:t>
      </w:r>
      <w:r>
        <w:rPr>
          <w:rFonts w:ascii="宋体" w:hAnsi="宋体" w:eastAsia="宋体" w:cs="宋体"/>
          <w:b w:val="0"/>
          <w:i w:val="0"/>
          <w:spacing w:val="0"/>
          <w:sz w:val="24"/>
        </w:rPr>
        <w:t>：</w:t>
      </w:r>
    </w:p>
    <w:p w14:paraId="11085549">
      <w:pPr>
        <w:pageBreakBefore w:val="0"/>
        <w:numPr>
          <w:ilvl w:val="1"/>
          <w:numId w:val="20"/>
        </w:numPr>
        <w:wordWrap/>
        <w:spacing w:before="160" w:after="0"/>
        <w:ind w:left="880" w:right="0" w:hanging="440"/>
        <w:jc w:val="left"/>
        <w:textAlignment w:val="auto"/>
        <w:rPr>
          <w:sz w:val="24"/>
        </w:rPr>
      </w:pPr>
      <w:r>
        <w:rPr>
          <w:rFonts w:ascii="宋体" w:hAnsi="宋体" w:eastAsia="宋体" w:cs="宋体"/>
          <w:b w:val="0"/>
          <w:i w:val="0"/>
          <w:spacing w:val="0"/>
          <w:sz w:val="24"/>
        </w:rPr>
        <w:t>使用加密技术保护核心数据</w:t>
      </w:r>
    </w:p>
    <w:p w14:paraId="09409DB7">
      <w:pPr>
        <w:pageBreakBefore w:val="0"/>
        <w:numPr>
          <w:ilvl w:val="1"/>
          <w:numId w:val="20"/>
        </w:numPr>
        <w:wordWrap/>
        <w:spacing w:before="160" w:after="0"/>
        <w:ind w:left="880" w:right="0" w:hanging="440"/>
        <w:jc w:val="left"/>
        <w:textAlignment w:val="auto"/>
        <w:rPr>
          <w:sz w:val="24"/>
        </w:rPr>
      </w:pPr>
      <w:r>
        <w:rPr>
          <w:rFonts w:ascii="宋体" w:hAnsi="宋体" w:eastAsia="宋体" w:cs="宋体"/>
          <w:b w:val="0"/>
          <w:i w:val="0"/>
          <w:spacing w:val="0"/>
          <w:sz w:val="24"/>
        </w:rPr>
        <w:t>配置细粒度权限管理</w:t>
      </w:r>
    </w:p>
    <w:p w14:paraId="313EB867">
      <w:pPr>
        <w:pageBreakBefore w:val="0"/>
        <w:numPr>
          <w:ilvl w:val="1"/>
          <w:numId w:val="20"/>
        </w:numPr>
        <w:wordWrap/>
        <w:spacing w:before="160" w:after="0"/>
        <w:ind w:left="880" w:right="0" w:hanging="440"/>
        <w:jc w:val="left"/>
        <w:textAlignment w:val="auto"/>
        <w:rPr>
          <w:sz w:val="24"/>
        </w:rPr>
      </w:pPr>
      <w:r>
        <w:rPr>
          <w:rFonts w:ascii="宋体" w:hAnsi="宋体" w:eastAsia="宋体" w:cs="宋体"/>
          <w:b w:val="0"/>
          <w:i w:val="0"/>
          <w:spacing w:val="0"/>
          <w:sz w:val="24"/>
        </w:rPr>
        <w:t>建立数据使用审批流程</w:t>
      </w:r>
    </w:p>
    <w:p w14:paraId="7F7D2026">
      <w:pPr>
        <w:pageBreakBefore w:val="0"/>
        <w:numPr>
          <w:ilvl w:val="0"/>
          <w:numId w:val="19"/>
        </w:numPr>
        <w:wordWrap/>
        <w:spacing w:before="160" w:after="0"/>
        <w:ind w:left="440" w:right="0" w:hanging="440"/>
        <w:jc w:val="left"/>
        <w:textAlignment w:val="auto"/>
        <w:rPr>
          <w:sz w:val="24"/>
        </w:rPr>
      </w:pPr>
      <w:r>
        <w:rPr>
          <w:rFonts w:ascii="宋体" w:hAnsi="宋体" w:eastAsia="宋体" w:cs="宋体"/>
          <w:b/>
          <w:i w:val="0"/>
          <w:spacing w:val="0"/>
          <w:sz w:val="24"/>
        </w:rPr>
        <w:t>追责措施</w:t>
      </w:r>
      <w:r>
        <w:rPr>
          <w:rFonts w:ascii="宋体" w:hAnsi="宋体" w:eastAsia="宋体" w:cs="宋体"/>
          <w:b w:val="0"/>
          <w:i w:val="0"/>
          <w:spacing w:val="0"/>
          <w:sz w:val="24"/>
        </w:rPr>
        <w:t>：</w:t>
      </w:r>
    </w:p>
    <w:p w14:paraId="2960BF82">
      <w:pPr>
        <w:pageBreakBefore w:val="0"/>
        <w:numPr>
          <w:ilvl w:val="1"/>
          <w:numId w:val="21"/>
        </w:numPr>
        <w:wordWrap/>
        <w:spacing w:before="160" w:after="0"/>
        <w:ind w:left="880" w:right="0" w:hanging="440"/>
        <w:jc w:val="left"/>
        <w:textAlignment w:val="auto"/>
        <w:rPr>
          <w:sz w:val="24"/>
        </w:rPr>
      </w:pPr>
      <w:r>
        <w:rPr>
          <w:rFonts w:ascii="宋体" w:hAnsi="宋体" w:eastAsia="宋体" w:cs="宋体"/>
          <w:b w:val="0"/>
          <w:i w:val="0"/>
          <w:spacing w:val="0"/>
          <w:sz w:val="24"/>
        </w:rPr>
        <w:t>保留侵权证据链（如访问日志、操作记录等）</w:t>
      </w:r>
    </w:p>
    <w:p w14:paraId="06E40E7B">
      <w:pPr>
        <w:pageBreakBefore w:val="0"/>
        <w:numPr>
          <w:ilvl w:val="1"/>
          <w:numId w:val="21"/>
        </w:numPr>
        <w:wordWrap/>
        <w:spacing w:before="160" w:after="0"/>
        <w:ind w:left="880" w:right="0" w:hanging="440"/>
        <w:jc w:val="left"/>
        <w:textAlignment w:val="auto"/>
        <w:rPr>
          <w:sz w:val="24"/>
        </w:rPr>
      </w:pPr>
      <w:r>
        <w:rPr>
          <w:rFonts w:ascii="宋体" w:hAnsi="宋体" w:eastAsia="宋体" w:cs="宋体"/>
          <w:b w:val="0"/>
          <w:i w:val="0"/>
          <w:spacing w:val="0"/>
          <w:sz w:val="24"/>
        </w:rPr>
        <w:t>申请商业秘密保护官认证（CCRC-TSPO）</w:t>
      </w:r>
    </w:p>
    <w:p w14:paraId="2D6847B8">
      <w:pPr>
        <w:pageBreakBefore w:val="0"/>
        <w:numPr>
          <w:ilvl w:val="1"/>
          <w:numId w:val="21"/>
        </w:numPr>
        <w:wordWrap/>
        <w:spacing w:before="160" w:after="0"/>
        <w:ind w:left="880" w:right="0" w:hanging="440"/>
        <w:jc w:val="left"/>
        <w:textAlignment w:val="auto"/>
        <w:rPr>
          <w:sz w:val="24"/>
        </w:rPr>
      </w:pPr>
      <w:r>
        <w:rPr>
          <w:rFonts w:ascii="宋体" w:hAnsi="宋体" w:eastAsia="宋体" w:cs="宋体"/>
          <w:b w:val="0"/>
          <w:i w:val="0"/>
          <w:spacing w:val="0"/>
          <w:sz w:val="24"/>
        </w:rPr>
        <w:t>通过法律途径维权，如向市场监管部门举报或提起诉讼</w:t>
      </w:r>
    </w:p>
    <w:p w14:paraId="3B0690B1">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：数据安全工具可将技术泄露风险降低92%，同时通过自动化工具（如VeraCrypt）实现一键加密，操作时间从数小时缩短至数分钟  。</w:t>
      </w:r>
    </w:p>
    <w:p w14:paraId="4D0D5F40">
      <w:pPr>
        <w:pageBreakBefore w:val="0"/>
        <w:wordWrap/>
        <w:spacing w:before="160" w:after="0"/>
        <w:ind w:left="0" w:right="0"/>
        <w:jc w:val="left"/>
        <w:textAlignment w:val="auto"/>
        <w:rPr>
          <w:sz w:val="24"/>
        </w:rPr>
      </w:pPr>
      <w:r>
        <w:rPr>
          <w:rFonts w:ascii="宋体" w:hAnsi="宋体" w:eastAsia="宋体" w:cs="宋体"/>
          <w:b/>
          <w:i w:val="0"/>
          <w:spacing w:val="0"/>
          <w:sz w:val="24"/>
        </w:rPr>
        <w:t>(3) 合同风险规避</w:t>
      </w:r>
    </w:p>
    <w:p w14:paraId="036279CF">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OPC创业者需建立合同风险防范机制</w:t>
      </w:r>
      <w:r>
        <w:rPr>
          <w:rFonts w:ascii="宋体" w:hAnsi="宋体" w:eastAsia="宋体" w:cs="宋体"/>
          <w:b w:val="0"/>
          <w:i w:val="0"/>
          <w:spacing w:val="0"/>
          <w:sz w:val="24"/>
          <w:szCs w:val="22"/>
        </w:rPr>
        <w:t>。千律智能合同生成系统通过"双闭环"模型（流程风险+内容风险）确保合同可靠性</w:t>
      </w:r>
      <w:r>
        <w:rPr>
          <w:rFonts w:ascii="宋体" w:hAnsi="宋体" w:eastAsia="宋体" w:cs="宋体"/>
          <w:b w:val="0"/>
          <w:i w:val="0"/>
          <w:spacing w:val="0"/>
          <w:sz w:val="24"/>
          <w:szCs w:val="22"/>
          <w:vertAlign w:val="superscript"/>
        </w:rPr>
        <w:t>[5]</w:t>
      </w:r>
      <w:r>
        <w:rPr>
          <w:rFonts w:ascii="宋体" w:hAnsi="宋体" w:eastAsia="宋体" w:cs="宋体"/>
          <w:b w:val="0"/>
          <w:i w:val="0"/>
          <w:spacing w:val="0"/>
          <w:sz w:val="24"/>
          <w:szCs w:val="22"/>
        </w:rPr>
        <w:t>。</w:t>
      </w:r>
    </w:p>
    <w:p w14:paraId="610DF67C">
      <w:pPr>
        <w:pageBreakBefore w:val="0"/>
        <w:wordWrap/>
        <w:spacing w:before="160" w:after="0"/>
        <w:ind w:left="0" w:right="0"/>
        <w:jc w:val="left"/>
        <w:textAlignment w:val="auto"/>
        <w:rPr>
          <w:sz w:val="24"/>
        </w:rPr>
      </w:pPr>
      <w:r>
        <w:rPr>
          <w:rFonts w:ascii="宋体" w:hAnsi="宋体" w:eastAsia="宋体" w:cs="宋体"/>
          <w:b/>
          <w:i w:val="0"/>
          <w:spacing w:val="0"/>
          <w:sz w:val="24"/>
        </w:rPr>
        <w:t>实操方法</w:t>
      </w:r>
      <w:r>
        <w:rPr>
          <w:rFonts w:ascii="宋体" w:hAnsi="宋体" w:eastAsia="宋体" w:cs="宋体"/>
          <w:b w:val="0"/>
          <w:i w:val="0"/>
          <w:spacing w:val="0"/>
          <w:sz w:val="24"/>
        </w:rPr>
        <w:t>：</w:t>
      </w:r>
    </w:p>
    <w:p w14:paraId="31E0EF66">
      <w:pPr>
        <w:pageBreakBefore w:val="0"/>
        <w:numPr>
          <w:ilvl w:val="0"/>
          <w:numId w:val="22"/>
        </w:numPr>
        <w:wordWrap/>
        <w:spacing w:before="160" w:after="0"/>
        <w:ind w:left="440" w:right="0" w:hanging="440"/>
        <w:jc w:val="left"/>
        <w:textAlignment w:val="auto"/>
        <w:rPr>
          <w:sz w:val="24"/>
        </w:rPr>
      </w:pPr>
      <w:r>
        <w:rPr>
          <w:rFonts w:ascii="宋体" w:hAnsi="宋体" w:eastAsia="宋体" w:cs="宋体"/>
          <w:b w:val="0"/>
          <w:i w:val="0"/>
          <w:spacing w:val="0"/>
          <w:sz w:val="24"/>
        </w:rPr>
        <w:t>使用千律合同生成系统，选择合适的合同模板</w:t>
      </w:r>
    </w:p>
    <w:p w14:paraId="7531F280">
      <w:pPr>
        <w:pageBreakBefore w:val="0"/>
        <w:numPr>
          <w:ilvl w:val="0"/>
          <w:numId w:val="22"/>
        </w:numPr>
        <w:wordWrap/>
        <w:spacing w:before="160" w:after="0"/>
        <w:ind w:left="440" w:right="0" w:hanging="440"/>
        <w:jc w:val="left"/>
        <w:textAlignment w:val="auto"/>
        <w:rPr>
          <w:sz w:val="24"/>
        </w:rPr>
      </w:pPr>
      <w:r>
        <w:rPr>
          <w:rFonts w:ascii="宋体" w:hAnsi="宋体" w:eastAsia="宋体" w:cs="宋体"/>
          <w:b w:val="0"/>
          <w:i w:val="0"/>
          <w:spacing w:val="0"/>
          <w:sz w:val="24"/>
        </w:rPr>
        <w:t>输入关键信息（如技术描述、转让价格等）</w:t>
      </w:r>
    </w:p>
    <w:p w14:paraId="793DD6F1">
      <w:pPr>
        <w:pageBreakBefore w:val="0"/>
        <w:numPr>
          <w:ilvl w:val="0"/>
          <w:numId w:val="22"/>
        </w:numPr>
        <w:wordWrap/>
        <w:spacing w:before="160" w:after="0"/>
        <w:ind w:left="440" w:right="0" w:hanging="440"/>
        <w:jc w:val="left"/>
        <w:textAlignment w:val="auto"/>
        <w:rPr>
          <w:sz w:val="24"/>
        </w:rPr>
      </w:pPr>
      <w:r>
        <w:rPr>
          <w:rFonts w:ascii="宋体" w:hAnsi="宋体" w:eastAsia="宋体" w:cs="宋体"/>
          <w:b w:val="0"/>
          <w:i w:val="0"/>
          <w:spacing w:val="0"/>
          <w:sz w:val="24"/>
        </w:rPr>
        <w:t>AI自动生成合同文本，标注风险点</w:t>
      </w:r>
    </w:p>
    <w:p w14:paraId="19EB01C9">
      <w:pPr>
        <w:pageBreakBefore w:val="0"/>
        <w:numPr>
          <w:ilvl w:val="0"/>
          <w:numId w:val="22"/>
        </w:numPr>
        <w:wordWrap/>
        <w:spacing w:before="160" w:after="0"/>
        <w:ind w:left="440" w:right="0" w:hanging="440"/>
        <w:jc w:val="left"/>
        <w:textAlignment w:val="auto"/>
        <w:rPr>
          <w:sz w:val="24"/>
        </w:rPr>
      </w:pPr>
      <w:r>
        <w:rPr>
          <w:rFonts w:ascii="宋体" w:hAnsi="宋体" w:eastAsia="宋体" w:cs="宋体"/>
          <w:b w:val="0"/>
          <w:i w:val="0"/>
          <w:spacing w:val="0"/>
          <w:sz w:val="24"/>
        </w:rPr>
        <w:t>人工审核并修改，确保合同条款符合业务需求</w:t>
      </w:r>
    </w:p>
    <w:p w14:paraId="145B3474">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千律智能合同生成系统基于2024年10万份技术转移合同样本训练，在软件开发合同、专利许可合同场景中条款风险提示准确率达96.8%，但复杂跨境合同需人工复核。该系统将传统合同起草时间从数小时缩短至数分钟</w:t>
      </w:r>
      <w:r>
        <w:rPr>
          <w:rFonts w:ascii="宋体" w:hAnsi="宋体" w:eastAsia="宋体" w:cs="宋体"/>
          <w:b w:val="0"/>
          <w:i w:val="0"/>
          <w:spacing w:val="0"/>
          <w:sz w:val="24"/>
          <w:szCs w:val="22"/>
          <w:vertAlign w:val="superscript"/>
        </w:rPr>
        <w:t>[5]</w:t>
      </w:r>
      <w:r>
        <w:rPr>
          <w:rFonts w:ascii="宋体" w:hAnsi="宋体" w:eastAsia="宋体" w:cs="宋体"/>
          <w:b w:val="0"/>
          <w:i w:val="0"/>
          <w:spacing w:val="0"/>
          <w:sz w:val="24"/>
          <w:szCs w:val="22"/>
        </w:rPr>
        <w:t>。</w:t>
      </w:r>
    </w:p>
    <w:p w14:paraId="487A3792">
      <w:pPr>
        <w:pageBreakBefore w:val="0"/>
        <w:wordWrap/>
        <w:spacing w:before="160" w:after="0"/>
        <w:ind w:left="0" w:leftChars="0" w:right="0" w:rightChars="0"/>
        <w:jc w:val="left"/>
        <w:textAlignment w:val="auto"/>
        <w:rPr>
          <w:rFonts w:ascii="宋体" w:hAnsi="宋体" w:eastAsia="宋体" w:cs="宋体"/>
          <w:b w:val="0"/>
          <w:i w:val="0"/>
          <w:spacing w:val="0"/>
          <w:sz w:val="24"/>
          <w:szCs w:val="22"/>
        </w:rPr>
      </w:pPr>
    </w:p>
    <w:p w14:paraId="1A649D18">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参考文献</w:t>
      </w:r>
    </w:p>
    <w:p w14:paraId="7180A2B8">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[1] 财政部 税务总局. 关于进一步实施小微企业所得税优惠政策的公告（2025年第10号）[Z]. 2025.</w:t>
      </w:r>
    </w:p>
    <w:p w14:paraId="5EA4EC6E">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[2] 苏州工业园区管理委员会. 关于加快打造全球领先的人工智能OPC创业首选区的若干措施（苏园管〔2025〕12号）[Z]. 2025.</w:t>
      </w:r>
    </w:p>
    <w:p w14:paraId="16C6D5EF">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[3] 北京互联网法院. AI生成内容著作权纠纷案（2023）京0491民初11279号[C]. 2023.</w:t>
      </w:r>
    </w:p>
    <w:p w14:paraId="1876B477">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[4] 常熟法院. AI生成图侵权案（2024）苏0581民初6697号[C]. 2024.</w:t>
      </w:r>
    </w:p>
    <w:p w14:paraId="5130EB1B">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[5] 千律科技. 2024 AI合同审查系统技术白皮书[R]. 2024.</w:t>
      </w:r>
    </w:p>
    <w:p w14:paraId="5B094856">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[6] 智慧芽. 2024 AI专利检索白皮书[R]. 2024.</w:t>
      </w:r>
    </w:p>
    <w:p w14:paraId="59635B5B">
      <w:pPr>
        <w:pageBreakBefore w:val="0"/>
        <w:wordWrap/>
        <w:spacing w:before="160" w:after="0"/>
        <w:ind w:left="0" w:right="0"/>
        <w:jc w:val="left"/>
        <w:textAlignment w:val="auto"/>
        <w:rPr>
          <w:rFonts w:ascii="宋体" w:hAnsi="宋体" w:eastAsia="宋体" w:cs="宋体"/>
          <w:b w:val="0"/>
          <w:i w:val="0"/>
          <w:spacing w:val="0"/>
          <w:sz w:val="24"/>
        </w:rPr>
      </w:pP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6735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26E8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9C8AC8EF"/>
    <w:multiLevelType w:val="multilevel"/>
    <w:tmpl w:val="9C8AC8E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B5E306ED"/>
    <w:multiLevelType w:val="multilevel"/>
    <w:tmpl w:val="B5E306E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BF205925"/>
    <w:multiLevelType w:val="multilevel"/>
    <w:tmpl w:val="BF20592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C8879AEF"/>
    <w:multiLevelType w:val="multilevel"/>
    <w:tmpl w:val="C8879AE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CF092B84"/>
    <w:multiLevelType w:val="multilevel"/>
    <w:tmpl w:val="CF092B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D7F9FE59"/>
    <w:multiLevelType w:val="multilevel"/>
    <w:tmpl w:val="D7F9FE5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DCBA6B53"/>
    <w:multiLevelType w:val="multilevel"/>
    <w:tmpl w:val="DCBA6B5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0053208E"/>
    <w:multiLevelType w:val="multilevel"/>
    <w:tmpl w:val="0053208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0248C179"/>
    <w:multiLevelType w:val="multilevel"/>
    <w:tmpl w:val="0248C1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03D62ECE"/>
    <w:multiLevelType w:val="multilevel"/>
    <w:tmpl w:val="03D62EC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0E640482"/>
    <w:multiLevelType w:val="multilevel"/>
    <w:tmpl w:val="0E64048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2470EC97"/>
    <w:multiLevelType w:val="multilevel"/>
    <w:tmpl w:val="2470EC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25B654F3"/>
    <w:multiLevelType w:val="multilevel"/>
    <w:tmpl w:val="25B654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2A8F537B"/>
    <w:multiLevelType w:val="multilevel"/>
    <w:tmpl w:val="2A8F537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46A08BB8"/>
    <w:multiLevelType w:val="multilevel"/>
    <w:tmpl w:val="46A08BB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4C1BAE26"/>
    <w:multiLevelType w:val="multilevel"/>
    <w:tmpl w:val="4C1BAE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4D4DC07F"/>
    <w:multiLevelType w:val="multilevel"/>
    <w:tmpl w:val="4D4DC07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9ADCABA"/>
    <w:multiLevelType w:val="multilevel"/>
    <w:tmpl w:val="59ADCAB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A241D34"/>
    <w:multiLevelType w:val="multilevel"/>
    <w:tmpl w:val="5A241D3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60382F6E"/>
    <w:multiLevelType w:val="multilevel"/>
    <w:tmpl w:val="60382F6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72183CF9"/>
    <w:multiLevelType w:val="multilevel"/>
    <w:tmpl w:val="72183CF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5"/>
  </w:num>
  <w:num w:numId="3">
    <w:abstractNumId w:val="18"/>
  </w:num>
  <w:num w:numId="4">
    <w:abstractNumId w:val="3"/>
  </w:num>
  <w:num w:numId="5">
    <w:abstractNumId w:val="2"/>
  </w:num>
  <w:num w:numId="6">
    <w:abstractNumId w:val="10"/>
  </w:num>
  <w:num w:numId="7">
    <w:abstractNumId w:val="13"/>
  </w:num>
  <w:num w:numId="8">
    <w:abstractNumId w:val="21"/>
  </w:num>
  <w:num w:numId="9">
    <w:abstractNumId w:val="9"/>
  </w:num>
  <w:num w:numId="10">
    <w:abstractNumId w:val="0"/>
  </w:num>
  <w:num w:numId="11">
    <w:abstractNumId w:val="14"/>
  </w:num>
  <w:num w:numId="12">
    <w:abstractNumId w:val="19"/>
  </w:num>
  <w:num w:numId="13">
    <w:abstractNumId w:val="4"/>
  </w:num>
  <w:num w:numId="14">
    <w:abstractNumId w:val="12"/>
  </w:num>
  <w:num w:numId="15">
    <w:abstractNumId w:val="17"/>
  </w:num>
  <w:num w:numId="16">
    <w:abstractNumId w:val="7"/>
  </w:num>
  <w:num w:numId="17">
    <w:abstractNumId w:val="6"/>
  </w:num>
  <w:num w:numId="18">
    <w:abstractNumId w:val="1"/>
  </w:num>
  <w:num w:numId="19">
    <w:abstractNumId w:val="16"/>
  </w:num>
  <w:num w:numId="20">
    <w:abstractNumId w:val="20"/>
  </w:num>
  <w:num w:numId="21">
    <w:abstractNumId w:val="1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7"/>
  <w:documentProtection w:enforcement="0"/>
  <w:compat>
    <w:ulTrailSpace/>
    <w:useFELayout/>
    <w:compatSetting w:name="compatibilityMode" w:uri="http://schemas.microsoft.com/office/word" w:val="15"/>
  </w:compat>
  <w:rsids>
    <w:rsidRoot w:val="00000000"/>
    <w:rsid w:val="026F4181"/>
    <w:rsid w:val="77090B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3975</Words>
  <Characters>4378</Characters>
  <TotalTime>24</TotalTime>
  <ScaleCrop>false</ScaleCrop>
  <LinksUpToDate>false</LinksUpToDate>
  <CharactersWithSpaces>4442</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2026-01-07T05:02:00Z</dcterms:created>
  <dc:creator>Apache POI</dc:creator>
  <cp:lastModifiedBy>左笔方寸有AI</cp:lastModifiedBy>
  <dcterms:modified xsi:type="dcterms:W3CDTF">2026-03-31T06:24:49Z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TGI3TgYN6jhotb6w9Zcd9ZdctgS5JCCf5tyJwS/M2es=","ProduceID":"doc_sgs:00fa62f3-1d62-494c-96e5-ff5e0934f7ae","ReservedCode2":"TGI3TgYN6jhotb6w9Zcd9ZdctgS5JCCf5tyJwS/M2es=","PropagateID":"doc_sgs:00fa62f3-1d62-494c-96e5-ff5e0934f7ae","ContentProducer":"001191440101MA9Y9T4H7A00000"}</vt:lpwstr>
  </property>
  <property fmtid="{D5CDD505-2E9C-101B-9397-08002B2CF9AE}" pid="3" name="KSOTemplateDocerSaveRecord">
    <vt:lpwstr>eyJoZGlkIjoiODY3YjA1NmUyMjVkZTE1N2YzNjBhNGMyZmE2YzBlNDgiLCJ1c2VySWQiOiIxNjc2MTQ0NTQifQ==</vt:lpwstr>
  </property>
  <property fmtid="{D5CDD505-2E9C-101B-9397-08002B2CF9AE}" pid="4" name="KSOProductBuildVer">
    <vt:lpwstr>2052-12.1.0.25222</vt:lpwstr>
  </property>
  <property fmtid="{D5CDD505-2E9C-101B-9397-08002B2CF9AE}" pid="5" name="ICV">
    <vt:lpwstr>56EBC027245145309C7F4FB4C3670206_12</vt:lpwstr>
  </property>
</Properties>
</file>