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6F96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6"/>
          <w:szCs w:val="36"/>
        </w:rPr>
      </w:pPr>
      <w:r>
        <w:rPr>
          <w:rFonts w:ascii="Arial" w:hAnsi="Arial" w:eastAsia="等线" w:cs="Arial"/>
          <w:b/>
          <w:sz w:val="36"/>
          <w:szCs w:val="36"/>
        </w:rPr>
        <w:t>OpenClaw 技术转移OPC全链路智能运营平台</w:t>
      </w:r>
    </w:p>
    <w:p w14:paraId="02003404">
      <w:pPr>
        <w:spacing w:before="480" w:after="480" w:line="288" w:lineRule="auto"/>
        <w:ind w:left="0"/>
        <w:jc w:val="center"/>
        <w:rPr>
          <w:sz w:val="36"/>
          <w:szCs w:val="36"/>
        </w:rPr>
      </w:pPr>
      <w:r>
        <w:rPr>
          <w:rFonts w:ascii="Arial" w:hAnsi="Arial" w:eastAsia="等线" w:cs="Arial"/>
          <w:b/>
          <w:sz w:val="36"/>
          <w:szCs w:val="36"/>
        </w:rPr>
        <w:t>（基于NVIDIA Nemo Claw本地化部署）</w:t>
      </w:r>
    </w:p>
    <w:p w14:paraId="4A6EB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文档版本：V1.0</w:t>
      </w:r>
    </w:p>
    <w:p w14:paraId="135F9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编写日期：2026年03月31日</w:t>
      </w:r>
    </w:p>
    <w:p w14:paraId="0CF02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编写依据：《AI赋能技术转移OPC运营实操》核心内容体系</w:t>
      </w:r>
    </w:p>
    <w:p w14:paraId="685E0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核心技术底座：NVIDIA Nemo Claw 多智能体框架</w:t>
      </w:r>
    </w:p>
    <w:p w14:paraId="7C72FC2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修订记录</w:t>
      </w:r>
      <w:bookmarkEnd w:id="0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0"/>
        <w:gridCol w:w="1342"/>
        <w:gridCol w:w="5119"/>
        <w:gridCol w:w="909"/>
      </w:tblGrid>
      <w:tr w14:paraId="64E3D1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E2E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3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671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修订日期</w:t>
            </w:r>
          </w:p>
        </w:tc>
        <w:tc>
          <w:tcPr>
            <w:tcW w:w="5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2FD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修订内容</w:t>
            </w:r>
          </w:p>
        </w:tc>
        <w:tc>
          <w:tcPr>
            <w:tcW w:w="9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136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修订人</w:t>
            </w:r>
          </w:p>
        </w:tc>
      </w:tr>
      <w:tr w14:paraId="5B01B7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292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B9F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2026.03.31</w:t>
            </w:r>
          </w:p>
        </w:tc>
        <w:tc>
          <w:tcPr>
            <w:tcW w:w="5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544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完成PRD初稿，覆盖全流程核心需求、架构设计、落地计划</w:t>
            </w:r>
          </w:p>
        </w:tc>
        <w:tc>
          <w:tcPr>
            <w:tcW w:w="9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D91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产品组</w:t>
            </w:r>
          </w:p>
        </w:tc>
      </w:tr>
    </w:tbl>
    <w:p w14:paraId="595AD5A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990B8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一、产品概述</w:t>
      </w:r>
      <w:bookmarkEnd w:id="1"/>
    </w:p>
    <w:p w14:paraId="76758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OpenClaw 是一套</w:t>
      </w:r>
      <w:r>
        <w:rPr>
          <w:rFonts w:ascii="Arial" w:hAnsi="Arial" w:eastAsia="等线" w:cs="Arial"/>
          <w:b/>
          <w:sz w:val="22"/>
        </w:rPr>
        <w:t>基于NVIDIA Nemo Claw框架本地化部署的、面向技术转移OPC（一人公司）全链路运营的多智能体协同平台</w:t>
      </w:r>
      <w:r>
        <w:rPr>
          <w:rFonts w:ascii="Arial" w:hAnsi="Arial" w:eastAsia="等线" w:cs="Arial"/>
          <w:sz w:val="22"/>
        </w:rPr>
        <w:t>。</w:t>
      </w:r>
    </w:p>
    <w:p w14:paraId="13927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产品深度贴合《AI赋能技术转移OPC运营实操》的核心方法论，以「单人牵头、AI赋能、全链闭环、本地可控」为核心设计理念，通过Nemo Claw的低代码智能体编排、多模态处理、工具集成、本地化隐私计算等核心能力，为OPC创业者提供覆盖</w:t>
      </w:r>
      <w:r>
        <w:rPr>
          <w:rFonts w:ascii="Arial" w:hAnsi="Arial" w:eastAsia="等线" w:cs="Arial"/>
          <w:b/>
          <w:sz w:val="22"/>
        </w:rPr>
        <w:t>技术发现与评估、需求匹配与对接、技术开发与优化、商业化与推广、法律合规与知识产权保护</w:t>
      </w:r>
      <w:r>
        <w:rPr>
          <w:rFonts w:ascii="Arial" w:hAnsi="Arial" w:eastAsia="等线" w:cs="Arial"/>
          <w:sz w:val="22"/>
        </w:rPr>
        <w:t>技术转移全流程的一站式智能运营解决方案，最终实现「把公司开在笔记本里，把生意跑在本地化安全环境中」的轻资产创业目标。</w:t>
      </w:r>
    </w:p>
    <w:p w14:paraId="0E6C593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二、需求背景</w:t>
      </w:r>
      <w:bookmarkEnd w:id="2"/>
    </w:p>
    <w:p w14:paraId="1507FF2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市场痛点</w:t>
      </w:r>
      <w:bookmarkEnd w:id="3"/>
    </w:p>
    <w:p w14:paraId="0B44A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结合《AI赋能技术转移OPC运营实操》核心调研结论，当前技术转移OPC创业面临核心痛点如下：</w:t>
      </w:r>
    </w:p>
    <w:p w14:paraId="6AF835B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全流程工具碎片化</w:t>
      </w:r>
      <w:r>
        <w:rPr>
          <w:rFonts w:ascii="Arial" w:hAnsi="Arial" w:eastAsia="等线" w:cs="Arial"/>
          <w:sz w:val="22"/>
        </w:rPr>
        <w:t>：技术转移各环节工具分散，数据不互通，OPC创业者需在多个平台间切换，学习成本高、协同效率低，无法形成闭环运营；</w:t>
      </w:r>
    </w:p>
    <w:p w14:paraId="7976529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数据安全与合规风险高</w:t>
      </w:r>
      <w:r>
        <w:rPr>
          <w:rFonts w:ascii="Arial" w:hAnsi="Arial" w:eastAsia="等线" w:cs="Arial"/>
          <w:sz w:val="22"/>
        </w:rPr>
        <w:t>：技术转移涉及未公开专利、商业秘密、企业核心需求、涉密合同等敏感信息，云端SaaS工具存在数据泄露风险，不符合《数据安全法》《知识产权法》相关要求；</w:t>
      </w:r>
    </w:p>
    <w:p w14:paraId="7A76CDF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标准化能力与个性化需求不匹配</w:t>
      </w:r>
      <w:r>
        <w:rPr>
          <w:rFonts w:ascii="Arial" w:hAnsi="Arial" w:eastAsia="等线" w:cs="Arial"/>
          <w:sz w:val="22"/>
        </w:rPr>
        <w:t>：通用型AI工具无法适配技术转移垂直场景的专业需求，OPC创业者难以通过通用工具完成专业的专利评估、技术匹配、合规风控等工作；</w:t>
      </w:r>
    </w:p>
    <w:p w14:paraId="135F054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多角色协同能力缺失</w:t>
      </w:r>
      <w:r>
        <w:rPr>
          <w:rFonts w:ascii="Arial" w:hAnsi="Arial" w:eastAsia="等线" w:cs="Arial"/>
          <w:sz w:val="22"/>
        </w:rPr>
        <w:t>：OPC「一人一部门」的架构要求创始人同时承担技术、市场、法务、运营等多角色，传统工具无法实现多职能场景的智能体协同，难以突破单人能力边界。</w:t>
      </w:r>
    </w:p>
    <w:p w14:paraId="375E460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2.2 技术选型依据</w:t>
      </w:r>
      <w:bookmarkEnd w:id="4"/>
    </w:p>
    <w:p w14:paraId="38F08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选择NVIDIA Nemo Claw作为核心技术底座，核心适配性如下：</w:t>
      </w:r>
    </w:p>
    <w:p w14:paraId="4BDC61E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原生支持多智能体协同编排</w:t>
      </w:r>
      <w:r>
        <w:rPr>
          <w:rFonts w:ascii="Arial" w:hAnsi="Arial" w:eastAsia="等线" w:cs="Arial"/>
          <w:sz w:val="22"/>
        </w:rPr>
        <w:t>：可低代码搭建技术转移全流程专属智能体集群，完美匹配OPC「一人一部门」的架构需求，实现单人管控多智能体协同作业；</w:t>
      </w:r>
    </w:p>
    <w:p w14:paraId="76C527C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本地化部署能力</w:t>
      </w:r>
      <w:r>
        <w:rPr>
          <w:rFonts w:ascii="Arial" w:hAnsi="Arial" w:eastAsia="等线" w:cs="Arial"/>
          <w:sz w:val="22"/>
        </w:rPr>
        <w:t>：支持全量功能本地化私有化部署，数据全程不出本地环境，彻底解决技术转移场景的知识产权、商业数据隐私安全问题；</w:t>
      </w:r>
    </w:p>
    <w:p w14:paraId="14A7A64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企业级工具集成与扩展</w:t>
      </w:r>
      <w:r>
        <w:rPr>
          <w:rFonts w:ascii="Arial" w:hAnsi="Arial" w:eastAsia="等线" w:cs="Arial"/>
          <w:sz w:val="22"/>
        </w:rPr>
        <w:t>：原生支持API、第三方工具、自研插件的无缝集成，可快速对接技术转移场景的专利检索、代码生成、合同审核、营销推广等专业工具；</w:t>
      </w:r>
    </w:p>
    <w:p w14:paraId="4CE2E32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NVIDIA AI生态全链路适配</w:t>
      </w:r>
      <w:r>
        <w:rPr>
          <w:rFonts w:ascii="Arial" w:hAnsi="Arial" w:eastAsia="等线" w:cs="Arial"/>
          <w:sz w:val="22"/>
        </w:rPr>
        <w:t>：兼容NVIDIA全系列GPU硬件，支持大模型本地化微调、RAG知识库增强、多模态处理、仿真模拟等核心能力，覆盖技术转移全场景技术需求；</w:t>
      </w:r>
    </w:p>
    <w:p w14:paraId="312BA81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生产级高可用与安全管控</w:t>
      </w:r>
      <w:r>
        <w:rPr>
          <w:rFonts w:ascii="Arial" w:hAnsi="Arial" w:eastAsia="等线" w:cs="Arial"/>
          <w:sz w:val="22"/>
        </w:rPr>
        <w:t>：提供细粒度权限管理、加密存储、审计日志等能力，符合技术转移场景的合规管控要求。</w:t>
      </w:r>
    </w:p>
    <w:p w14:paraId="5EA7B3E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三、产品目标与核心价值</w:t>
      </w:r>
      <w:bookmarkEnd w:id="5"/>
    </w:p>
    <w:p w14:paraId="3894F2C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核心目标</w:t>
      </w:r>
      <w:bookmarkEnd w:id="6"/>
    </w:p>
    <w:p w14:paraId="1691BD7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短期目标（3个月）</w:t>
      </w:r>
      <w:r>
        <w:rPr>
          <w:rFonts w:ascii="Arial" w:hAnsi="Arial" w:eastAsia="等线" w:cs="Arial"/>
          <w:sz w:val="22"/>
        </w:rPr>
        <w:t>：完成基于Nemo Claw的OpenClaw平台本地化版本开发，覆盖技术转移5大核心环节的全链路功能，实现核心流程闭环，核心效率指标达到《AI赋能技术转移OPC运营实操》中的行业基准；</w:t>
      </w:r>
    </w:p>
    <w:p w14:paraId="6991D9E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中期目标（6个月）</w:t>
      </w:r>
      <w:r>
        <w:rPr>
          <w:rFonts w:ascii="Arial" w:hAnsi="Arial" w:eastAsia="等线" w:cs="Arial"/>
          <w:sz w:val="22"/>
        </w:rPr>
        <w:t>：完成垂直场景知识库构建与模型微调，实现OPC全流程业务的智能化率≥80%，适配国内技术转移政策与合规要求，可支撑1000+OPC创业者本地化部署使用；</w:t>
      </w:r>
    </w:p>
    <w:p w14:paraId="6467FFB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长期目标（12个月）</w:t>
      </w:r>
      <w:r>
        <w:rPr>
          <w:rFonts w:ascii="Arial" w:hAnsi="Arial" w:eastAsia="等线" w:cs="Arial"/>
          <w:sz w:val="22"/>
        </w:rPr>
        <w:t>：打造技术转移OPC垂直领域的标准化智能运营平台，形成「平台+工具+生态」的完整体系，支持OPC从轻量化创业向规模化转型，成为国内AI赋能技术转移OPC的标杆性基础设施。</w:t>
      </w:r>
    </w:p>
    <w:p w14:paraId="3B892F6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 核心价值</w:t>
      </w:r>
      <w:bookmarkEnd w:id="7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8"/>
        <w:gridCol w:w="4275"/>
        <w:gridCol w:w="2907"/>
      </w:tblGrid>
      <w:tr w14:paraId="69B43E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C49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价值维度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4A6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核心落地价值</w:t>
            </w:r>
          </w:p>
        </w:tc>
        <w:tc>
          <w:tcPr>
            <w:tcW w:w="29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5B1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对应《AI赋能技术转移OPC运营实操》核心要求</w:t>
            </w:r>
          </w:p>
        </w:tc>
      </w:tr>
      <w:tr w14:paraId="3DD411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FDE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效率提升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1CB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专利评估周期从数周缩短至数小时，开发时间减少50%以上，合同起草从数小时缩短至分钟级，营销内容生成效率提升50倍+</w:t>
            </w:r>
          </w:p>
        </w:tc>
        <w:tc>
          <w:tcPr>
            <w:tcW w:w="29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9B3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全流程AI赋能，实现单人完成团队级工作量</w:t>
            </w:r>
          </w:p>
        </w:tc>
      </w:tr>
      <w:tr w14:paraId="67C088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79AD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门槛降低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1A7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低代码/无代码操作，非技术背景创业者可快速上手，通过智能体填补专业技能缺口，实现「单人成军」</w:t>
            </w:r>
          </w:p>
        </w:tc>
        <w:tc>
          <w:tcPr>
            <w:tcW w:w="29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A3C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降低技术转移创新门槛，让个体创业者参与专业技术转移项目</w:t>
            </w:r>
          </w:p>
        </w:tc>
      </w:tr>
      <w:tr w14:paraId="00994C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138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安全合规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C32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本地化部署数据全闭环，内置知识产权保护、数据加密、合规审计体系，符合国家相关法律法规要求</w:t>
            </w:r>
          </w:p>
        </w:tc>
        <w:tc>
          <w:tcPr>
            <w:tcW w:w="29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D36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构建系统化法律合规框架，保障技术转移全流程数据与知识产权安全</w:t>
            </w:r>
          </w:p>
        </w:tc>
      </w:tr>
      <w:tr w14:paraId="35915E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BD4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成本优化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178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一站式替代多类付费SaaS工具，轻量化部署，降低OPC创业的软硬件与人力成本，最大化资源效率</w:t>
            </w:r>
          </w:p>
        </w:tc>
        <w:tc>
          <w:tcPr>
            <w:tcW w:w="29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DBF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实现轻资产、高效率的个人创业模式，资源效率最大化</w:t>
            </w:r>
          </w:p>
        </w:tc>
      </w:tr>
      <w:tr w14:paraId="2E709D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74E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灵活适配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C28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可自定义智能体与工作流，快速响应市场变化，适配不同技术领域、不同发展阶段的OPC创业需求</w:t>
            </w:r>
          </w:p>
        </w:tc>
        <w:tc>
          <w:tcPr>
            <w:tcW w:w="29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56D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轻量化架构快速调整技术路线与商业模式，灵活响应市场</w:t>
            </w:r>
          </w:p>
        </w:tc>
      </w:tr>
    </w:tbl>
    <w:p w14:paraId="687F754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四、目标用户与使用场景</w:t>
      </w:r>
      <w:bookmarkEnd w:id="8"/>
    </w:p>
    <w:p w14:paraId="34575B3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 目标用户</w:t>
      </w:r>
      <w:bookmarkEnd w:id="9"/>
    </w:p>
    <w:p w14:paraId="0BDBD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完全匹配《AI赋能技术转移OPC运营实操》的核心受众，优先级如下：</w:t>
      </w:r>
    </w:p>
    <w:p w14:paraId="5B521BD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核心用户</w:t>
      </w:r>
      <w:r>
        <w:rPr>
          <w:rFonts w:ascii="Arial" w:hAnsi="Arial" w:eastAsia="等线" w:cs="Arial"/>
          <w:sz w:val="22"/>
        </w:rPr>
        <w:t>：技术转移领域OPC创业者、独立技术经纪人、高校科研人员创业群体；</w:t>
      </w:r>
    </w:p>
    <w:p w14:paraId="4FF5A8F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次级用户</w:t>
      </w:r>
      <w:r>
        <w:rPr>
          <w:rFonts w:ascii="Arial" w:hAnsi="Arial" w:eastAsia="等线" w:cs="Arial"/>
          <w:sz w:val="22"/>
        </w:rPr>
        <w:t>：自由职业开发者、技术转移中介服务人员、小微企业技术负责人；</w:t>
      </w:r>
    </w:p>
    <w:p w14:paraId="6210E98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生态用户</w:t>
      </w:r>
      <w:r>
        <w:rPr>
          <w:rFonts w:ascii="Arial" w:hAnsi="Arial" w:eastAsia="等线" w:cs="Arial"/>
          <w:sz w:val="22"/>
        </w:rPr>
        <w:t>：地方科创园区、高校技术转移中心、产学研服务机构。</w:t>
      </w:r>
    </w:p>
    <w:p w14:paraId="7E0D4C8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4.2 核心使用场景</w:t>
      </w:r>
      <w:bookmarkEnd w:id="10"/>
    </w:p>
    <w:p w14:paraId="1DA5E8F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单人全流程技术转移运营</w:t>
      </w:r>
      <w:r>
        <w:rPr>
          <w:rFonts w:ascii="Arial" w:hAnsi="Arial" w:eastAsia="等线" w:cs="Arial"/>
          <w:sz w:val="22"/>
        </w:rPr>
        <w:t>：OPC创始人通过平台完成从专利发现、评估、供需匹配、技术优化、商业化落地到合规风控的全流程操作，多智能体协同完成各环节工作；</w:t>
      </w:r>
    </w:p>
    <w:p w14:paraId="4BEE23D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本地化专利与技术资产管理</w:t>
      </w:r>
      <w:r>
        <w:rPr>
          <w:rFonts w:ascii="Arial" w:hAnsi="Arial" w:eastAsia="等线" w:cs="Arial"/>
          <w:sz w:val="22"/>
        </w:rPr>
        <w:t>：科研人员/OPC创业者在本地环境完成专利查新、技术评估、知识产权布局、侵权监控，核心数据全程不泄露；</w:t>
      </w:r>
    </w:p>
    <w:p w14:paraId="1463922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企业技术需求智能对接</w:t>
      </w:r>
      <w:r>
        <w:rPr>
          <w:rFonts w:ascii="Arial" w:hAnsi="Arial" w:eastAsia="等线" w:cs="Arial"/>
          <w:sz w:val="22"/>
        </w:rPr>
        <w:t>：OPC创业者通过平台快速解析企业技术需求，匹配对应技术成果，生成对接方案与合作路径，提升供需对接成功率；</w:t>
      </w:r>
    </w:p>
    <w:p w14:paraId="05CC510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技术产品轻量化开发与验证</w:t>
      </w:r>
      <w:r>
        <w:rPr>
          <w:rFonts w:ascii="Arial" w:hAnsi="Arial" w:eastAsia="等线" w:cs="Arial"/>
          <w:sz w:val="22"/>
        </w:rPr>
        <w:t>：独立开发者通过平台集成的AI开发工具，完成代码生成、仿真模拟、自动化测试，快速实现技术产品化落地；</w:t>
      </w:r>
    </w:p>
    <w:p w14:paraId="36E33E2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合规化商业推广与合同管理</w:t>
      </w:r>
      <w:r>
        <w:rPr>
          <w:rFonts w:ascii="Arial" w:hAnsi="Arial" w:eastAsia="等线" w:cs="Arial"/>
          <w:sz w:val="22"/>
        </w:rPr>
        <w:t>：OPC创业者通过平台完成营销内容生成、销售链路管理、合同智能起草与风险审核，实现商业化全流程合规管控。</w:t>
      </w:r>
    </w:p>
    <w:p w14:paraId="5029EE0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五、核心功能架构</w:t>
      </w:r>
      <w:bookmarkEnd w:id="11"/>
    </w:p>
    <w:p w14:paraId="7CEEF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产品整体采用「1个核心底座+5大业务模块+3大支撑中心」的架构设计，完全贴合技术转移OPC全流程运营体系，基于NVIDIA Nemo Claw核心能力构建。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9D54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B66F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技术转移OPC全链路智能运营平台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核心底座：NVIDIA Nemo Claw 本地化多智能体框架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五大业务模块（技术转移全流程）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技术发现与评估智能模块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需求匹配与对接智能模块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技术开发与优化智能模块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商业化与推广智能模块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法律合规与知识产权保护智能模块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三大支撑中心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智能体编排与管理中心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本地化知识库与数据安全中心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政策与生态资源对接中心</w:t>
            </w:r>
          </w:p>
        </w:tc>
      </w:tr>
    </w:tbl>
    <w:p w14:paraId="77D98F58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六、详细功能需求</w:t>
      </w:r>
      <w:bookmarkEnd w:id="12"/>
    </w:p>
    <w:p w14:paraId="5B183BA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6.1 核心底座：NVIDIA Nemo Claw 本地化适配层</w:t>
      </w:r>
      <w:bookmarkEnd w:id="13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2"/>
        <w:gridCol w:w="3182"/>
        <w:gridCol w:w="3143"/>
        <w:gridCol w:w="813"/>
      </w:tblGrid>
      <w:tr w14:paraId="4E389E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3CF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功能点</w:t>
            </w:r>
          </w:p>
        </w:tc>
        <w:tc>
          <w:tcPr>
            <w:tcW w:w="3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DBC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功能描述</w:t>
            </w:r>
          </w:p>
        </w:tc>
        <w:tc>
          <w:tcPr>
            <w:tcW w:w="3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403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业务规则</w:t>
            </w:r>
          </w:p>
        </w:tc>
        <w:tc>
          <w:tcPr>
            <w:tcW w:w="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59A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2CF301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FDF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 Claw 本地化部署</w:t>
            </w:r>
          </w:p>
        </w:tc>
        <w:tc>
          <w:tcPr>
            <w:tcW w:w="3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AA3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完成Nemo Claw框架本地化私有化部署，适配NVIDIA GPU硬件环境，实现核心引擎全量功能本地运行</w:t>
            </w:r>
          </w:p>
        </w:tc>
        <w:tc>
          <w:tcPr>
            <w:tcW w:w="3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6CC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支持单机/多机部署，适配RTX 4090消费级GPU到A100/H100企业级GPU；2. 核心引擎运行不依赖公网，数据全程本地闭环；3. 兼容NVIDIA AI Enterprise生态，支持模型热更新</w:t>
            </w:r>
          </w:p>
        </w:tc>
        <w:tc>
          <w:tcPr>
            <w:tcW w:w="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267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7ADD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B1C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多智能体低代码编排</w:t>
            </w:r>
          </w:p>
        </w:tc>
        <w:tc>
          <w:tcPr>
            <w:tcW w:w="3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467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提供可视化拖拽式智能体编排界面，支持OPC用户自定义智能体角色、工作流、工具调用权限</w:t>
            </w:r>
          </w:p>
        </w:tc>
        <w:tc>
          <w:tcPr>
            <w:tcW w:w="3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851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预置技术转移全流程标准化智能体模板，开箱即用；2. 支持用户自定义智能体prompt、角色边界、协同规则；3. 支持多智能体串行/并行协同作业，实现「一人一部门」架构落地</w:t>
            </w:r>
          </w:p>
        </w:tc>
        <w:tc>
          <w:tcPr>
            <w:tcW w:w="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746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1EB9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12E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工具与API集成框架</w:t>
            </w:r>
          </w:p>
        </w:tc>
        <w:tc>
          <w:tcPr>
            <w:tcW w:w="3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D6D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提供标准化插件与API集成能力，支持对接第三方专业工具与自研服务</w:t>
            </w:r>
          </w:p>
        </w:tc>
        <w:tc>
          <w:tcPr>
            <w:tcW w:w="3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194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预置技术转移场景常用工具接口，支持一键启用；2. 支持用户自定义API接入、插件开发；3. 实现工具调用日志全记录，可追溯、可审计</w:t>
            </w:r>
          </w:p>
        </w:tc>
        <w:tc>
          <w:tcPr>
            <w:tcW w:w="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7D5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EB6AA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D99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本地化大模型适配与微调</w:t>
            </w:r>
          </w:p>
        </w:tc>
        <w:tc>
          <w:tcPr>
            <w:tcW w:w="3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FB1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支持开源大模型本地化部署与微调，基于Nemo框架实现模型轻量化微调，适配技术转移垂直场景</w:t>
            </w:r>
          </w:p>
        </w:tc>
        <w:tc>
          <w:tcPr>
            <w:tcW w:w="3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CFD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预置适配技术转移场景的基础模型，开箱即用；2. 支持用户基于自有数据进行低代码微调；3. 支持多模型路由与负载均衡，提升响应效率</w:t>
            </w:r>
          </w:p>
        </w:tc>
        <w:tc>
          <w:tcPr>
            <w:tcW w:w="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BF2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53884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4C6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多模态处理引擎</w:t>
            </w:r>
          </w:p>
        </w:tc>
        <w:tc>
          <w:tcPr>
            <w:tcW w:w="3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3B1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基于Nemo多模态能力，支持文本、图片、视频、技术图纸、音频等多模态内容的解析、生成、处理</w:t>
            </w:r>
          </w:p>
        </w:tc>
        <w:tc>
          <w:tcPr>
            <w:tcW w:w="3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87A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支持专利图纸、技术文档、产品原型等专业内容解析；2. 支持AI动画、产品演示视频、营销素材等多模态内容生成；3. 适配技术转移场景的专业多模态需求</w:t>
            </w:r>
          </w:p>
        </w:tc>
        <w:tc>
          <w:tcPr>
            <w:tcW w:w="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C38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536C532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6.2 业务模块一：技术发现与评估智能模块</w:t>
      </w:r>
      <w:bookmarkEnd w:id="14"/>
    </w:p>
    <w:p w14:paraId="5CF9B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对应《AI赋能技术转移OPC运营实操》技术发现与评估阶段核心需求，基于Nemo Claw搭建专属智能体集群。</w:t>
      </w:r>
    </w:p>
    <w:tbl>
      <w:tblPr>
        <w:tblStyle w:val="2"/>
        <w:tblW w:w="884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680"/>
        <w:gridCol w:w="3020"/>
        <w:gridCol w:w="800"/>
      </w:tblGrid>
      <w:tr w14:paraId="7C82B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F77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功能点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605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功能描述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358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业务规则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17F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24660B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208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专利智能检索与发现智能体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35C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基于RAG技术，对接全球专利数据库，实现技术成果智能检索、热点技术发现、高价值专利筛选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966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支持按技术领域、申请人、申请时间、法律状态等多维度筛选；2. 智能识别高转化潜力专利，生成技术发现报告；3. 支持本地化专利库构建，数据本地存储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284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EDAA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F30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专利查新与新颖性评估智能体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B3B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一键生成专利查新报告，自动匹配对比文件，生成可解释的新颖性评述，识别专利创新点与风险点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D89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查新周期≤2小时，对比文件覆盖全球核心专利库；2. 自动生成标准化查新报告，支持自定义编辑；3. 对接智慧芽等专业平台接口，实现数据同步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BD8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E4A7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ECA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技术价值量化评估智能体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F40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从科学价值、技术价值、市场价值、法律价值4个维度，构建量化评估体系，生成技术评估报告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905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预置《AI赋能技术转移OPC运营实操》中的标准化评估模型，评估准确率较传统模式提升20%+；2. 支持用户自定义评估指标与权重；3. 评估周期从传统数周缩短至≤4小时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1D0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8E978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DDE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技术趋势预测智能体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7E6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基于大数据与机器学习，分析细分技术领域发展趋势，提前识别潜在技术转化机会，生成趋势分析报告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6B1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支持按技术领域定制化趋势分析；2. 自动识别技术风口、空白赛道、转化窗口期；3. 为OPC创业者提供前瞻决策依据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7B8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1365D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64C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本地化技术成果库管理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659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支持OPC创业者自有/代理技术成果的本地化存储、标签化管理、全生命周期追踪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EE9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技术成果数据加密存储，仅本地可访问；2. 支持版本管理、权限管控、操作日志审计；3. 与后续供需匹配、商业化模块数据互通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323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7895B1B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6.3 业务模块二：需求匹配与对接智能模块</w:t>
      </w:r>
      <w:bookmarkEnd w:id="15"/>
    </w:p>
    <w:p w14:paraId="1A1A82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对应《AI赋能技术转移OPC运营实操》需求匹配与对接阶段核心需求，实现供需精准对接。</w:t>
      </w:r>
    </w:p>
    <w:tbl>
      <w:tblPr>
        <w:tblStyle w:val="2"/>
        <w:tblW w:w="906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0"/>
        <w:gridCol w:w="2680"/>
        <w:gridCol w:w="3020"/>
        <w:gridCol w:w="800"/>
      </w:tblGrid>
      <w:tr w14:paraId="2A168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B6E5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功能点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82DE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功能描述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BE06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业务规则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5CDE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6BCF10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42C6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企业技术需求解析智能体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16E0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自动解析企业技术需求文档，提取核心痛点、技术指标、预算范围、时间周期等关键信息，生成标准化需求清单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AB57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支持多格式文档解析，自动识别非结构化需求中的核心信息；2. 生成需求拆解报告，标注技术难点与匹配方向；3. 决策周期较传统模式缩短40%+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C536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5D9B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F6FB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供需智能匹配引擎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9864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基于知识图谱与大模型语义匹配，实现技术成果与企业需求的精准匹配，生成匹配报告与对接方案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73C3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匹配维度覆盖技术适配度、市场匹配度、落地可行性、风险等级；2. 自动生成对接优先级排序，推荐最优匹配方案；3. 提升供需对接成功率，匹配结果可解释、可追溯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19B3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2386A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3434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跨语言沟通与谈判辅助智能体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5BF0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针对跨国技术转移场景，提供实时专业翻译、谈判话术建议、合作要点提示、文化差异规避方案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E82D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支持10+主流语言的技术专业术语精准翻译；2. 实时生成谈判应对方案，提示合作风险点；3. 自动整理谈判纪要，生成待办事项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F8C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34E780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91AA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合作对接全流程管理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F2D0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支持对接线索跟进、沟通记录、合作节点、里程碑管理，自动生成跟进提醒与进度报告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F6C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实现对接流程全链路追踪，数据本地加密存储；2. 智能体自动生成跟进话术与沟通方案；3. 对接进度可视化展示，风险节点自动预警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25A9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521ABF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DF13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区块链存证服务对接</w:t>
            </w:r>
          </w:p>
        </w:tc>
        <w:tc>
          <w:tcPr>
            <w:tcW w:w="2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FA37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对接AI支持的区块链系统，实现技术转移对接记录、合作意向书等文件的不可篡改存证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30B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存证记录全程可追溯，保障交易公正公平；2. 对接国内合规区块链服务平台，符合监管要求；3. 有效预防知识产权侵权与合作纠纷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2E59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32DE25F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6.4 业务模块三：技术开发与优化智能模块</w:t>
      </w:r>
      <w:bookmarkEnd w:id="16"/>
    </w:p>
    <w:p w14:paraId="58B82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对应《AI赋能技术转移OPC运营实操》技术开发与优化阶段核心需求，降低OPC技术开发门槛。</w:t>
      </w:r>
    </w:p>
    <w:tbl>
      <w:tblPr>
        <w:tblStyle w:val="2"/>
        <w:tblW w:w="865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6"/>
        <w:gridCol w:w="2460"/>
        <w:gridCol w:w="3020"/>
        <w:gridCol w:w="800"/>
      </w:tblGrid>
      <w:tr w14:paraId="68FC0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917B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功能点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F3C4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功能描述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7803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业务规则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9FD5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59CAD9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66BB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多语言代码生成智能体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C8B5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集成GitHub Copilot等代码生成工具，基于Nemo Claw实现本地化代码生成、补全、优化，支持主流开发语言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BBD4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支持技术原型、Demo、产品核心功能的代码自动生成；2. 减少50%以上的开发时间，降低OPC编程门槛；3. 生成代码自动添加注释，支持一键调试与漏洞检测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D2F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A311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2E28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AI仿真模拟与技术验证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9A1B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对接AI驱动的仿真工具，实现技术方案的数字化仿真模拟，替代部分物理实验，加速技术验证与优化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6BB11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支持机械、电子、生物医药等多领域技术仿真；2. 自动生成仿真报告，标注技术优化方向；3. 降低OPC技术验证的硬件与时间成本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804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390057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A7B1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自动化测试与漏洞扫描智能体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3D94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自动完成技术产品的功能测试、性能测试、安全漏洞扫描，生成测试报告与优化方案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E731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支持7*24小时自动化测试，提升开发质量；2. 自动识别代码漏洞、性能瓶颈，给出修复建议；3. 测试过程与结果本地存储，保障代码安全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8825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4A1E19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04AF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技术方案优化智能体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9BA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基于现有技术方案，结合市场需求与行业标准，自动生成技术优化方案、成本控制方案、落地路径规划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A608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适配不同行业的技术标准与合规要求；2. 从性能、成本、落地难度多维度优化方案；3. 支持多版本方案对比，辅助OPC决策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F7A7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07C94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0A4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开源技术组件库管理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7EC6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本地化开源技术组件库，智能推荐适配技术需求的开源组件，规避开源协议合规风险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08B4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自动识别开源组件的协议类型、风险等级；2. 组件库定期更新，保障版本安全；3. 与代码生成模块无缝衔接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7004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1B1A8D2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6.5 业务模块四：商业化与推广智能模块</w:t>
      </w:r>
      <w:bookmarkEnd w:id="17"/>
    </w:p>
    <w:p w14:paraId="77174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对应《AI赋能技术转移OPC运营实操》商业化与推广阶段核心需求，助力OPC快速实现技术变现。</w:t>
      </w:r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1"/>
        <w:gridCol w:w="1774"/>
        <w:gridCol w:w="3265"/>
        <w:gridCol w:w="820"/>
      </w:tblGrid>
      <w:tr w14:paraId="72266B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596B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功能点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4E99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功能描述</w:t>
            </w:r>
          </w:p>
        </w:tc>
        <w:tc>
          <w:tcPr>
            <w:tcW w:w="3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DAAB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业务规则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7857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07DC69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E14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商业计划书与方案生成智能体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29C9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一键生成技术商业化方案、商业计划书、融资方案、合作方案，适配不同受众与场景</w:t>
            </w:r>
          </w:p>
        </w:tc>
        <w:tc>
          <w:tcPr>
            <w:tcW w:w="3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B6EC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预置技术转移场景标准化模板，覆盖BP、合作方案、投标文件等；2. 自动填充技术数据、市场分析、盈利模型、风险管控等核心内容；3. 支持多版本定制化生成，适配投资人、企业客户、政府机构等不同受众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C8C3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07DF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DF66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AI营销内容全链路生成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DE78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集成营销智能体，实现产品详情页、宣传文案、短视频脚本、海报文案、公众号推文等营销内容的自动生成</w:t>
            </w:r>
          </w:p>
        </w:tc>
        <w:tc>
          <w:tcPr>
            <w:tcW w:w="3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FF52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10分钟内完成营销内容生成，效率较人工提升50倍+；2. 支持多平台、多场景内容定制，适配B端技术推广需求；3. 自动优化内容点击率，提升推广效果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C31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C1A6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24E7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销售智能体与客户管理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2FAA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实现全链路销售自动化，包括客户线索挖掘、意向判断、跟进话术生成、客户互动分析、动态策略调整</w:t>
            </w:r>
          </w:p>
        </w:tc>
        <w:tc>
          <w:tcPr>
            <w:tcW w:w="3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365F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转化率较传统模式提升50%+；2. 客户数据本地化加密存储，保障商业信息安全；3. 自动生成客户画像与跟进策略，辅助OPC单人完成全链路销售工作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ADDE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349E47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B711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市场反馈与数据分析智能体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8B91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实时追踪市场推广数据、客户反馈、竞品动态，生成数据分析报告与运营优化策略</w:t>
            </w:r>
          </w:p>
        </w:tc>
        <w:tc>
          <w:tcPr>
            <w:tcW w:w="3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4168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支持多平台数据对接，自动汇总分析；2. 智能识别市场趋势、用户痛点、竞品优势；3. 自动生成产品定位与推广策略优化方案，辅助OPC快速调整商业策略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B38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2C242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F81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多渠道推广对接管理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EC38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预置技术转移主流推广渠道接口，实现线上展会、科创平台、行业社群、新媒体渠道的一站式内容分发与管理</w:t>
            </w:r>
          </w:p>
        </w:tc>
        <w:tc>
          <w:tcPr>
            <w:tcW w:w="3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EE28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支持一键多平台内容分发，提升推广效率；2. 自动追踪各渠道推广效果，生成渠道价值分析报告；3. 推荐适配技术领域的高转化推广渠道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5473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1201F5E3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6.6 业务模块五：法律合规与知识产权保护智能模块</w:t>
      </w:r>
      <w:bookmarkEnd w:id="18"/>
    </w:p>
    <w:p w14:paraId="01661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对应《AI赋能技术转移OPC运营实操》法律合规与知识产权保护阶段核心需求，保障OPC合规经营。</w:t>
      </w:r>
    </w:p>
    <w:tbl>
      <w:tblPr>
        <w:tblStyle w:val="2"/>
        <w:tblW w:w="913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0"/>
        <w:gridCol w:w="2752"/>
        <w:gridCol w:w="3020"/>
        <w:gridCol w:w="800"/>
      </w:tblGrid>
      <w:tr w14:paraId="50288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27D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5FD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功能描述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139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业务规则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12B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45C2C3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51F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智能合同生成与风险审核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ABB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集成专业合同智能体，基于技术转移场景关键信息，自动生成标准化合同，完成条款风险审核、漏洞识别、优化建议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2DF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预置技术转让、许可、合作开发、保密协议等20+技术转移场景标准化合同模板；2. 分钟级完成高质量合同生成，条款风险提示准确率≥95%；3. 符合《民法典》《知识产权法》相关法规要求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55A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3C669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1E1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知识产权全生命周期管理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DC9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实现专利、著作权、商标、商业秘密的全流程管理，包括申请布局、进度追踪、年费提醒、侵权监控、维权辅助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457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对接国家知识产权局相关接口，自动同步申请进度；2. 智能监控全网专利侵权行为，识别潜在风险，生成应对策略；3. 对AI生成作品进行著作权合规提示，保障独创性内容的法律保护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B15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66745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4A4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数据安全与合规管控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F56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基于《数据安全法》《个人信息保护法》，实现敏感数据分类加密、权限管控、访问审计、异常预警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30B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采用AES-256、RSA-PSS等银行级加密算法，实现敏感数据全生命周期加密；2. 细粒度权限管理，动态调整文件访问权限；3. 实时监控异常访问行为，非工作时间访问、高频下载等行为自动报警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992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C18F1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F84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合规政策智能匹配与预警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4F1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智能识别技术转移业务对应的国家、地方合规政策，生成合规清单，政策更新时自动预警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F21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覆盖技术转移、数据安全、跨境技术交易、科创政策等相关法规；2. 针对跨区域/跨国技术转移，自动生成对应地区的合规要求与风险提示；3. 对接地方科创园区政策库，自动匹配OPC可申报的扶持政策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93B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13084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A5F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合规审计与证据留存</w:t>
            </w:r>
          </w:p>
        </w:tc>
        <w:tc>
          <w:tcPr>
            <w:tcW w:w="27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E34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自动生成全业务流程合规审计日志，实现操作全记录、可追溯，支持合规证据一键导出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394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审计日志不可篡改，本地加密存储；2. 支持按业务流程、时间、操作人筛选导出；3. 满足监管审计与司法举证需求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806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02E98E21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6.7 三大支撑中心</w:t>
      </w:r>
      <w:bookmarkEnd w:id="19"/>
    </w:p>
    <w:tbl>
      <w:tblPr>
        <w:tblStyle w:val="2"/>
        <w:tblW w:w="884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0"/>
        <w:gridCol w:w="3020"/>
        <w:gridCol w:w="2460"/>
        <w:gridCol w:w="800"/>
      </w:tblGrid>
      <w:tr w14:paraId="2F988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D5D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支撑中心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489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核心功能点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CEB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业务规则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83B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3328EB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4E8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智能体编排与管理中心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831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智能体市场：预置技术转移全流程标准化智能体，支持一键安装启用；2. 自定义智能体开发：低代码开发专属智能体；3. 智能体权限管理：管控智能体的工具调用、数据访问权限；4. 智能体运行监控：实时监控智能体运行状态，异常自动预警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FA3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所有智能体基于Nemo Claw框架开发，兼容平台核心能力；2. 支持用户分享自定义智能体，形成生态沉淀；3. 智能体操作全程留痕，可审计、可追溯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95E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2ED0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EA5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本地化知识库与数据安全中心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091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垂直知识库构建：支持技术专利库、法律法规库、政策库、行业数据库、企业需求库等本地化RAG知识库搭建；2. 知识库管理：文档上传、解析、切片、向量存储、权限管控；3. 数据备份与恢复：自动化本地/异地备份，数据一键恢复；4. 加密存储管理：全量数据加密存储，密钥本地管控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2D7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知识库数据全程本地存储，不上传云端；2. 支持多格式文档解析，适配技术专业文档；3. 向量数据库本地化部署，与Nemo Claw无缝衔接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2AB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2A61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90C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政策与生态资源对接中心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2DC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地方科创政策匹配：对接苏州工业园区等国内核心科创园区的OPC扶持政策，自动匹配可申报的补贴、算力支持、研发补助等；2. 产学研生态对接：接入高校技术转移中心、科研院所的技术成果库；3. 算力资源对接：对接本地化算力服务，提供算力补贴申请通道；4. OPC创业服务对接：对接商务托管登记、财税服务、投融资服务等生态资源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3C9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政策库实时更新，确保政策信息准确有效；2. 适配《AI赋能技术转移OPC运营实操》中提到的苏州工业园区等标杆区域的OPC扶持政策；3. 生态资源对接全程合规，不触碰用户核心商业数据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D48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34EBDA1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七、非功能需求</w:t>
      </w:r>
      <w:bookmarkEnd w:id="20"/>
    </w:p>
    <w:p w14:paraId="4624A81C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7.1 性能需求</w:t>
      </w:r>
      <w:bookmarkEnd w:id="21"/>
    </w:p>
    <w:p w14:paraId="0192E42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响应速度</w:t>
      </w:r>
      <w:r>
        <w:rPr>
          <w:rFonts w:ascii="Arial" w:hAnsi="Arial" w:eastAsia="等线" w:cs="Arial"/>
          <w:sz w:val="22"/>
        </w:rPr>
        <w:t>：基础智能体交互响应时间≤2s，复杂报告生成（如专利评估报告、商业计划书）响应时间≤30s；</w:t>
      </w:r>
    </w:p>
    <w:p w14:paraId="1461399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并发能力</w:t>
      </w:r>
      <w:r>
        <w:rPr>
          <w:rFonts w:ascii="Arial" w:hAnsi="Arial" w:eastAsia="等线" w:cs="Arial"/>
          <w:sz w:val="22"/>
        </w:rPr>
        <w:t>：单机部署支持单用户多智能体并行作业≥10个，企业级部署支持并发用户数≥100个；</w:t>
      </w:r>
    </w:p>
    <w:p w14:paraId="72A0293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可用性</w:t>
      </w:r>
      <w:r>
        <w:rPr>
          <w:rFonts w:ascii="Arial" w:hAnsi="Arial" w:eastAsia="等线" w:cs="Arial"/>
          <w:sz w:val="22"/>
        </w:rPr>
        <w:t>：平台全年可用率≥99.9%，故障恢复时间≤30分钟；</w:t>
      </w:r>
    </w:p>
    <w:p w14:paraId="12F8289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处理效率</w:t>
      </w:r>
      <w:r>
        <w:rPr>
          <w:rFonts w:ascii="Arial" w:hAnsi="Arial" w:eastAsia="等线" w:cs="Arial"/>
          <w:sz w:val="22"/>
        </w:rPr>
        <w:t>：单篇专利评估全流程处理时间≤4小时，合同生成与审核时间≤5分钟，符合《AI赋能技术转移OPC运营实操》中的效率提升标准。</w:t>
      </w:r>
    </w:p>
    <w:p w14:paraId="1A946EF6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7.2 安全需求</w:t>
      </w:r>
      <w:bookmarkEnd w:id="22"/>
    </w:p>
    <w:p w14:paraId="20EE462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：全量业务数据本地化加密存储，敏感数据采用国密算法加密，核心数据不上传任何第三方云端；</w:t>
      </w:r>
    </w:p>
    <w:p w14:paraId="531B9E4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权限管控</w:t>
      </w:r>
      <w:r>
        <w:rPr>
          <w:rFonts w:ascii="Arial" w:hAnsi="Arial" w:eastAsia="等线" w:cs="Arial"/>
          <w:sz w:val="22"/>
        </w:rPr>
        <w:t>：支持多角色细粒度权限管理，最小权限原则分配功能与数据访问权限，操作全程留痕；</w:t>
      </w:r>
    </w:p>
    <w:p w14:paraId="17208DF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合规性</w:t>
      </w:r>
      <w:r>
        <w:rPr>
          <w:rFonts w:ascii="Arial" w:hAnsi="Arial" w:eastAsia="等线" w:cs="Arial"/>
          <w:sz w:val="22"/>
        </w:rPr>
        <w:t>：符合《数据安全法》《个人信息保护法》《知识产权法》《网络安全法》等国家相关法律法规，支持等保2.0三级合规适配；</w:t>
      </w:r>
    </w:p>
    <w:p w14:paraId="540CCCE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防篡改</w:t>
      </w:r>
      <w:r>
        <w:rPr>
          <w:rFonts w:ascii="Arial" w:hAnsi="Arial" w:eastAsia="等线" w:cs="Arial"/>
          <w:sz w:val="22"/>
        </w:rPr>
        <w:t>：审计日志、区块链存证数据、合同文件等核心数据不可篡改，支持司法举证；</w:t>
      </w:r>
    </w:p>
    <w:p w14:paraId="0619891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模型安全</w:t>
      </w:r>
      <w:r>
        <w:rPr>
          <w:rFonts w:ascii="Arial" w:hAnsi="Arial" w:eastAsia="等线" w:cs="Arial"/>
          <w:sz w:val="22"/>
        </w:rPr>
        <w:t>：本地化模型部署，防止模型越狱、prompt注入等安全风险，智能体工具调用权限可控。</w:t>
      </w:r>
    </w:p>
    <w:p w14:paraId="754955C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7.3 兼容性需求</w:t>
      </w:r>
      <w:bookmarkEnd w:id="23"/>
    </w:p>
    <w:p w14:paraId="54F2304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硬件兼容</w:t>
      </w:r>
      <w:r>
        <w:rPr>
          <w:rFonts w:ascii="Arial" w:hAnsi="Arial" w:eastAsia="等线" w:cs="Arial"/>
          <w:sz w:val="22"/>
        </w:rPr>
        <w:t>：支持NVIDIA全系列GPU，包括消费级RTX 3090/4090，企业级A10/A30/A100/H100等；</w:t>
      </w:r>
    </w:p>
    <w:p w14:paraId="18BEAF4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系统兼容</w:t>
      </w:r>
      <w:r>
        <w:rPr>
          <w:rFonts w:ascii="Arial" w:hAnsi="Arial" w:eastAsia="等线" w:cs="Arial"/>
          <w:sz w:val="22"/>
        </w:rPr>
        <w:t>：支持Windows、Linux、Ubuntu等主流操作系统，支持单机桌面端部署与服务器端部署；</w:t>
      </w:r>
    </w:p>
    <w:p w14:paraId="1143BBF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软件兼容</w:t>
      </w:r>
      <w:r>
        <w:rPr>
          <w:rFonts w:ascii="Arial" w:hAnsi="Arial" w:eastAsia="等线" w:cs="Arial"/>
          <w:sz w:val="22"/>
        </w:rPr>
        <w:t>：兼容NVIDIA AI Enterprise生态，支持主流开源大模型、向量数据库、第三方工具API对接；</w:t>
      </w:r>
    </w:p>
    <w:p w14:paraId="4B65304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终端兼容</w:t>
      </w:r>
      <w:r>
        <w:rPr>
          <w:rFonts w:ascii="Arial" w:hAnsi="Arial" w:eastAsia="等线" w:cs="Arial"/>
          <w:sz w:val="22"/>
        </w:rPr>
        <w:t>：支持PC端网页、桌面客户端访问，适配主流浏览器，响应式布局适配不同屏幕尺寸。</w:t>
      </w:r>
    </w:p>
    <w:p w14:paraId="7A4F7D0C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7.4 可扩展性需求</w:t>
      </w:r>
      <w:bookmarkEnd w:id="24"/>
    </w:p>
    <w:p w14:paraId="1CD4D55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功能扩展</w:t>
      </w:r>
      <w:r>
        <w:rPr>
          <w:rFonts w:ascii="Arial" w:hAnsi="Arial" w:eastAsia="等线" w:cs="Arial"/>
          <w:sz w:val="22"/>
        </w:rPr>
        <w:t>：支持模块化功能扩展，用户可按需启用/关闭业务模块，支持自定义插件开发；</w:t>
      </w:r>
    </w:p>
    <w:p w14:paraId="1A15168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智能体扩展</w:t>
      </w:r>
      <w:r>
        <w:rPr>
          <w:rFonts w:ascii="Arial" w:hAnsi="Arial" w:eastAsia="等线" w:cs="Arial"/>
          <w:sz w:val="22"/>
        </w:rPr>
        <w:t>：支持用户自定义开发新的智能体，无缝接入平台核心框架；</w:t>
      </w:r>
    </w:p>
    <w:p w14:paraId="6D1C549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算力扩展</w:t>
      </w:r>
      <w:r>
        <w:rPr>
          <w:rFonts w:ascii="Arial" w:hAnsi="Arial" w:eastAsia="等线" w:cs="Arial"/>
          <w:sz w:val="22"/>
        </w:rPr>
        <w:t>：支持单机到集群的平滑扩展，适配OPC从单人创业到团队规模化的发展需求；</w:t>
      </w:r>
    </w:p>
    <w:p w14:paraId="6933F51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知识库扩展</w:t>
      </w:r>
      <w:r>
        <w:rPr>
          <w:rFonts w:ascii="Arial" w:hAnsi="Arial" w:eastAsia="等线" w:cs="Arial"/>
          <w:sz w:val="22"/>
        </w:rPr>
        <w:t>：支持无限量本地化知识库扩容，适配多行业、多领域技术转移场景的知识沉淀需求。</w:t>
      </w:r>
    </w:p>
    <w:p w14:paraId="2DA20B2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7.5 易用性需求</w:t>
      </w:r>
      <w:bookmarkEnd w:id="25"/>
    </w:p>
    <w:p w14:paraId="212CB0F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学习成本</w:t>
      </w:r>
      <w:r>
        <w:rPr>
          <w:rFonts w:ascii="Arial" w:hAnsi="Arial" w:eastAsia="等线" w:cs="Arial"/>
          <w:sz w:val="22"/>
        </w:rPr>
        <w:t>：非技术背景用户可在1小时内完成平台基础操作学习，3天内掌握全流程核心功能；</w:t>
      </w:r>
    </w:p>
    <w:p w14:paraId="3344502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操作体验</w:t>
      </w:r>
      <w:r>
        <w:rPr>
          <w:rFonts w:ascii="Arial" w:hAnsi="Arial" w:eastAsia="等线" w:cs="Arial"/>
          <w:sz w:val="22"/>
        </w:rPr>
        <w:t>：可视化拖拽式操作，预置标准化模板与工作流，核心流程一键启动，减少用户手动操作；</w:t>
      </w:r>
    </w:p>
    <w:p w14:paraId="7D2708D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引导体系</w:t>
      </w:r>
      <w:r>
        <w:rPr>
          <w:rFonts w:ascii="Arial" w:hAnsi="Arial" w:eastAsia="等线" w:cs="Arial"/>
          <w:sz w:val="22"/>
        </w:rPr>
        <w:t>：内置新手引导、操作教程、场景化最佳实践，匹配《AI赋能技术转移OPC运营实操》的核心方法论；</w:t>
      </w:r>
    </w:p>
    <w:p w14:paraId="302F740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异常提示</w:t>
      </w:r>
      <w:r>
        <w:rPr>
          <w:rFonts w:ascii="Arial" w:hAnsi="Arial" w:eastAsia="等线" w:cs="Arial"/>
          <w:sz w:val="22"/>
        </w:rPr>
        <w:t>：操作异常、智能体运行故障时，给出清晰的报错提示与解决方案，降低用户排查难度。</w:t>
      </w:r>
    </w:p>
    <w:p w14:paraId="078B401F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八、技术架构方案</w:t>
      </w:r>
      <w:bookmarkEnd w:id="26"/>
    </w:p>
    <w:p w14:paraId="61E0FFA8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8.1 整体技术架构</w:t>
      </w:r>
      <w:bookmarkEnd w:id="27"/>
    </w:p>
    <w:p w14:paraId="1580C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基于NVIDIA Nemo Claw框架，采用分层架构设计，共分为6层，实现高内聚、低耦合，保障平台的稳定性、安全性与可扩展性。</w:t>
      </w:r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1"/>
        <w:gridCol w:w="3915"/>
        <w:gridCol w:w="3285"/>
      </w:tblGrid>
      <w:tr w14:paraId="0E4A6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6CCF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架构层级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445A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核心组成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89B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核心能力</w:t>
            </w:r>
          </w:p>
        </w:tc>
      </w:tr>
      <w:tr w14:paraId="57D21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E078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用户交互层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4956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桌面客户端、Web管理端、可视化编排界面、移动端适配界面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7F6A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提供用户操作入口，实现可视化智能体编排、全流程业务操作、数据可视化展示</w:t>
            </w:r>
          </w:p>
        </w:tc>
      </w:tr>
      <w:tr w14:paraId="3E8F0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60AC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业务应用层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4978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5大业务模块、3大支撑中心，全流程场景化功能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39CA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封装技术转移OPC全流程业务能力，提供场景化功能服务</w:t>
            </w:r>
          </w:p>
        </w:tc>
      </w:tr>
      <w:tr w14:paraId="05CDB8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CFB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平台能力层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B1CA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智能体调度引擎、RAG知识库引擎、工具集成框架、多模态处理引擎、工作流引擎、权限管控引擎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379C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基于Nemo Claw核心能力，封装平台通用能力，为业务层提供支撑</w:t>
            </w:r>
          </w:p>
        </w:tc>
      </w:tr>
      <w:tr w14:paraId="699B0E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8DF5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核心框架层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A674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NVIDIA Nemo Claw 多智能体框架、NVIDIA AI Enterprise 工具集、大模型推理与微调框架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739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平台核心技术底座，提供多智能体编排、模型推理、工具调用等核心能力</w:t>
            </w:r>
          </w:p>
        </w:tc>
      </w:tr>
      <w:tr w14:paraId="5492D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80E5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数据层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FCD3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本地化向量数据库、关系型数据库、加密文件存储、本地化知识库、业务数据仓库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8A5E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实现全量数据本地化存储、管理、加密，保障数据安全与高效调用</w:t>
            </w:r>
          </w:p>
        </w:tc>
      </w:tr>
      <w:tr w14:paraId="320C8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F48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基础设施层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7DBD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NVIDIA GPU算力资源、本地化服务器/PC终端、操作系统、网络与安全设备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E8A8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平台运行的硬件基础设施，支持单机到集群的灵活部署</w:t>
            </w:r>
          </w:p>
        </w:tc>
      </w:tr>
    </w:tbl>
    <w:p w14:paraId="3B8FBF57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8.2 核心部署方案</w:t>
      </w:r>
      <w:bookmarkEnd w:id="28"/>
    </w:p>
    <w:p w14:paraId="31105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提供两种本地化部署方案，适配不同类型的OPC用户需求：</w:t>
      </w:r>
    </w:p>
    <w:p w14:paraId="425FECA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轻量化单机部署方案</w:t>
      </w:r>
    </w:p>
    <w:p w14:paraId="11441B8F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适配用户：个人OPC创业者、独立开发者、小型创业团队</w:t>
      </w:r>
    </w:p>
    <w:p w14:paraId="2CB2FF35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硬件要求：NVIDIA RTX 4090及以上GPU，32G以上内存，2T以上SSD存储</w:t>
      </w:r>
    </w:p>
    <w:p w14:paraId="19E0D585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部署方式：桌面端一键部署，全量功能本地运行，无需公网依赖，开箱即用</w:t>
      </w:r>
    </w:p>
    <w:p w14:paraId="118C8114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核心优势：成本低、部署快、数据完全本地闭环，完美匹配单人创业需求</w:t>
      </w:r>
    </w:p>
    <w:p w14:paraId="1FBC394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企业级集群部署方案</w:t>
      </w:r>
    </w:p>
    <w:p w14:paraId="68609B19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适配用户：科创园区、高校技术转移中心、中型技术转移服务机构</w:t>
      </w:r>
    </w:p>
    <w:p w14:paraId="69EDA387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硬件要求：NVIDIA A10/A30/A100多卡GPU集群，128G以上内存，企业级存储阵列</w:t>
      </w:r>
    </w:p>
    <w:p w14:paraId="21C9EB11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部署方式：本地化服务器集群部署，支持多租户隔离，高可用架构</w:t>
      </w:r>
    </w:p>
    <w:p w14:paraId="0BF78A6E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核心优势：高并发、高可用、可扩展，支持多机构/多用户协同使用</w:t>
      </w:r>
    </w:p>
    <w:p w14:paraId="711792C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8.3 核心技术栈</w:t>
      </w:r>
      <w:bookmarkEnd w:id="29"/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4"/>
        <w:gridCol w:w="6747"/>
      </w:tblGrid>
      <w:tr w14:paraId="6C49EE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45A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技术领域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DEF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核心选型</w:t>
            </w:r>
          </w:p>
        </w:tc>
      </w:tr>
      <w:tr w14:paraId="2C9194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01A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核心智能体框架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210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NVIDIA Nemo Claw</w:t>
            </w:r>
          </w:p>
        </w:tc>
      </w:tr>
      <w:tr w14:paraId="616BB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CE8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大模型底座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9A5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Llama 3、Qwen、ChatGLM等开源大模型，支持本地化部署与微调</w:t>
            </w:r>
          </w:p>
        </w:tc>
      </w:tr>
      <w:tr w14:paraId="6EA74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E8E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向量数据库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21F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Milvus、Chroma（本地化部署）</w:t>
            </w:r>
          </w:p>
        </w:tc>
      </w:tr>
      <w:tr w14:paraId="5EAA7A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250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关系型数据库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1A1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PostgreSQL、MySQL</w:t>
            </w:r>
          </w:p>
        </w:tc>
      </w:tr>
      <w:tr w14:paraId="23064D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B154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0EB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React、Vue.js、Electron（桌面客户端）</w:t>
            </w:r>
          </w:p>
        </w:tc>
      </w:tr>
      <w:tr w14:paraId="1F3F84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75E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91D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Python FastAPI、Spring Boot</w:t>
            </w:r>
          </w:p>
        </w:tc>
      </w:tr>
      <w:tr w14:paraId="1CA644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41E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容器化部署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10B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Docker、Kubernetes（企业级部署）</w:t>
            </w:r>
          </w:p>
        </w:tc>
      </w:tr>
      <w:tr w14:paraId="14915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811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加密技术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5DD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AES-256、RSA-PSS、国密SM4算法</w:t>
            </w:r>
          </w:p>
        </w:tc>
      </w:tr>
      <w:tr w14:paraId="5FABC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5AD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运维监控</w:t>
            </w:r>
          </w:p>
        </w:tc>
        <w:tc>
          <w:tcPr>
            <w:tcW w:w="6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5ED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Prometheus、Grafana</w:t>
            </w:r>
          </w:p>
        </w:tc>
      </w:tr>
    </w:tbl>
    <w:p w14:paraId="164ECF1A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九、实施与上线计划</w:t>
      </w:r>
      <w:bookmarkEnd w:id="30"/>
    </w:p>
    <w:p w14:paraId="63EF6B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整体项目周期6个月，分为5个阶段实施，具体规划如下：</w:t>
      </w:r>
    </w:p>
    <w:tbl>
      <w:tblPr>
        <w:tblStyle w:val="2"/>
        <w:tblW w:w="876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0"/>
        <w:gridCol w:w="1240"/>
        <w:gridCol w:w="3020"/>
        <w:gridCol w:w="2484"/>
      </w:tblGrid>
      <w:tr w14:paraId="62747F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5F1E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3CF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周期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87CE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核心工作内容</w:t>
            </w:r>
          </w:p>
        </w:tc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362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里程碑交付物</w:t>
            </w:r>
          </w:p>
        </w:tc>
      </w:tr>
      <w:tr w14:paraId="14397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6384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第一阶段：需求确认与环境准备</w:t>
            </w:r>
          </w:p>
        </w:tc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1A1B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第1-2周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FFCA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细化需求规格，确认功能优先级；2. 完成NVIDIA Nemo Claw框架本地化适配测试；3. 完成硬件环境搭建与技术选型确认；4. 完成项目团队组建与分工</w:t>
            </w:r>
          </w:p>
        </w:tc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BFB4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需求规格说明书终稿；2. 技术选型报告；3. 本地化测试环境搭建完成</w:t>
            </w:r>
          </w:p>
        </w:tc>
      </w:tr>
      <w:tr w14:paraId="3716A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394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第二阶段：核心底座与基础模块开发</w:t>
            </w:r>
          </w:p>
        </w:tc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DC8D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第3-8周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6461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完成Nemo Claw核心框架本地化部署与适配；2. 完成智能体编排管理中心、数据安全中心开发；3. 完成本地化知识库与RAG引擎开发；4. 完成技术发现与评估、法律合规两大核心模块开发与测试</w:t>
            </w:r>
          </w:p>
        </w:tc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7478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OpenClaw平台核心底座V0.1版本；2. 两大核心业务模块内测版；3. 核心功能测试报告</w:t>
            </w:r>
          </w:p>
        </w:tc>
      </w:tr>
      <w:tr w14:paraId="27F978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6A8C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第三阶段：全业务模块开发与联调</w:t>
            </w:r>
          </w:p>
        </w:tc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153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第9-16周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2A48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完成需求匹配、技术开发、商业化三大业务模块开发；2. 完成政策与生态资源对接中心开发；3. 完成全模块业务联调，打通技术转移全流程数据闭环；4. 完成预置智能体开发与优化</w:t>
            </w:r>
          </w:p>
        </w:tc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57DB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OpenClaw平台全功能内测版V0.8；2. 技术转移全流程标准化智能体库；3. 全流程联调测试报告</w:t>
            </w:r>
          </w:p>
        </w:tc>
      </w:tr>
      <w:tr w14:paraId="270601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D71C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第四阶段：测试优化与试点验证</w:t>
            </w:r>
          </w:p>
        </w:tc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012A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第17-22周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3CB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完成全功能性能测试、安全测试、兼容性测试；2. 修复BUG，优化产品体验；3. 联合3-5家技术转移OPC试点用户进行内测验证；4. 基于试点反馈优化产品功能，完成模型微调</w:t>
            </w:r>
          </w:p>
        </w:tc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087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平台全量测试报告；2. 试点用户验证报告；3. 平台正式版V1.0待发布版本</w:t>
            </w:r>
          </w:p>
        </w:tc>
      </w:tr>
      <w:tr w14:paraId="522FB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6B6B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第五阶段：正式发布与运维支持</w:t>
            </w:r>
          </w:p>
        </w:tc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93F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第23-24周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C283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完成OpenClaw平台V1.0版本正式发布；2. 完成部署文档、操作手册、最佳实践教程编写；3. 为用户提供本地化部署支持与运维服务；4. 收集用户反馈，规划后续迭代版本</w:t>
            </w:r>
          </w:p>
        </w:tc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87DA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OpenClaw平台V1.0正式版；2. 全套产品文档与教程；3. 上线运维保障体系</w:t>
            </w:r>
          </w:p>
        </w:tc>
      </w:tr>
    </w:tbl>
    <w:p w14:paraId="3ACF095B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十、风险评估与应对策略</w:t>
      </w:r>
      <w:bookmarkEnd w:id="31"/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1"/>
        <w:gridCol w:w="3335"/>
        <w:gridCol w:w="640"/>
        <w:gridCol w:w="3495"/>
      </w:tblGrid>
      <w:tr w14:paraId="2E0DC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A06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bookmarkStart w:id="38" w:name="_GoBack"/>
            <w:bookmarkEnd w:id="38"/>
            <w:r>
              <w:rPr>
                <w:rFonts w:ascii="Arial" w:hAnsi="Arial" w:eastAsia="等线" w:cs="Arial"/>
                <w:b/>
                <w:sz w:val="22"/>
              </w:rPr>
              <w:t>风险类型</w:t>
            </w:r>
          </w:p>
        </w:tc>
        <w:tc>
          <w:tcPr>
            <w:tcW w:w="33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971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风险描述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F83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风险等级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16F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应对策略</w:t>
            </w:r>
          </w:p>
        </w:tc>
      </w:tr>
      <w:tr w14:paraId="5866E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1C2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33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D3F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NVIDIA Nemo Claw框架版本更新，导致现有功能适配性问题；大模型迭代快，本地化模型效果不及预期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561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FE9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锁定Nemo Claw稳定版本进行开发，版本更新前完成充分测试；2. 预置多模型适配能力，支持模型快速切换；3. 基于技术转移垂直场景数据完成模型微调，保障场景化效果；4. 建立技术监测机制，定期更新AI工具与模型，匹配《AI赋能技术转移OPC运营实操》中的技术迭代要求</w:t>
            </w:r>
          </w:p>
        </w:tc>
      </w:tr>
      <w:tr w14:paraId="0854D1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76A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合规风险</w:t>
            </w:r>
          </w:p>
        </w:tc>
        <w:tc>
          <w:tcPr>
            <w:tcW w:w="33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430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技术转移、知识产权、数据安全相关法规政策更新，导致平台功能不符合合规要求；AI生成内容的知识产权归属风险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A7F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9DB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建立政策法规实时监测机制，政策更新时快速迭代平台功能；2. 内置合规条款更新模块，自动更新合同模板、合规规则；3. 明确AI生成内容的知识产权归属提示，引导用户完成独创性设计与著作权登记；4. 所有功能设计严格遵循国家相关法律法规，定期进行合规审计</w:t>
            </w:r>
          </w:p>
        </w:tc>
      </w:tr>
      <w:tr w14:paraId="5247C0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49E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性能风险</w:t>
            </w:r>
          </w:p>
        </w:tc>
        <w:tc>
          <w:tcPr>
            <w:tcW w:w="33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FBF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本地化部署环境差异大，部分低配置硬件环境下平台运行效率低；多智能体并行作业时出现性能瓶颈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47E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B36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提供分级部署方案，针对不同硬件环境做性能优化；2. 实现模型轻量化推理，优化低配置硬件的运行效果；3. 优化智能体调度引擎，合理分配算力资源，避免性能瓶颈；4. 提供性能优化指南，指导用户完成硬件环境适配</w:t>
            </w:r>
          </w:p>
        </w:tc>
      </w:tr>
      <w:tr w14:paraId="198C5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27A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落地风险</w:t>
            </w:r>
          </w:p>
        </w:tc>
        <w:tc>
          <w:tcPr>
            <w:tcW w:w="33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9AE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OPC用户对平台的使用门槛预期过高，非技术背景用户上手难度大；平台功能与用户实际业务场景匹配度不足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0195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ED8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优化产品交互，降低操作门槛，提供可视化无代码操作界面；2. 预置标准化场景模板与最佳实践，匹配《AI赋能技术转移OPC运营实操》中的成功案例；3. 提供完整的新手教程、操作视频、一对一部署指导；4. 建立用户反馈机制，快速迭代优化产品功能，适配用户实际业务需求</w:t>
            </w:r>
          </w:p>
        </w:tc>
      </w:tr>
      <w:tr w14:paraId="3BF383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BA1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安全风险</w:t>
            </w:r>
          </w:p>
        </w:tc>
        <w:tc>
          <w:tcPr>
            <w:tcW w:w="33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8ED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本地化部署环境存在网络安全漏洞，导致数据泄露；智能体工具调用存在数据越权访问风险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14F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BE8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内置防火墙、入侵检测系统，定期进行安全漏洞扫描与修复；2. 实现细粒度权限管控，智能体工具调用与数据访问权限最小化；3. 全量数据加密存储，操作全程留痕审计；4. 提供安全配置指南，指导用户完成本地化安全环境搭建，符合数据安全相关法规要求</w:t>
            </w:r>
          </w:p>
        </w:tc>
      </w:tr>
    </w:tbl>
    <w:p w14:paraId="67EB7888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十一、验收标准</w:t>
      </w:r>
      <w:bookmarkEnd w:id="32"/>
    </w:p>
    <w:p w14:paraId="7E5C96E2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11.1 功能验收标准</w:t>
      </w:r>
      <w:bookmarkEnd w:id="33"/>
    </w:p>
    <w:p w14:paraId="0D92C57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平台全量功能实现PRD文档中100%的P0级功能、≥95%的P1级功能，无阻断性BUG；</w:t>
      </w:r>
    </w:p>
    <w:p w14:paraId="652481B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实现技术转移全流程闭环，用户可通过平台完成从技术发现评估到合规风控的全流程操作，无需切换第三方平台；</w:t>
      </w:r>
    </w:p>
    <w:p w14:paraId="5F4D557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所有预置智能体可正常运行，实现PRD中描述的业务能力，多智能体协同作业无异常；</w:t>
      </w:r>
    </w:p>
    <w:p w14:paraId="54A7053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本地化部署功能正常，全量数据可实现本地闭环存储，无强制云端依赖。</w:t>
      </w:r>
    </w:p>
    <w:p w14:paraId="663EFFAA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11.2 性能验收标准</w:t>
      </w:r>
      <w:bookmarkEnd w:id="34"/>
    </w:p>
    <w:p w14:paraId="3DF7FB7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基础交互响应时间≤2s，复杂报告生成时间≤30s，符合PRD性能需求；</w:t>
      </w:r>
    </w:p>
    <w:p w14:paraId="6BDECD1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单机部署环境下，10个智能体并行作业无卡顿、无崩溃，平台运行稳定；</w:t>
      </w:r>
    </w:p>
    <w:p w14:paraId="7F18BA2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专利评估周期≤4小时，合同生成与审核时间≤5分钟，代码生成效率提升50%以上，达到《AI赋能技术转移OPC运营实操》中的效率提升基准；</w:t>
      </w:r>
    </w:p>
    <w:p w14:paraId="612766B7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平台全年可用率≥99.9%，故障恢复时间≤30分钟。</w:t>
      </w:r>
    </w:p>
    <w:p w14:paraId="15878AA6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11.3 安全验收标准</w:t>
      </w:r>
      <w:bookmarkEnd w:id="35"/>
    </w:p>
    <w:p w14:paraId="009799D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平台通过第三方安全检测，无高危安全漏洞，符合等保2.0三级合规要求；</w:t>
      </w:r>
    </w:p>
    <w:p w14:paraId="5E1609E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全量敏感数据实现加密存储，密钥本地管控，无数据泄露风险；</w:t>
      </w:r>
    </w:p>
    <w:p w14:paraId="04A8F46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权限管控体系有效，细粒度权限配置正常，操作审计日志完整、不可篡改；</w:t>
      </w:r>
    </w:p>
    <w:p w14:paraId="557AAF9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智能体工具调用权限可控，无越权访问、数据泄露风险，prompt注入、模型越狱等安全攻击防护有效。</w:t>
      </w:r>
    </w:p>
    <w:p w14:paraId="1864D6D7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11.4 用户体验验收标准</w:t>
      </w:r>
      <w:bookmarkEnd w:id="36"/>
    </w:p>
    <w:p w14:paraId="1BC30F3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非技术背景用户可在1小时内完成基础操作学习，3天内掌握全流程核心功能；</w:t>
      </w:r>
    </w:p>
    <w:p w14:paraId="7F42FA3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试点用户测试满意度≥90%，核心业务场景适配度≥95%；</w:t>
      </w:r>
    </w:p>
    <w:p w14:paraId="7E322D3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产品文档、操作教程、最佳实践完整清晰，可指导用户完成独立部署与使用；</w:t>
      </w:r>
    </w:p>
    <w:p w14:paraId="51FFCD7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平台界面交互流畅，异常提示清晰，无影响用户操作的体验性问题。</w:t>
      </w:r>
    </w:p>
    <w:p w14:paraId="5A12AD14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十二、附录</w:t>
      </w:r>
      <w:bookmarkEnd w:id="37"/>
    </w:p>
    <w:p w14:paraId="1E3BCFA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术语定义</w:t>
      </w:r>
    </w:p>
    <w:p w14:paraId="362FB893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OPC：One Person Company，一人公司，本产品中特指「个人+AI」协同的技术转移创新组织形态；</w:t>
      </w:r>
    </w:p>
    <w:p w14:paraId="5350AB63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Nemo Claw：NVIDIA推出的生产级多智能体系统构建与部署框架；</w:t>
      </w:r>
    </w:p>
    <w:p w14:paraId="01826370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RAG：检索增强生成，用于本地化知识库与大模型能力的结合；</w:t>
      </w:r>
    </w:p>
    <w:p w14:paraId="7A456221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技术转移：指技术成果从供给方向需求方转移，实现商业化落地的全流程活动。</w:t>
      </w:r>
    </w:p>
    <w:p w14:paraId="2339D803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参考文档</w:t>
      </w:r>
    </w:p>
    <w:p w14:paraId="09D606CA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《AI赋能技术转移OPC运营实操》内容简介</w:t>
      </w:r>
    </w:p>
    <w:p w14:paraId="083E0481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NVIDIA Nemo Claw 官方技术文档</w:t>
      </w:r>
    </w:p>
    <w:p w14:paraId="24AE3DA0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《中华人民共和国数据安全法》</w:t>
      </w:r>
    </w:p>
    <w:p w14:paraId="2047C87F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《中华人民共和国知识产权法》</w:t>
      </w:r>
    </w:p>
    <w:p w14:paraId="0CE02FD8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《中华人民共和国个人信息保护法》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FB66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0FE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7C2C7"/>
    <w:multiLevelType w:val="singleLevel"/>
    <w:tmpl w:val="8FB7C2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FEF234C"/>
    <w:multiLevelType w:val="singleLevel"/>
    <w:tmpl w:val="8FEF23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7DA35FB"/>
    <w:multiLevelType w:val="singleLevel"/>
    <w:tmpl w:val="97DA35F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BAFBF12"/>
    <w:multiLevelType w:val="singleLevel"/>
    <w:tmpl w:val="9BAFBF1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AFFC7D6B"/>
    <w:multiLevelType w:val="singleLevel"/>
    <w:tmpl w:val="AFFC7D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35E77BD"/>
    <w:multiLevelType w:val="singleLevel"/>
    <w:tmpl w:val="B35E77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6D669A3"/>
    <w:multiLevelType w:val="singleLevel"/>
    <w:tmpl w:val="B6D669A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7BDD7F7"/>
    <w:multiLevelType w:val="singleLevel"/>
    <w:tmpl w:val="B7BDD7F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E7F5BB1"/>
    <w:multiLevelType w:val="singleLevel"/>
    <w:tmpl w:val="BE7F5BB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FF5F01E"/>
    <w:multiLevelType w:val="singleLevel"/>
    <w:tmpl w:val="BFF5F01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C6FF890B"/>
    <w:multiLevelType w:val="singleLevel"/>
    <w:tmpl w:val="C6FF89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C7FF5A47"/>
    <w:multiLevelType w:val="singleLevel"/>
    <w:tmpl w:val="C7FF5A4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CFFEB98F"/>
    <w:multiLevelType w:val="singleLevel"/>
    <w:tmpl w:val="CFFEB98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3B71A65"/>
    <w:multiLevelType w:val="singleLevel"/>
    <w:tmpl w:val="D3B71A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D3FA2148"/>
    <w:multiLevelType w:val="singleLevel"/>
    <w:tmpl w:val="D3FA21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3FE2DC1"/>
    <w:multiLevelType w:val="singleLevel"/>
    <w:tmpl w:val="D3FE2DC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D3FFE16E"/>
    <w:multiLevelType w:val="singleLevel"/>
    <w:tmpl w:val="D3FFE1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E9EA826"/>
    <w:multiLevelType w:val="singleLevel"/>
    <w:tmpl w:val="DE9EA8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DF22D2BF"/>
    <w:multiLevelType w:val="singleLevel"/>
    <w:tmpl w:val="DF22D2B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DF375138"/>
    <w:multiLevelType w:val="singleLevel"/>
    <w:tmpl w:val="DF37513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DF5B703E"/>
    <w:multiLevelType w:val="singleLevel"/>
    <w:tmpl w:val="DF5B70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DF78CCD4"/>
    <w:multiLevelType w:val="singleLevel"/>
    <w:tmpl w:val="DF78CCD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DFE609A5"/>
    <w:multiLevelType w:val="singleLevel"/>
    <w:tmpl w:val="DFE609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DFF22C49"/>
    <w:multiLevelType w:val="singleLevel"/>
    <w:tmpl w:val="DFF22C4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E5CE468A"/>
    <w:multiLevelType w:val="singleLevel"/>
    <w:tmpl w:val="E5CE468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EDFEC89E"/>
    <w:multiLevelType w:val="singleLevel"/>
    <w:tmpl w:val="EDFEC89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EE5F69AA"/>
    <w:multiLevelType w:val="singleLevel"/>
    <w:tmpl w:val="EE5F69A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EFDE1080"/>
    <w:multiLevelType w:val="singleLevel"/>
    <w:tmpl w:val="EFDE108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EFEE85F3"/>
    <w:multiLevelType w:val="singleLevel"/>
    <w:tmpl w:val="EFEE85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EFF386F0"/>
    <w:multiLevelType w:val="singleLevel"/>
    <w:tmpl w:val="EFF386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EFFEBFCB"/>
    <w:multiLevelType w:val="singleLevel"/>
    <w:tmpl w:val="EFFEBFC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F3EFAE8C"/>
    <w:multiLevelType w:val="singleLevel"/>
    <w:tmpl w:val="F3EFAE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F4CE58E7"/>
    <w:multiLevelType w:val="singleLevel"/>
    <w:tmpl w:val="F4CE58E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F78F2473"/>
    <w:multiLevelType w:val="singleLevel"/>
    <w:tmpl w:val="F78F247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F7BE1BA6"/>
    <w:multiLevelType w:val="singleLevel"/>
    <w:tmpl w:val="F7BE1BA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F7F79B72"/>
    <w:multiLevelType w:val="singleLevel"/>
    <w:tmpl w:val="F7F79B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F99FA360"/>
    <w:multiLevelType w:val="singleLevel"/>
    <w:tmpl w:val="F99FA36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FB78ADB1"/>
    <w:multiLevelType w:val="singleLevel"/>
    <w:tmpl w:val="FB78AD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FBD0D0FE"/>
    <w:multiLevelType w:val="singleLevel"/>
    <w:tmpl w:val="FBD0D0F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FC77766E"/>
    <w:multiLevelType w:val="singleLevel"/>
    <w:tmpl w:val="FC7776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FCF2A439"/>
    <w:multiLevelType w:val="singleLevel"/>
    <w:tmpl w:val="FCF2A43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FCFEC8E7"/>
    <w:multiLevelType w:val="singleLevel"/>
    <w:tmpl w:val="FCFEC8E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CFF3B25"/>
    <w:multiLevelType w:val="singleLevel"/>
    <w:tmpl w:val="FCFF3B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FD3FA659"/>
    <w:multiLevelType w:val="singleLevel"/>
    <w:tmpl w:val="FD3FA6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FDA38857"/>
    <w:multiLevelType w:val="singleLevel"/>
    <w:tmpl w:val="FDA3885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FDBDA65A"/>
    <w:multiLevelType w:val="singleLevel"/>
    <w:tmpl w:val="FDBDA6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FEDF6F50"/>
    <w:multiLevelType w:val="singleLevel"/>
    <w:tmpl w:val="FEDF6F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FF5A509E"/>
    <w:multiLevelType w:val="singleLevel"/>
    <w:tmpl w:val="FF5A509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FF5EA207"/>
    <w:multiLevelType w:val="singleLevel"/>
    <w:tmpl w:val="FF5EA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FF67D590"/>
    <w:multiLevelType w:val="singleLevel"/>
    <w:tmpl w:val="FF67D5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FF7EECBC"/>
    <w:multiLevelType w:val="singleLevel"/>
    <w:tmpl w:val="FF7EECB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FF971BE0"/>
    <w:multiLevelType w:val="singleLevel"/>
    <w:tmpl w:val="FF971BE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FF9A0DA0"/>
    <w:multiLevelType w:val="singleLevel"/>
    <w:tmpl w:val="FF9A0D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FFBEABBF"/>
    <w:multiLevelType w:val="singleLevel"/>
    <w:tmpl w:val="FFBEABB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FFD6EABB"/>
    <w:multiLevelType w:val="singleLevel"/>
    <w:tmpl w:val="FFD6EAB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FFD72C07"/>
    <w:multiLevelType w:val="singleLevel"/>
    <w:tmpl w:val="FFD72C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FFE01A77"/>
    <w:multiLevelType w:val="singleLevel"/>
    <w:tmpl w:val="FFE01A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FFE587E1"/>
    <w:multiLevelType w:val="singleLevel"/>
    <w:tmpl w:val="FFE587E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FFEE3ED2"/>
    <w:multiLevelType w:val="singleLevel"/>
    <w:tmpl w:val="FFEE3ED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FFF73E65"/>
    <w:multiLevelType w:val="singleLevel"/>
    <w:tmpl w:val="FFF73E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FFFE3C6C"/>
    <w:multiLevelType w:val="singleLevel"/>
    <w:tmpl w:val="FFFE3C6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1F3EB8E9"/>
    <w:multiLevelType w:val="singleLevel"/>
    <w:tmpl w:val="1F3EB8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2FC5DF9F"/>
    <w:multiLevelType w:val="singleLevel"/>
    <w:tmpl w:val="2FC5DF9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3FFA20A2"/>
    <w:multiLevelType w:val="singleLevel"/>
    <w:tmpl w:val="3FFA20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4EF3869B"/>
    <w:multiLevelType w:val="singleLevel"/>
    <w:tmpl w:val="4EF386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5CDFC59D"/>
    <w:multiLevelType w:val="singleLevel"/>
    <w:tmpl w:val="5CDFC59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5DFBD23A"/>
    <w:multiLevelType w:val="singleLevel"/>
    <w:tmpl w:val="5DFBD23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6D72040A"/>
    <w:multiLevelType w:val="singleLevel"/>
    <w:tmpl w:val="6D7204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6E737DC5"/>
    <w:multiLevelType w:val="singleLevel"/>
    <w:tmpl w:val="6E737D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6EBB888B"/>
    <w:multiLevelType w:val="singleLevel"/>
    <w:tmpl w:val="6EBB888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6F5325AD"/>
    <w:multiLevelType w:val="singleLevel"/>
    <w:tmpl w:val="6F5325A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6FF271A6"/>
    <w:multiLevelType w:val="singleLevel"/>
    <w:tmpl w:val="6FF271A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2">
    <w:nsid w:val="77EEFE88"/>
    <w:multiLevelType w:val="singleLevel"/>
    <w:tmpl w:val="77EEFE8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7BA7605B"/>
    <w:multiLevelType w:val="singleLevel"/>
    <w:tmpl w:val="7BA760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7D7AFB3C"/>
    <w:multiLevelType w:val="singleLevel"/>
    <w:tmpl w:val="7D7AFB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7FD6E7B9"/>
    <w:multiLevelType w:val="singleLevel"/>
    <w:tmpl w:val="7FD6E7B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7FED9506"/>
    <w:multiLevelType w:val="singleLevel"/>
    <w:tmpl w:val="7FED950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7FFE16C5"/>
    <w:multiLevelType w:val="singleLevel"/>
    <w:tmpl w:val="7FFE16C5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7"/>
  </w:num>
  <w:num w:numId="2">
    <w:abstractNumId w:val="76"/>
  </w:num>
  <w:num w:numId="3">
    <w:abstractNumId w:val="62"/>
  </w:num>
  <w:num w:numId="4">
    <w:abstractNumId w:val="65"/>
  </w:num>
  <w:num w:numId="5">
    <w:abstractNumId w:val="34"/>
  </w:num>
  <w:num w:numId="6">
    <w:abstractNumId w:val="12"/>
  </w:num>
  <w:num w:numId="7">
    <w:abstractNumId w:val="17"/>
  </w:num>
  <w:num w:numId="8">
    <w:abstractNumId w:val="71"/>
  </w:num>
  <w:num w:numId="9">
    <w:abstractNumId w:val="33"/>
  </w:num>
  <w:num w:numId="10">
    <w:abstractNumId w:val="18"/>
  </w:num>
  <w:num w:numId="11">
    <w:abstractNumId w:val="55"/>
  </w:num>
  <w:num w:numId="12">
    <w:abstractNumId w:val="32"/>
  </w:num>
  <w:num w:numId="13">
    <w:abstractNumId w:val="53"/>
  </w:num>
  <w:num w:numId="14">
    <w:abstractNumId w:val="68"/>
  </w:num>
  <w:num w:numId="15">
    <w:abstractNumId w:val="67"/>
  </w:num>
  <w:num w:numId="16">
    <w:abstractNumId w:val="49"/>
  </w:num>
  <w:num w:numId="17">
    <w:abstractNumId w:val="51"/>
  </w:num>
  <w:num w:numId="18">
    <w:abstractNumId w:val="22"/>
  </w:num>
  <w:num w:numId="19">
    <w:abstractNumId w:val="66"/>
  </w:num>
  <w:num w:numId="20">
    <w:abstractNumId w:val="6"/>
  </w:num>
  <w:num w:numId="21">
    <w:abstractNumId w:val="41"/>
  </w:num>
  <w:num w:numId="22">
    <w:abstractNumId w:val="3"/>
  </w:num>
  <w:num w:numId="23">
    <w:abstractNumId w:val="28"/>
  </w:num>
  <w:num w:numId="24">
    <w:abstractNumId w:val="8"/>
  </w:num>
  <w:num w:numId="25">
    <w:abstractNumId w:val="2"/>
  </w:num>
  <w:num w:numId="26">
    <w:abstractNumId w:val="24"/>
  </w:num>
  <w:num w:numId="27">
    <w:abstractNumId w:val="19"/>
  </w:num>
  <w:num w:numId="28">
    <w:abstractNumId w:val="10"/>
  </w:num>
  <w:num w:numId="29">
    <w:abstractNumId w:val="25"/>
  </w:num>
  <w:num w:numId="30">
    <w:abstractNumId w:val="37"/>
  </w:num>
  <w:num w:numId="31">
    <w:abstractNumId w:val="14"/>
  </w:num>
  <w:num w:numId="32">
    <w:abstractNumId w:val="36"/>
  </w:num>
  <w:num w:numId="33">
    <w:abstractNumId w:val="26"/>
  </w:num>
  <w:num w:numId="34">
    <w:abstractNumId w:val="72"/>
  </w:num>
  <w:num w:numId="35">
    <w:abstractNumId w:val="7"/>
  </w:num>
  <w:num w:numId="36">
    <w:abstractNumId w:val="1"/>
  </w:num>
  <w:num w:numId="37">
    <w:abstractNumId w:val="21"/>
  </w:num>
  <w:num w:numId="38">
    <w:abstractNumId w:val="13"/>
  </w:num>
  <w:num w:numId="39">
    <w:abstractNumId w:val="42"/>
  </w:num>
  <w:num w:numId="40">
    <w:abstractNumId w:val="60"/>
  </w:num>
  <w:num w:numId="41">
    <w:abstractNumId w:val="75"/>
  </w:num>
  <w:num w:numId="42">
    <w:abstractNumId w:val="52"/>
  </w:num>
  <w:num w:numId="43">
    <w:abstractNumId w:val="9"/>
  </w:num>
  <w:num w:numId="44">
    <w:abstractNumId w:val="73"/>
  </w:num>
  <w:num w:numId="45">
    <w:abstractNumId w:val="48"/>
  </w:num>
  <w:num w:numId="46">
    <w:abstractNumId w:val="61"/>
  </w:num>
  <w:num w:numId="47">
    <w:abstractNumId w:val="50"/>
  </w:num>
  <w:num w:numId="48">
    <w:abstractNumId w:val="40"/>
  </w:num>
  <w:num w:numId="49">
    <w:abstractNumId w:val="0"/>
  </w:num>
  <w:num w:numId="50">
    <w:abstractNumId w:val="23"/>
  </w:num>
  <w:num w:numId="51">
    <w:abstractNumId w:val="64"/>
  </w:num>
  <w:num w:numId="52">
    <w:abstractNumId w:val="44"/>
  </w:num>
  <w:num w:numId="53">
    <w:abstractNumId w:val="39"/>
  </w:num>
  <w:num w:numId="54">
    <w:abstractNumId w:val="59"/>
  </w:num>
  <w:num w:numId="55">
    <w:abstractNumId w:val="54"/>
  </w:num>
  <w:num w:numId="56">
    <w:abstractNumId w:val="43"/>
  </w:num>
  <w:num w:numId="57">
    <w:abstractNumId w:val="47"/>
  </w:num>
  <w:num w:numId="58">
    <w:abstractNumId w:val="46"/>
  </w:num>
  <w:num w:numId="59">
    <w:abstractNumId w:val="77"/>
  </w:num>
  <w:num w:numId="60">
    <w:abstractNumId w:val="5"/>
  </w:num>
  <w:num w:numId="61">
    <w:abstractNumId w:val="11"/>
  </w:num>
  <w:num w:numId="62">
    <w:abstractNumId w:val="57"/>
  </w:num>
  <w:num w:numId="63">
    <w:abstractNumId w:val="70"/>
  </w:num>
  <w:num w:numId="64">
    <w:abstractNumId w:val="58"/>
  </w:num>
  <w:num w:numId="65">
    <w:abstractNumId w:val="16"/>
  </w:num>
  <w:num w:numId="66">
    <w:abstractNumId w:val="30"/>
  </w:num>
  <w:num w:numId="67">
    <w:abstractNumId w:val="38"/>
  </w:num>
  <w:num w:numId="68">
    <w:abstractNumId w:val="35"/>
  </w:num>
  <w:num w:numId="69">
    <w:abstractNumId w:val="20"/>
  </w:num>
  <w:num w:numId="70">
    <w:abstractNumId w:val="69"/>
  </w:num>
  <w:num w:numId="71">
    <w:abstractNumId w:val="15"/>
  </w:num>
  <w:num w:numId="72">
    <w:abstractNumId w:val="29"/>
  </w:num>
  <w:num w:numId="73">
    <w:abstractNumId w:val="4"/>
  </w:num>
  <w:num w:numId="74">
    <w:abstractNumId w:val="63"/>
  </w:num>
  <w:num w:numId="75">
    <w:abstractNumId w:val="56"/>
  </w:num>
  <w:num w:numId="76">
    <w:abstractNumId w:val="31"/>
  </w:num>
  <w:num w:numId="77">
    <w:abstractNumId w:val="74"/>
  </w:num>
  <w:num w:numId="7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037EF2"/>
    <w:rsid w:val="7CBE9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2451</Words>
  <Characters>2716</Characters>
  <TotalTime>2</TotalTime>
  <ScaleCrop>false</ScaleCrop>
  <LinksUpToDate>false</LinksUpToDate>
  <CharactersWithSpaces>2773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2026-03-31T17:23:00Z</dcterms:created>
  <dc:creator>Apache POI</dc:creator>
  <cp:lastModifiedBy>左笔方寸有AI</cp:lastModifiedBy>
  <dcterms:modified xsi:type="dcterms:W3CDTF">2026-03-31T10:28:18Z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18FD7ACBB5C3404383BE3645067A15BA_13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