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微软雅黑"/>
          <w:b/>
          <w:color w:val="1A1A2E"/>
          <w:sz w:val="44"/>
        </w:rPr>
        <w:t>恶性胸膜间皮瘤图像分类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555555"/>
          <w:sz w:val="36"/>
        </w:rPr>
        <w:t>Revisit 研究可行性分析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color w:val="777777"/>
          <w:sz w:val="28"/>
        </w:rPr>
        <w:t>——从蛋白质亚细胞定位到罕见病类器官图像分析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color w:val="777777"/>
          <w:sz w:val="24"/>
        </w:rPr>
        <w:t>日期：2026年3月27日</w:t>
      </w:r>
    </w:p>
    <w:p>
      <w:r>
        <w:br w:type="page"/>
      </w:r>
    </w:p>
    <w:p>
      <w:pPr>
        <w:pStyle w:val="Heading1"/>
      </w:pPr>
      <w:r>
        <w:t>1. 原论文回顾</w:t>
      </w:r>
    </w:p>
    <w:p>
      <w:pPr>
        <w:pStyle w:val="Heading2"/>
      </w:pPr>
      <w:r>
        <w:t>1.1 论文概要</w:t>
      </w:r>
    </w:p>
    <w:p>
      <w:pPr>
        <w:spacing w:after="120" w:line="360" w:lineRule="auto"/>
        <w:ind w:firstLine="425"/>
      </w:pPr>
      <w:r>
        <w:t>论文标题：An Experimental Research for Automatic Classification of Unbalanced Single-channel Protein Sub-cellular Location Fluorescence Image Set</w:t>
      </w:r>
    </w:p>
    <w:p>
      <w:pPr>
        <w:spacing w:after="120" w:line="360" w:lineRule="auto"/>
        <w:ind w:firstLine="425"/>
      </w:pPr>
      <w:r>
        <w:t>发表期刊：Computers in Biology and Medicine (2011)</w:t>
      </w:r>
    </w:p>
    <w:p>
      <w:pPr>
        <w:spacing w:after="120" w:line="360" w:lineRule="auto"/>
        <w:ind w:firstLine="425"/>
      </w:pPr>
      <w:r>
        <w:t>核心问题：在不进行图像分割的前提下，对不平衡的单通道蛋白质亚细胞定位荧光图像进行自动分类。</w:t>
      </w:r>
    </w:p>
    <w:p>
      <w:pPr>
        <w:pStyle w:val="Heading2"/>
      </w:pPr>
      <w:r>
        <w:t>1.2 关键发现</w:t>
      </w:r>
    </w:p>
    <w:p>
      <w:pPr>
        <w:pStyle w:val="ListBullet"/>
        <w:spacing w:after="60"/>
      </w:pPr>
      <w:r>
        <w:t>2D HeLa 数据集存在严重的类别不平衡问题</w:t>
      </w:r>
    </w:p>
    <w:p>
      <w:pPr>
        <w:pStyle w:val="ListBullet"/>
        <w:spacing w:after="60"/>
      </w:pPr>
      <w:r>
        <w:t>SC630（Spatial Pyramid Matching + SIFT 特征）在平衡数据上表现良好，但在不平衡数据上少数类准确率显著下降</w:t>
      </w:r>
    </w:p>
    <w:p>
      <w:pPr>
        <w:pStyle w:val="ListBullet"/>
        <w:spacing w:after="60"/>
      </w:pPr>
      <w:r>
        <w:t>Random Forests 集成分类器 + 上采样策略将平均准确率提升至 89.4%</w:t>
      </w:r>
    </w:p>
    <w:p>
      <w:pPr>
        <w:pStyle w:val="ListBullet"/>
        <w:spacing w:after="60"/>
      </w:pPr>
      <w:r>
        <w:t>核心结论：数据不平衡是限制分类性能的关键因素，少数类（如 ER、Vesicle）的分类准确率远低于多数类</w:t>
      </w:r>
    </w:p>
    <w:p>
      <w:pPr>
        <w:pStyle w:val="Heading2"/>
      </w:pPr>
      <w:r>
        <w:t>1.3 与当前研究的连接</w:t>
      </w:r>
    </w:p>
    <w:p>
      <w:r>
        <w:rPr>
          <w:rFonts w:ascii="Microsoft YaHei" w:hAnsi="Microsoft YaHei" w:eastAsia="微软雅黑"/>
          <w:b/>
          <w:color w:val="C0392B"/>
        </w:rPr>
        <w:t>关键洞察：十多年后，你论文中揭示的「类别不平衡导致少数类分类困难」这一核心问题，在恶性胸膜间皮瘤（MPM）的组织病理学分类中依然尖锐存在。</w:t>
      </w:r>
    </w:p>
    <w:p>
      <w:pPr>
        <w:pStyle w:val="Heading1"/>
      </w:pPr>
      <w:r>
        <w:t>2. 恶性胸膜间皮瘤（MPM）数据集调研</w:t>
      </w:r>
    </w:p>
    <w:p>
      <w:pPr>
        <w:pStyle w:val="Heading2"/>
      </w:pPr>
      <w:r>
        <w:t>2.1 TCGA-MESO 数据集</w:t>
      </w:r>
    </w:p>
    <w:p>
      <w:pPr>
        <w:spacing w:after="120" w:line="360" w:lineRule="auto"/>
        <w:ind w:firstLine="425"/>
      </w:pPr>
      <w:r>
        <w:t>来源：The Cancer Genome Atlas (TCGA) — GDC Data Portal</w:t>
      </w:r>
    </w:p>
    <w:p>
      <w:pPr>
        <w:spacing w:after="120" w:line="360" w:lineRule="auto"/>
        <w:ind w:firstLine="425"/>
      </w:pPr>
      <w:r>
        <w:t>规模：87 例患者，含诊断性全切片图像（WSI）</w:t>
      </w:r>
    </w:p>
    <w:p>
      <w:pPr>
        <w:spacing w:after="120" w:line="360" w:lineRule="auto"/>
      </w:pPr>
      <w:r>
        <w:t>亚型分布（严重不平衡！）：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组织学亚型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病例数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预后</w:t>
            </w:r>
          </w:p>
        </w:tc>
      </w:tr>
      <w:tr>
        <w:tc>
          <w:tcPr>
            <w:tcW w:type="dxa" w:w="2160"/>
          </w:tcPr>
          <w:p>
            <w:r>
              <w:t>上皮样型 (Epithelioid)</w:t>
            </w:r>
          </w:p>
        </w:tc>
        <w:tc>
          <w:tcPr>
            <w:tcW w:type="dxa" w:w="2160"/>
          </w:tcPr>
          <w:p>
            <w:r>
              <w:t>~90</w:t>
            </w:r>
          </w:p>
        </w:tc>
        <w:tc>
          <w:tcPr>
            <w:tcW w:type="dxa" w:w="2160"/>
          </w:tcPr>
          <w:p>
            <w:r>
              <w:t>~73%</w:t>
            </w:r>
          </w:p>
        </w:tc>
        <w:tc>
          <w:tcPr>
            <w:tcW w:type="dxa" w:w="2160"/>
          </w:tcPr>
          <w:p>
            <w:r>
              <w:t>较好</w:t>
            </w:r>
          </w:p>
        </w:tc>
      </w:tr>
      <w:tr>
        <w:tc>
          <w:tcPr>
            <w:tcW w:type="dxa" w:w="2160"/>
          </w:tcPr>
          <w:p>
            <w:r>
              <w:t>双相型 (Biphasic)</w:t>
            </w:r>
          </w:p>
        </w:tc>
        <w:tc>
          <w:tcPr>
            <w:tcW w:type="dxa" w:w="2160"/>
          </w:tcPr>
          <w:p>
            <w:r>
              <w:t>~25</w:t>
            </w:r>
          </w:p>
        </w:tc>
        <w:tc>
          <w:tcPr>
            <w:tcW w:type="dxa" w:w="2160"/>
          </w:tcPr>
          <w:p>
            <w:r>
              <w:t>~20%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</w:tr>
      <w:tr>
        <w:tc>
          <w:tcPr>
            <w:tcW w:type="dxa" w:w="2160"/>
          </w:tcPr>
          <w:p>
            <w:r>
              <w:t>肉瘤样型 (Sarcomatoid)</w:t>
            </w:r>
          </w:p>
        </w:tc>
        <w:tc>
          <w:tcPr>
            <w:tcW w:type="dxa" w:w="2160"/>
          </w:tcPr>
          <w:p>
            <w:r>
              <w:t>~6</w:t>
            </w:r>
          </w:p>
        </w:tc>
        <w:tc>
          <w:tcPr>
            <w:tcW w:type="dxa" w:w="2160"/>
          </w:tcPr>
          <w:p>
            <w:r>
              <w:t>~5%</w:t>
            </w:r>
          </w:p>
        </w:tc>
        <w:tc>
          <w:tcPr>
            <w:tcW w:type="dxa" w:w="2160"/>
          </w:tcPr>
          <w:p>
            <w:r>
              <w:t>最差</w:t>
            </w:r>
          </w:p>
        </w:tc>
      </w:tr>
    </w:tbl>
    <w:p/>
    <w:p>
      <w:r>
        <w:rPr>
          <w:rFonts w:ascii="Microsoft YaHei" w:hAnsi="Microsoft YaHei" w:eastAsia="微软雅黑"/>
          <w:b/>
          <w:color w:val="C0392B"/>
        </w:rPr>
        <w:t>⚠ 这正是你十多年前研究的经典长尾分布问题！肉瘤样型最罕见、最致命，但样本最少，分类难度最大。</w:t>
      </w:r>
    </w:p>
    <w:p>
      <w:pPr>
        <w:pStyle w:val="Heading2"/>
      </w:pPr>
      <w:r>
        <w:t>2.2 LATTICe 数据集（2025，最新）</w:t>
      </w:r>
    </w:p>
    <w:p>
      <w:pPr>
        <w:spacing w:after="120" w:line="360" w:lineRule="auto"/>
        <w:ind w:firstLine="425"/>
      </w:pPr>
      <w:r>
        <w:t>来源：Nature Communications (2025) — Seyedshahi et al.</w:t>
      </w:r>
    </w:p>
    <w:p>
      <w:pPr>
        <w:spacing w:after="120" w:line="360" w:lineRule="auto"/>
        <w:ind w:firstLine="425"/>
      </w:pPr>
      <w:r>
        <w:t>规模：485 例患者的 3446 张全切片 H&amp;E 染色图像</w:t>
      </w:r>
    </w:p>
    <w:p>
      <w:pPr>
        <w:spacing w:after="120" w:line="360" w:lineRule="auto"/>
        <w:ind w:firstLine="425"/>
      </w:pPr>
      <w:r>
        <w:t>方法：自监督学习（Self-supervised Learning）构建间皮瘤组织形态学图谱</w:t>
      </w:r>
    </w:p>
    <w:p>
      <w:pPr>
        <w:spacing w:after="120" w:line="360" w:lineRule="auto"/>
      </w:pPr>
      <w:r>
        <w:t>亮点：</w:t>
      </w:r>
    </w:p>
    <w:p>
      <w:pPr>
        <w:pStyle w:val="ListBullet"/>
        <w:spacing w:after="60"/>
      </w:pPr>
      <w:r>
        <w:t>发现间皮瘤中反复出现的组织形态学模式</w:t>
      </w:r>
    </w:p>
    <w:p>
      <w:pPr>
        <w:pStyle w:val="ListBullet"/>
        <w:spacing w:after="60"/>
      </w:pPr>
      <w:r>
        <w:t>这些模式与临床预后相关</w:t>
      </w:r>
    </w:p>
    <w:p>
      <w:pPr>
        <w:pStyle w:val="ListBullet"/>
        <w:spacing w:after="60"/>
      </w:pPr>
      <w:r>
        <w:t>数据可能通过合理申请获取</w:t>
      </w:r>
    </w:p>
    <w:p>
      <w:pPr>
        <w:pStyle w:val="Heading2"/>
      </w:pPr>
      <w:r>
        <w:t>2.3 MesoGraph 数据集</w:t>
      </w:r>
    </w:p>
    <w:p>
      <w:pPr>
        <w:spacing w:after="120" w:line="360" w:lineRule="auto"/>
        <w:ind w:firstLine="425"/>
      </w:pPr>
      <w:r>
        <w:t>来源：GitHub (measty/MesoGraph)，2024</w:t>
      </w:r>
    </w:p>
    <w:p>
      <w:pPr>
        <w:spacing w:after="120" w:line="360" w:lineRule="auto"/>
        <w:ind w:firstLine="425"/>
      </w:pPr>
      <w:r>
        <w:t>类型：组织微阵列（TMA）图像</w:t>
      </w:r>
    </w:p>
    <w:p>
      <w:pPr>
        <w:spacing w:after="120" w:line="360" w:lineRule="auto"/>
        <w:ind w:firstLine="425"/>
      </w:pPr>
      <w:r>
        <w:t>方法：图神经网络（GNN）进行癌细胞分析</w:t>
      </w:r>
    </w:p>
    <w:p>
      <w:pPr>
        <w:spacing w:after="120" w:line="360" w:lineRule="auto"/>
        <w:ind w:firstLine="425"/>
      </w:pPr>
      <w:r>
        <w:t>优势：代码开源，数据可从论文引用来源获取</w:t>
      </w:r>
    </w:p>
    <w:p>
      <w:pPr>
        <w:pStyle w:val="Heading2"/>
      </w:pPr>
      <w:r>
        <w:t>2.4 其他相关数据集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数据集/来源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可用性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MesoNet</w:t>
            </w:r>
          </w:p>
        </w:tc>
        <w:tc>
          <w:tcPr>
            <w:tcW w:type="dxa" w:w="2160"/>
          </w:tcPr>
          <w:p>
            <w:r>
              <w:t>WSI tiles</w:t>
            </w:r>
          </w:p>
        </w:tc>
        <w:tc>
          <w:tcPr>
            <w:tcW w:type="dxa" w:w="2160"/>
          </w:tcPr>
          <w:p>
            <w:r>
              <w:t>需申请</w:t>
            </w:r>
          </w:p>
        </w:tc>
        <w:tc>
          <w:tcPr>
            <w:tcW w:type="dxa" w:w="2160"/>
          </w:tcPr>
          <w:p>
            <w:r>
              <w:t>用于生存预测，非亚型分类</w:t>
            </w:r>
          </w:p>
        </w:tc>
      </w:tr>
      <w:tr>
        <w:tc>
          <w:tcPr>
            <w:tcW w:type="dxa" w:w="2160"/>
          </w:tcPr>
          <w:p>
            <w:r>
              <w:t>SpindleMesoNET</w:t>
            </w:r>
          </w:p>
        </w:tc>
        <w:tc>
          <w:tcPr>
            <w:tcW w:type="dxa" w:w="2160"/>
          </w:tcPr>
          <w:p>
            <w:r>
              <w:t>WSI</w:t>
            </w:r>
          </w:p>
        </w:tc>
        <w:tc>
          <w:tcPr>
            <w:tcW w:type="dxa" w:w="2160"/>
          </w:tcPr>
          <w:p>
            <w:r>
              <w:t>需申请</w:t>
            </w:r>
          </w:p>
        </w:tc>
        <w:tc>
          <w:tcPr>
            <w:tcW w:type="dxa" w:w="2160"/>
          </w:tcPr>
          <w:p>
            <w:r>
              <w:t>区分肉瘤样型与良性梭形细胞增生</w:t>
            </w:r>
          </w:p>
        </w:tc>
      </w:tr>
      <w:tr>
        <w:tc>
          <w:tcPr>
            <w:tcW w:type="dxa" w:w="2160"/>
          </w:tcPr>
          <w:p>
            <w:r>
              <w:t>英国皇家病理学院</w:t>
            </w:r>
          </w:p>
        </w:tc>
        <w:tc>
          <w:tcPr>
            <w:tcW w:type="dxa" w:w="2160"/>
          </w:tcPr>
          <w:p>
            <w:r>
              <w:t>标准参考</w:t>
            </w:r>
          </w:p>
        </w:tc>
        <w:tc>
          <w:tcPr>
            <w:tcW w:type="dxa" w:w="2160"/>
          </w:tcPr>
          <w:p>
            <w:r>
              <w:t>公开</w:t>
            </w:r>
          </w:p>
        </w:tc>
        <w:tc>
          <w:tcPr>
            <w:tcW w:type="dxa" w:w="2160"/>
          </w:tcPr>
          <w:p>
            <w:r>
              <w:t>间皮瘤病理报告标准数据集</w:t>
            </w:r>
          </w:p>
        </w:tc>
      </w:tr>
    </w:tbl>
    <w:p/>
    <w:p>
      <w:pPr>
        <w:pStyle w:val="Heading1"/>
      </w:pPr>
      <w:r>
        <w:t>3. 当前 SOTA 技术分析</w:t>
      </w:r>
    </w:p>
    <w:p>
      <w:pPr>
        <w:pStyle w:val="Heading2"/>
      </w:pPr>
      <w:r>
        <w:t>3.1 病理学基础模型（Foundation Models）</w:t>
      </w:r>
    </w:p>
    <w:p>
      <w:pPr>
        <w:spacing w:after="120" w:line="360" w:lineRule="auto"/>
      </w:pPr>
      <w:r>
        <w:t>过去两年，病理学领域涌现了一批强大的基础模型，这些模型在大规模病理图像上预训练，可直接迁移到 MPM 分类任务：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机构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预训练数据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特点</w:t>
            </w:r>
          </w:p>
        </w:tc>
      </w:tr>
      <w:tr>
        <w:tc>
          <w:tcPr>
            <w:tcW w:type="dxa" w:w="2160"/>
          </w:tcPr>
          <w:p>
            <w:r>
              <w:t>CONCH</w:t>
            </w:r>
          </w:p>
        </w:tc>
        <w:tc>
          <w:tcPr>
            <w:tcW w:type="dxa" w:w="2160"/>
          </w:tcPr>
          <w:p>
            <w:r>
              <w:t>Mahmood Lab (Harvard)</w:t>
            </w:r>
          </w:p>
        </w:tc>
        <w:tc>
          <w:tcPr>
            <w:tcW w:type="dxa" w:w="2160"/>
          </w:tcPr>
          <w:p>
            <w:r>
              <w:t>117万+图像-文本对</w:t>
            </w:r>
          </w:p>
        </w:tc>
        <w:tc>
          <w:tcPr>
            <w:tcW w:type="dxa" w:w="2160"/>
          </w:tcPr>
          <w:p>
            <w:r>
              <w:t>视觉-语言多模态，支持零样本分类</w:t>
            </w:r>
          </w:p>
        </w:tc>
      </w:tr>
      <w:tr>
        <w:tc>
          <w:tcPr>
            <w:tcW w:type="dxa" w:w="2160"/>
          </w:tcPr>
          <w:p>
            <w:r>
              <w:t>UNI</w:t>
            </w:r>
          </w:p>
        </w:tc>
        <w:tc>
          <w:tcPr>
            <w:tcW w:type="dxa" w:w="2160"/>
          </w:tcPr>
          <w:p>
            <w:r>
              <w:t>MSKCC</w:t>
            </w:r>
          </w:p>
        </w:tc>
        <w:tc>
          <w:tcPr>
            <w:tcW w:type="dxa" w:w="2160"/>
          </w:tcPr>
          <w:p>
            <w:r>
              <w:t>大规模病理数据</w:t>
            </w:r>
          </w:p>
        </w:tc>
        <w:tc>
          <w:tcPr>
            <w:tcW w:type="dxa" w:w="2160"/>
          </w:tcPr>
          <w:p>
            <w:r>
              <w:t>通用病理学特征提取器，2亿参数</w:t>
            </w:r>
          </w:p>
        </w:tc>
      </w:tr>
      <w:tr>
        <w:tc>
          <w:tcPr>
            <w:tcW w:type="dxa" w:w="2160"/>
          </w:tcPr>
          <w:p>
            <w:r>
              <w:t>Virchow2</w:t>
            </w:r>
          </w:p>
        </w:tc>
        <w:tc>
          <w:tcPr>
            <w:tcW w:type="dxa" w:w="2160"/>
          </w:tcPr>
          <w:p>
            <w:r>
              <w:t>Paige AI</w:t>
            </w:r>
          </w:p>
        </w:tc>
        <w:tc>
          <w:tcPr>
            <w:tcW w:type="dxa" w:w="2160"/>
          </w:tcPr>
          <w:p>
            <w:r>
              <w:t>百万级WSI</w:t>
            </w:r>
          </w:p>
        </w:tc>
        <w:tc>
          <w:tcPr>
            <w:tcW w:type="dxa" w:w="2160"/>
          </w:tcPr>
          <w:p>
            <w:r>
              <w:t>混合放大倍数预训练，最大规模</w:t>
            </w:r>
          </w:p>
        </w:tc>
      </w:tr>
      <w:tr>
        <w:tc>
          <w:tcPr>
            <w:tcW w:type="dxa" w:w="2160"/>
          </w:tcPr>
          <w:p>
            <w:r>
              <w:t>CHIEF</w:t>
            </w:r>
          </w:p>
        </w:tc>
        <w:tc>
          <w:tcPr>
            <w:tcW w:type="dxa" w:w="2160"/>
          </w:tcPr>
          <w:p>
            <w:r>
              <w:t>Harvard</w:t>
            </w:r>
          </w:p>
        </w:tc>
        <w:tc>
          <w:tcPr>
            <w:tcW w:type="dxa" w:w="2160"/>
          </w:tcPr>
          <w:p>
            <w:r>
              <w:t>大规模数据</w:t>
            </w:r>
          </w:p>
        </w:tc>
        <w:tc>
          <w:tcPr>
            <w:tcW w:type="dxa" w:w="2160"/>
          </w:tcPr>
          <w:p>
            <w:r>
              <w:t>支持癌症类型泛化</w:t>
            </w:r>
          </w:p>
        </w:tc>
      </w:tr>
      <w:tr>
        <w:tc>
          <w:tcPr>
            <w:tcW w:type="dxa" w:w="2160"/>
          </w:tcPr>
          <w:p>
            <w:r>
              <w:t>GigaPath</w:t>
            </w:r>
          </w:p>
        </w:tc>
        <w:tc>
          <w:tcPr>
            <w:tcW w:type="dxa" w:w="2160"/>
          </w:tcPr>
          <w:p>
            <w:r>
              <w:t>Microsoft</w:t>
            </w:r>
          </w:p>
        </w:tc>
        <w:tc>
          <w:tcPr>
            <w:tcW w:type="dxa" w:w="2160"/>
          </w:tcPr>
          <w:p>
            <w:r>
              <w:t>TCGA全量</w:t>
            </w:r>
          </w:p>
        </w:tc>
        <w:tc>
          <w:tcPr>
            <w:tcW w:type="dxa" w:w="2160"/>
          </w:tcPr>
          <w:p>
            <w:r>
              <w:t>十亿像素级WSI理解</w:t>
            </w:r>
          </w:p>
        </w:tc>
      </w:tr>
    </w:tbl>
    <w:p/>
    <w:p>
      <w:pPr>
        <w:pStyle w:val="Heading2"/>
      </w:pPr>
      <w:r>
        <w:t>3.2 处理类别不平衡的 SOTA 方法</w:t>
      </w:r>
    </w:p>
    <w:p>
      <w:pPr>
        <w:spacing w:after="120" w:line="360" w:lineRule="auto"/>
      </w:pPr>
      <w:r>
        <w:t>与你十多年前使用上采样 + 集成学习的方法相比，当前技术已有质的飞跃：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方法类别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代表方法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核心思想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与你原方法的对比</w:t>
            </w:r>
          </w:p>
        </w:tc>
      </w:tr>
      <w:tr>
        <w:tc>
          <w:tcPr>
            <w:tcW w:type="dxa" w:w="2160"/>
          </w:tcPr>
          <w:p>
            <w:r>
              <w:t>重采样</w:t>
            </w:r>
          </w:p>
        </w:tc>
        <w:tc>
          <w:tcPr>
            <w:tcW w:type="dxa" w:w="2160"/>
          </w:tcPr>
          <w:p>
            <w:r>
              <w:t>SMOTE, ADASYN, MosaicMix</w:t>
            </w:r>
          </w:p>
        </w:tc>
        <w:tc>
          <w:tcPr>
            <w:tcW w:type="dxa" w:w="2160"/>
          </w:tcPr>
          <w:p>
            <w:r>
              <w:t>智能合成少数类样本</w:t>
            </w:r>
          </w:p>
        </w:tc>
        <w:tc>
          <w:tcPr>
            <w:tcW w:type="dxa" w:w="2160"/>
          </w:tcPr>
          <w:p>
            <w:r>
              <w:t>远超简单上采样</w:t>
            </w:r>
          </w:p>
        </w:tc>
      </w:tr>
      <w:tr>
        <w:tc>
          <w:tcPr>
            <w:tcW w:type="dxa" w:w="2160"/>
          </w:tcPr>
          <w:p>
            <w:r>
              <w:t>损失函数</w:t>
            </w:r>
          </w:p>
        </w:tc>
        <w:tc>
          <w:tcPr>
            <w:tcW w:type="dxa" w:w="2160"/>
          </w:tcPr>
          <w:p>
            <w:r>
              <w:t>Focal Loss, LDAM, CB Loss</w:t>
            </w:r>
          </w:p>
        </w:tc>
        <w:tc>
          <w:tcPr>
            <w:tcW w:type="dxa" w:w="2160"/>
          </w:tcPr>
          <w:p>
            <w:r>
              <w:t>降低易分类样本权重</w:t>
            </w:r>
          </w:p>
        </w:tc>
        <w:tc>
          <w:tcPr>
            <w:tcW w:type="dxa" w:w="2160"/>
          </w:tcPr>
          <w:p>
            <w:r>
              <w:t>比均匀加权更精细</w:t>
            </w:r>
          </w:p>
        </w:tc>
      </w:tr>
      <w:tr>
        <w:tc>
          <w:tcPr>
            <w:tcW w:type="dxa" w:w="2160"/>
          </w:tcPr>
          <w:p>
            <w:r>
              <w:t>数据增强</w:t>
            </w:r>
          </w:p>
        </w:tc>
        <w:tc>
          <w:tcPr>
            <w:tcW w:type="dxa" w:w="2160"/>
          </w:tcPr>
          <w:p>
            <w:r>
              <w:t>CutMix, MixUp, AutoAugment</w:t>
            </w:r>
          </w:p>
        </w:tc>
        <w:tc>
          <w:tcPr>
            <w:tcW w:type="dxa" w:w="2160"/>
          </w:tcPr>
          <w:p>
            <w:r>
              <w:t>训练时动态生成新样本</w:t>
            </w:r>
          </w:p>
        </w:tc>
        <w:tc>
          <w:tcPr>
            <w:tcW w:type="dxa" w:w="2160"/>
          </w:tcPr>
          <w:p>
            <w:r>
              <w:t>比固定增强更灵活</w:t>
            </w:r>
          </w:p>
        </w:tc>
      </w:tr>
      <w:tr>
        <w:tc>
          <w:tcPr>
            <w:tcW w:type="dxa" w:w="2160"/>
          </w:tcPr>
          <w:p>
            <w:r>
              <w:t>元学习</w:t>
            </w:r>
          </w:p>
        </w:tc>
        <w:tc>
          <w:tcPr>
            <w:tcW w:type="dxa" w:w="2160"/>
          </w:tcPr>
          <w:p>
            <w:r>
              <w:t>Meta-Weight-Net, L2M</w:t>
            </w:r>
          </w:p>
        </w:tc>
        <w:tc>
          <w:tcPr>
            <w:tcW w:type="dxa" w:w="2160"/>
          </w:tcPr>
          <w:p>
            <w:r>
              <w:t>学习样本权重</w:t>
            </w:r>
          </w:p>
        </w:tc>
        <w:tc>
          <w:tcPr>
            <w:tcW w:type="dxa" w:w="2160"/>
          </w:tcPr>
          <w:p>
            <w:r>
              <w:t>自适应，无需手动调参</w:t>
            </w:r>
          </w:p>
        </w:tc>
      </w:tr>
      <w:tr>
        <w:tc>
          <w:tcPr>
            <w:tcW w:type="dxa" w:w="2160"/>
          </w:tcPr>
          <w:p>
            <w:r>
              <w:t>对比学习</w:t>
            </w:r>
          </w:p>
        </w:tc>
        <w:tc>
          <w:tcPr>
            <w:tcW w:type="dxa" w:w="2160"/>
          </w:tcPr>
          <w:p>
            <w:r>
              <w:t>SupCon, Balanced CL</w:t>
            </w:r>
          </w:p>
        </w:tc>
        <w:tc>
          <w:tcPr>
            <w:tcW w:type="dxa" w:w="2160"/>
          </w:tcPr>
          <w:p>
            <w:r>
              <w:t>学习类别不变特征</w:t>
            </w:r>
          </w:p>
        </w:tc>
        <w:tc>
          <w:tcPr>
            <w:tcW w:type="dxa" w:w="2160"/>
          </w:tcPr>
          <w:p>
            <w:r>
              <w:t>原论文无此能力</w:t>
            </w:r>
          </w:p>
        </w:tc>
      </w:tr>
      <w:tr>
        <w:tc>
          <w:tcPr>
            <w:tcW w:type="dxa" w:w="2160"/>
          </w:tcPr>
          <w:p>
            <w:r>
              <w:t>提示学习</w:t>
            </w:r>
          </w:p>
        </w:tc>
        <w:tc>
          <w:tcPr>
            <w:tcW w:type="dxa" w:w="2160"/>
          </w:tcPr>
          <w:p>
            <w:r>
              <w:t>Prompt-based MIL</w:t>
            </w:r>
          </w:p>
        </w:tc>
        <w:tc>
          <w:tcPr>
            <w:tcW w:type="dxa" w:w="2160"/>
          </w:tcPr>
          <w:p>
            <w:r>
              <w:t>利用文本先验知识</w:t>
            </w:r>
          </w:p>
        </w:tc>
        <w:tc>
          <w:tcPr>
            <w:tcW w:type="dxa" w:w="2160"/>
          </w:tcPr>
          <w:p>
            <w:r>
              <w:t>CONCH 等模型支持</w:t>
            </w:r>
          </w:p>
        </w:tc>
      </w:tr>
    </w:tbl>
    <w:p/>
    <w:p>
      <w:pPr>
        <w:pStyle w:val="Heading2"/>
      </w:pPr>
      <w:r>
        <w:t>3.3 全切片图像分析框架</w:t>
      </w:r>
    </w:p>
    <w:p>
      <w:pPr>
        <w:spacing w:after="120" w:line="360" w:lineRule="auto"/>
      </w:pPr>
      <w:r>
        <w:t>当前 WSI 分析的主流范式——多实例学习（MIL）：</w:t>
      </w:r>
    </w:p>
    <w:p>
      <w:pPr>
        <w:pStyle w:val="ListBullet"/>
        <w:spacing w:after="60"/>
      </w:pPr>
      <w:r>
        <w:t>特征提取：使用 UNI/Virchow2 等基础模型提取 tile 级特征</w:t>
      </w:r>
    </w:p>
    <w:p>
      <w:pPr>
        <w:pStyle w:val="ListBullet"/>
        <w:spacing w:after="60"/>
      </w:pPr>
      <w:r>
        <w:t>特征聚合：ABMIL、TransMIL、CLAM 等注意力机制聚合为 slide 级表示</w:t>
      </w:r>
    </w:p>
    <w:p>
      <w:pPr>
        <w:pStyle w:val="ListBullet"/>
        <w:spacing w:after="60"/>
      </w:pPr>
      <w:r>
        <w:t>分类：在 slide 级进行亚型分类</w:t>
      </w:r>
    </w:p>
    <w:p>
      <w:pPr>
        <w:spacing w:after="120" w:line="360" w:lineRule="auto"/>
        <w:ind w:firstLine="425"/>
      </w:pPr>
      <w:r>
        <w:t>这一范式天然适合 MPM 的 WSI 分析场景。</w:t>
      </w:r>
    </w:p>
    <w:p>
      <w:pPr>
        <w:pStyle w:val="Heading1"/>
      </w:pPr>
      <w:r>
        <w:t>4. Revisit 研究设计方案</w:t>
      </w:r>
    </w:p>
    <w:p>
      <w:pPr>
        <w:pStyle w:val="Heading2"/>
      </w:pPr>
      <w:r>
        <w:t>4.1 研究动机</w:t>
      </w:r>
    </w:p>
    <w:p>
      <w:pPr>
        <w:spacing w:after="120" w:line="360" w:lineRule="auto"/>
        <w:ind w:firstLine="425"/>
      </w:pPr>
      <w:r>
        <w:t>你的原论文揭示了「类别不平衡是生物医学图像分类的核心瓶颈」。十多年后，这一问题在 MPM 亚型分类中不仅依然存在，而且因为肉瘤样型的极端罕见性而更加突出。</w:t>
      </w:r>
    </w:p>
    <w:p>
      <w:pPr>
        <w:spacing w:after="120" w:line="360" w:lineRule="auto"/>
        <w:ind w:firstLine="425"/>
      </w:pPr>
      <w:r>
        <w:t>Revisit 的核心叙事：</w:t>
      </w:r>
    </w:p>
    <w:p>
      <w:r>
        <w:rPr>
          <w:rFonts w:ascii="Microsoft YaHei" w:hAnsi="Microsoft YaHei" w:eastAsia="微软雅黑"/>
          <w:b/>
          <w:color w:val="C0392B"/>
        </w:rPr>
        <w:t>「用 2025 年的 SOTA 工具，重新审视 2011 年发现的问题——在罕见病亚型分类中，不平衡问题解决了吗？如果没有，现在的工具能做到什么程度？」</w:t>
      </w:r>
    </w:p>
    <w:p>
      <w:pPr>
        <w:pStyle w:val="Heading2"/>
      </w:pPr>
      <w:r>
        <w:t>4.2 研究问题</w:t>
      </w:r>
    </w:p>
    <w:p>
      <w:pPr>
        <w:pStyle w:val="ListBullet"/>
        <w:spacing w:after="60"/>
      </w:pPr>
      <w:r>
        <w:t>RQ1：当前 SOTA 基础模型（CONCH/UNI/Virchow2）在 MPM 亚型分类上的零样本和微调性能如何？</w:t>
      </w:r>
    </w:p>
    <w:p>
      <w:pPr>
        <w:pStyle w:val="ListBullet"/>
        <w:spacing w:after="60"/>
      </w:pPr>
      <w:r>
        <w:t>RQ2：现代不平衡学习方法（Focal Loss、LDAM、Meta-Weight-Net）能否有效提升肉瘤样型（最罕见亚型）的识别率？</w:t>
      </w:r>
    </w:p>
    <w:p>
      <w:pPr>
        <w:pStyle w:val="ListBullet"/>
        <w:spacing w:after="60"/>
      </w:pPr>
      <w:r>
        <w:t>RQ3：与 2011 年的上采样 + 集成方法相比，性能提升有多大？不平衡问题的本质是否改变？</w:t>
      </w:r>
    </w:p>
    <w:p>
      <w:pPr>
        <w:pStyle w:val="ListBullet"/>
        <w:spacing w:after="60"/>
      </w:pPr>
      <w:r>
        <w:t>RQ4：自监督学习（如 LATTICe 方法）能否发现新的形态学模式，帮助缓解不平衡问题？</w:t>
      </w:r>
    </w:p>
    <w:p>
      <w:pPr>
        <w:pStyle w:val="Heading2"/>
      </w:pPr>
      <w:r>
        <w:t>4.3 实验设计</w:t>
      </w:r>
    </w:p>
    <w:p>
      <w:pPr>
        <w:pStyle w:val="Heading3"/>
      </w:pPr>
      <w:r>
        <w:t>Phase 1: 基线复现</w:t>
      </w:r>
    </w:p>
    <w:p>
      <w:pPr>
        <w:pStyle w:val="ListBullet"/>
        <w:spacing w:after="60"/>
      </w:pPr>
      <w:r>
        <w:t>数据：TCGA-MESO WSI（公开可下载）</w:t>
      </w:r>
    </w:p>
    <w:p>
      <w:pPr>
        <w:pStyle w:val="ListBullet"/>
        <w:spacing w:after="60"/>
      </w:pPr>
      <w:r>
        <w:t>方法：ResNet-50 + 传统方法（上采样 + 集成学习）——复现你 2011 年的思路</w:t>
      </w:r>
    </w:p>
    <w:p>
      <w:pPr>
        <w:pStyle w:val="ListBullet"/>
        <w:spacing w:after="60"/>
      </w:pPr>
      <w:r>
        <w:t>指标：Overall Accuracy、Balanced Accuracy、Per-class F1、Macro-F1</w:t>
      </w:r>
    </w:p>
    <w:p>
      <w:pPr>
        <w:pStyle w:val="Heading3"/>
      </w:pPr>
      <w:r>
        <w:t>Phase 2: SOTA 对比</w:t>
      </w:r>
    </w:p>
    <w:p>
      <w:pPr>
        <w:pStyle w:val="ListBullet"/>
        <w:spacing w:after="60"/>
      </w:pPr>
      <w:r>
        <w:t>基础模型：CONCH、UNI、Virchow2（冻结 + 线性探针 / 微调）</w:t>
      </w:r>
    </w:p>
    <w:p>
      <w:pPr>
        <w:pStyle w:val="ListBullet"/>
        <w:spacing w:after="60"/>
      </w:pPr>
      <w:r>
        <w:t>MIL 框架：ABMIL、TransMIL、CLAM</w:t>
      </w:r>
    </w:p>
    <w:p>
      <w:pPr>
        <w:pStyle w:val="ListBullet"/>
        <w:spacing w:after="60"/>
      </w:pPr>
      <w:r>
        <w:t>不平衡策略：Focal Loss、LDAM、CB Loss、Meta-Weight-Net</w:t>
      </w:r>
    </w:p>
    <w:p>
      <w:pPr>
        <w:pStyle w:val="ListBullet"/>
        <w:spacing w:after="60"/>
      </w:pPr>
      <w:r>
        <w:t>组合实验：基础模型 × MIL × 不平衡策略</w:t>
      </w:r>
    </w:p>
    <w:p>
      <w:pPr>
        <w:pStyle w:val="Heading3"/>
      </w:pPr>
      <w:r>
        <w:t>Phase 3: 深度分析</w:t>
      </w:r>
    </w:p>
    <w:p>
      <w:pPr>
        <w:pStyle w:val="ListBullet"/>
        <w:spacing w:after="60"/>
      </w:pPr>
      <w:r>
        <w:t>Grad-CAM 可视化：模型关注区域是否与病理学特征一致？</w:t>
      </w:r>
    </w:p>
    <w:p>
      <w:pPr>
        <w:pStyle w:val="ListBullet"/>
        <w:spacing w:after="60"/>
      </w:pPr>
      <w:r>
        <w:t>特征空间分析：t-SNE/UMAP 可视化，观察亚型是否可分</w:t>
      </w:r>
    </w:p>
    <w:p>
      <w:pPr>
        <w:pStyle w:val="ListBullet"/>
        <w:spacing w:after="60"/>
      </w:pPr>
      <w:r>
        <w:t>错误分析：肉瘤样型的误分类模式是什么？</w:t>
      </w:r>
    </w:p>
    <w:p>
      <w:pPr>
        <w:pStyle w:val="ListBullet"/>
        <w:spacing w:after="60"/>
      </w:pPr>
      <w:r>
        <w:t>与 LATTICe 图谱对比：模型学到的模式是否与自监督发现的形态学模式一致？</w:t>
      </w:r>
    </w:p>
    <w:p>
      <w:pPr>
        <w:pStyle w:val="Heading2"/>
      </w:pPr>
      <w:r>
        <w:t>4.4 预期贡献</w:t>
      </w:r>
    </w:p>
    <w:p>
      <w:pPr>
        <w:pStyle w:val="ListBullet"/>
        <w:spacing w:after="60"/>
      </w:pPr>
      <w:r>
        <w:t>系统性评估：首个在 MPM 亚型分类上全面对比基础模型 + 不平衡学习策略的研究</w:t>
      </w:r>
    </w:p>
    <w:p>
      <w:pPr>
        <w:pStyle w:val="ListBullet"/>
        <w:spacing w:after="60"/>
      </w:pPr>
      <w:r>
        <w:t>Revisit 视角：从 2011 到 2025，不平衡问题在罕见病病理学中的演变</w:t>
      </w:r>
    </w:p>
    <w:p>
      <w:pPr>
        <w:pStyle w:val="ListBullet"/>
        <w:spacing w:after="60"/>
      </w:pPr>
      <w:r>
        <w:t>临床价值：提升肉瘤样型识别率，直接影响患者治疗决策和预后</w:t>
      </w:r>
    </w:p>
    <w:p>
      <w:pPr>
        <w:pStyle w:val="ListBullet"/>
        <w:spacing w:after="60"/>
      </w:pPr>
      <w:r>
        <w:t>方法洞察：为罕见病图像分类提供可复用的实验框架</w:t>
      </w:r>
    </w:p>
    <w:p>
      <w:pPr>
        <w:pStyle w:val="Heading1"/>
      </w:pPr>
      <w:r>
        <w:t>5. 可行性评估</w:t>
      </w:r>
    </w:p>
    <w:p>
      <w:pPr>
        <w:pStyle w:val="Heading2"/>
      </w:pPr>
      <w:r>
        <w:t>5.1 数据可行性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获取难度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评分</w:t>
            </w:r>
          </w:p>
        </w:tc>
      </w:tr>
      <w:tr>
        <w:tc>
          <w:tcPr>
            <w:tcW w:type="dxa" w:w="2160"/>
          </w:tcPr>
          <w:p>
            <w:r>
              <w:t>TCGA-MESO WSI</w:t>
            </w:r>
          </w:p>
        </w:tc>
        <w:tc>
          <w:tcPr>
            <w:tcW w:type="dxa" w:w="2160"/>
          </w:tcPr>
          <w:p>
            <w:r>
              <w:t>★☆☆ 低（公开）</w:t>
            </w:r>
          </w:p>
        </w:tc>
        <w:tc>
          <w:tcPr>
            <w:tcW w:type="dxa" w:w="2160"/>
          </w:tcPr>
          <w:p>
            <w:r>
              <w:t>87例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LATTICe 数据</w:t>
            </w:r>
          </w:p>
        </w:tc>
        <w:tc>
          <w:tcPr>
            <w:tcW w:type="dxa" w:w="2160"/>
          </w:tcPr>
          <w:p>
            <w:r>
              <w:t>★★☆ 中（需申请）</w:t>
            </w:r>
          </w:p>
        </w:tc>
        <w:tc>
          <w:tcPr>
            <w:tcW w:type="dxa" w:w="2160"/>
          </w:tcPr>
          <w:p>
            <w:r>
              <w:t>485例/3446张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MesoGraph TMA</w:t>
            </w:r>
          </w:p>
        </w:tc>
        <w:tc>
          <w:tcPr>
            <w:tcW w:type="dxa" w:w="2160"/>
          </w:tcPr>
          <w:p>
            <w:r>
              <w:t>★★☆ 中（需申请）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</w:tr>
    </w:tbl>
    <w:p/>
    <w:p>
      <w:pPr>
        <w:pStyle w:val="Heading2"/>
      </w:pPr>
      <w:r>
        <w:t>5.2 技术可行性</w:t>
      </w:r>
    </w:p>
    <w:p>
      <w:pPr>
        <w:pStyle w:val="ListBullet"/>
        <w:spacing w:after="60"/>
      </w:pPr>
      <w:r>
        <w:t>基础模型权重公开可用（CONCH、UNI、Virchow2 均在 HuggingFace 开源）</w:t>
      </w:r>
    </w:p>
    <w:p>
      <w:pPr>
        <w:pStyle w:val="ListBullet"/>
        <w:spacing w:after="60"/>
      </w:pPr>
      <w:r>
        <w:t>MIL 框架有成熟开源实现（CLAM、TransMIL）</w:t>
      </w:r>
    </w:p>
    <w:p>
      <w:pPr>
        <w:pStyle w:val="ListBullet"/>
        <w:spacing w:after="60"/>
      </w:pPr>
      <w:r>
        <w:t>计算资源：单卡 A100 即可完成大部分实验</w:t>
      </w:r>
    </w:p>
    <w:p>
      <w:pPr>
        <w:pStyle w:val="ListBullet"/>
        <w:spacing w:after="60"/>
      </w:pPr>
      <w:r>
        <w:t>时间估算：3-6 个月可完成核心实验</w:t>
      </w:r>
    </w:p>
    <w:p>
      <w:pPr>
        <w:pStyle w:val="Heading2"/>
      </w:pPr>
      <w:r>
        <w:t>5.3 创新性评估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评分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问题新颖性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  <w:tc>
          <w:tcPr>
            <w:tcW w:type="dxa" w:w="2880"/>
          </w:tcPr>
          <w:p>
            <w:r>
              <w:t>MPM 亚型分类 + 不平衡学习，组合新颖</w:t>
            </w:r>
          </w:p>
        </w:tc>
      </w:tr>
      <w:tr>
        <w:tc>
          <w:tcPr>
            <w:tcW w:type="dxa" w:w="2880"/>
          </w:tcPr>
          <w:p>
            <w:r>
              <w:t>方法新颖性</w:t>
            </w:r>
          </w:p>
        </w:tc>
        <w:tc>
          <w:tcPr>
            <w:tcW w:type="dxa" w:w="2880"/>
          </w:tcPr>
          <w:p>
            <w:r>
              <w:t>★★★☆☆</w:t>
            </w:r>
          </w:p>
        </w:tc>
        <w:tc>
          <w:tcPr>
            <w:tcW w:type="dxa" w:w="2880"/>
          </w:tcPr>
          <w:p>
            <w:r>
              <w:t>基础模型 + MIL 是成熟范式，但组合应用在 MPM 上是首次</w:t>
            </w:r>
          </w:p>
        </w:tc>
      </w:tr>
      <w:tr>
        <w:tc>
          <w:tcPr>
            <w:tcW w:type="dxa" w:w="2880"/>
          </w:tcPr>
          <w:p>
            <w:r>
              <w:t>Revisit 叙事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2011→2025 的跨越式对比，叙事性强</w:t>
            </w:r>
          </w:p>
        </w:tc>
      </w:tr>
      <w:tr>
        <w:tc>
          <w:tcPr>
            <w:tcW w:type="dxa" w:w="2880"/>
          </w:tcPr>
          <w:p>
            <w:r>
              <w:t>临床影响力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  <w:tc>
          <w:tcPr>
            <w:tcW w:type="dxa" w:w="2880"/>
          </w:tcPr>
          <w:p>
            <w:r>
              <w:t>肉瘤样型识别直接影响治疗决策</w:t>
            </w:r>
          </w:p>
        </w:tc>
      </w:tr>
      <w:tr>
        <w:tc>
          <w:tcPr>
            <w:tcW w:type="dxa" w:w="2880"/>
          </w:tcPr>
          <w:p>
            <w:r>
              <w:t>发表潜力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  <w:tc>
          <w:tcPr>
            <w:tcW w:type="dxa" w:w="2880"/>
          </w:tcPr>
          <w:p>
            <w:r>
              <w:t>适合 Medical Image Analysis、Cancers 等期刊</w:t>
            </w:r>
          </w:p>
        </w:tc>
      </w:tr>
    </w:tbl>
    <w:p/>
    <w:p>
      <w:pPr>
        <w:pStyle w:val="Heading2"/>
      </w:pPr>
      <w:r>
        <w:t>5.4 风险与挑战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严重程度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应对策略</w:t>
            </w:r>
          </w:p>
        </w:tc>
      </w:tr>
      <w:tr>
        <w:tc>
          <w:tcPr>
            <w:tcW w:type="dxa" w:w="2880"/>
          </w:tcPr>
          <w:p>
            <w:r>
              <w:t>肉瘤样型样本过少（仅6例）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引入 LATTICe 数据补充；使用 Few-shot / 元学习方法</w:t>
            </w:r>
          </w:p>
        </w:tc>
      </w:tr>
      <w:tr>
        <w:tc>
          <w:tcPr>
            <w:tcW w:type="dxa" w:w="2880"/>
          </w:tcPr>
          <w:p>
            <w:r>
              <w:t>WSI 标注质量不一致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交叉验证；与病理学家合作复核</w:t>
            </w:r>
          </w:p>
        </w:tc>
      </w:tr>
      <w:tr>
        <w:tc>
          <w:tcPr>
            <w:tcW w:type="dxa" w:w="2880"/>
          </w:tcPr>
          <w:p>
            <w:r>
              <w:t>基础模型在罕见病上泛化不足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领域自适应微调；对比学习增强</w:t>
            </w:r>
          </w:p>
        </w:tc>
      </w:tr>
      <w:tr>
        <w:tc>
          <w:tcPr>
            <w:tcW w:type="dxa" w:w="2880"/>
          </w:tcPr>
          <w:p>
            <w:r>
              <w:t>计算资源需求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基础模型特征可预计算，MIL 训练开销小</w:t>
            </w:r>
          </w:p>
        </w:tc>
      </w:tr>
    </w:tbl>
    <w:p/>
    <w:p>
      <w:pPr>
        <w:pStyle w:val="Heading1"/>
      </w:pPr>
      <w:r>
        <w:t>6. 结论与建议</w:t>
      </w:r>
    </w:p>
    <w:p>
      <w:pPr>
        <w:spacing w:after="120" w:line="360" w:lineRule="auto"/>
        <w:ind w:firstLine="425"/>
      </w:pPr>
      <w:r>
        <w:t>这是一个值得投入的研究方向。理由如下：</w:t>
      </w:r>
    </w:p>
    <w:p>
      <w:r>
        <w:rPr>
          <w:rFonts w:ascii="Microsoft YaHei" w:hAnsi="Microsoft YaHei" w:eastAsia="微软雅黑"/>
          <w:b/>
          <w:color w:val="C0392B"/>
        </w:rPr>
        <w:t>✅ 强烈建议推进，理由：</w:t>
      </w:r>
    </w:p>
    <w:p>
      <w:pPr>
        <w:pStyle w:val="ListBullet"/>
        <w:spacing w:after="60"/>
      </w:pPr>
      <w:r>
        <w:t>问题真实且重要：MPM 是罕见病，肉瘤样型误诊直接影响患者生存。提升其识别率有明确的临床价值</w:t>
      </w:r>
    </w:p>
    <w:p>
      <w:pPr>
        <w:pStyle w:val="ListBullet"/>
        <w:spacing w:after="60"/>
      </w:pPr>
      <w:r>
        <w:t>与你原论文形成完美呼应：从蛋白质亚细胞定位到罕见病病理学，从 SIFT+RF 到基础模型+MIL，从上采样到元学习——这是一个跨越 14 年的学术叙事</w:t>
      </w:r>
    </w:p>
    <w:p>
      <w:pPr>
        <w:pStyle w:val="ListBullet"/>
        <w:spacing w:after="60"/>
      </w:pPr>
      <w:r>
        <w:t>数据可获取：TCGA-MESO 公开，LATTICe 可申请，不存在数据壁垒</w:t>
      </w:r>
    </w:p>
    <w:p>
      <w:pPr>
        <w:pStyle w:val="ListBullet"/>
        <w:spacing w:after="60"/>
      </w:pPr>
      <w:r>
        <w:t>技术成熟度高：基础模型、MIL、不平衡学习方法都有成熟开源实现，降低了工程风险</w:t>
      </w:r>
    </w:p>
    <w:p>
      <w:pPr>
        <w:pStyle w:val="ListBullet"/>
        <w:spacing w:after="60"/>
      </w:pPr>
      <w:r>
        <w:t>发表窗口存在：2026 年初尚无在 MPM 亚型分类上系统对比基础模型 + 不平衡策略的研究</w:t>
      </w:r>
    </w:p>
    <w:p>
      <w:pPr>
        <w:pStyle w:val="Heading2"/>
      </w:pPr>
      <w:r>
        <w:t>6.1 建议的下一步</w:t>
      </w:r>
    </w:p>
    <w:p>
      <w:pPr>
        <w:pStyle w:val="ListBullet"/>
        <w:spacing w:after="60"/>
      </w:pPr>
      <w:r>
        <w:t>第1步：下载 TCGA-MESO WSI 数据，进行初步探索和数据统计</w:t>
      </w:r>
    </w:p>
    <w:p>
      <w:pPr>
        <w:pStyle w:val="ListBullet"/>
        <w:spacing w:after="60"/>
      </w:pPr>
      <w:r>
        <w:t>第2步：使用 UNI/CONCH 提取 tile 特征，搭建 CLAM MIL 基线</w:t>
      </w:r>
    </w:p>
    <w:p>
      <w:pPr>
        <w:pStyle w:val="ListBullet"/>
        <w:spacing w:after="60"/>
      </w:pPr>
      <w:r>
        <w:t>第3步：申请 LATTICe 数据，扩大数据规模</w:t>
      </w:r>
    </w:p>
    <w:p>
      <w:pPr>
        <w:pStyle w:val="ListBullet"/>
        <w:spacing w:after="60"/>
      </w:pPr>
      <w:r>
        <w:t>第4步：设计完整的对比实验，撰写论文</w:t>
      </w:r>
    </w:p>
    <w:p>
      <w:pPr>
        <w:pStyle w:val="Heading2"/>
      </w:pPr>
      <w:r>
        <w:t>6.2 建议投稿期刊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期刊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影响因子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匹配度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Medical Image Analysis</w:t>
            </w:r>
          </w:p>
        </w:tc>
        <w:tc>
          <w:tcPr>
            <w:tcW w:type="dxa" w:w="2160"/>
          </w:tcPr>
          <w:p>
            <w:r>
              <w:t>~10.9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顶刊，需强方法创新</w:t>
            </w:r>
          </w:p>
        </w:tc>
      </w:tr>
      <w:tr>
        <w:tc>
          <w:tcPr>
            <w:tcW w:type="dxa" w:w="2160"/>
          </w:tcPr>
          <w:p>
            <w:r>
              <w:t>Cancers</w:t>
            </w:r>
          </w:p>
        </w:tc>
        <w:tc>
          <w:tcPr>
            <w:tcW w:type="dxa" w:w="2160"/>
          </w:tcPr>
          <w:p>
            <w:r>
              <w:t>~4.5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MPM 主题高度匹配</w:t>
            </w:r>
          </w:p>
        </w:tc>
      </w:tr>
      <w:tr>
        <w:tc>
          <w:tcPr>
            <w:tcW w:type="dxa" w:w="2160"/>
          </w:tcPr>
          <w:p>
            <w:r>
              <w:t>Computers in Biology and Medicine</w:t>
            </w:r>
          </w:p>
        </w:tc>
        <w:tc>
          <w:tcPr>
            <w:tcW w:type="dxa" w:w="2160"/>
          </w:tcPr>
          <w:p>
            <w:r>
              <w:t>~7.0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你原论文的期刊，Revisit 叙事完美</w:t>
            </w:r>
          </w:p>
        </w:tc>
      </w:tr>
      <w:tr>
        <w:tc>
          <w:tcPr>
            <w:tcW w:type="dxa" w:w="2160"/>
          </w:tcPr>
          <w:p>
            <w:r>
              <w:t>Journal of Pathology Informatics</w:t>
            </w:r>
          </w:p>
        </w:tc>
        <w:tc>
          <w:tcPr>
            <w:tcW w:type="dxa" w:w="2160"/>
          </w:tcPr>
          <w:p>
            <w:r>
              <w:t>~2.8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  <w:tc>
          <w:tcPr>
            <w:tcW w:type="dxa" w:w="2160"/>
          </w:tcPr>
          <w:p>
            <w:r>
              <w:t>较易发表</w:t>
            </w:r>
          </w:p>
        </w:tc>
      </w:tr>
      <w:tr>
        <w:tc>
          <w:tcPr>
            <w:tcW w:type="dxa" w:w="2160"/>
          </w:tcPr>
          <w:p>
            <w:r>
              <w:t>Nature Scientific Reports</w:t>
            </w:r>
          </w:p>
        </w:tc>
        <w:tc>
          <w:tcPr>
            <w:tcW w:type="dxa" w:w="2160"/>
          </w:tcPr>
          <w:p>
            <w:r>
              <w:t>~3.8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  <w:tc>
          <w:tcPr>
            <w:tcW w:type="dxa" w:w="2160"/>
          </w:tcPr>
          <w:p>
            <w:r>
              <w:t>综合期刊，受众广</w:t>
            </w:r>
          </w:p>
        </w:tc>
      </w:tr>
    </w:tbl>
    <w:p/>
    <w:p>
      <w:pPr>
        <w:spacing w:after="120" w:line="360" w:lineRule="auto"/>
        <w:ind w:firstLine="425"/>
      </w:pPr>
      <w:r>
        <w:t>特别推荐 Computers in Biology and Medicine——你 2011 年的论文就发在这里，Revisit 稿件投回同一期刊，叙事闭环，编辑和审稿人都会感兴趣。</w:t>
      </w:r>
    </w:p>
    <w:p/>
    <w:p/>
    <w:p>
      <w:pPr>
        <w:jc w:val="center"/>
      </w:pPr>
      <w:r>
        <w:rPr>
          <w:rFonts w:ascii="Microsoft YaHei" w:hAnsi="Microsoft YaHei" w:eastAsia="微软雅黑"/>
          <w:b w:val="0"/>
          <w:color w:val="999999"/>
          <w:sz w:val="24"/>
        </w:rPr>
        <w:t>—— 分析完成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