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b/>
          <w:bCs/>
        </w:rPr>
        <w:t xml:space="preserve">The</w:t>
      </w:r>
      <w:r>
        <w:rPr>
          <w:b/>
          <w:bCs/>
        </w:rPr>
        <w:t xml:space="preserve"> </w:t>
      </w:r>
      <w:r>
        <w:rPr>
          <w:b/>
          <w:bCs/>
        </w:rPr>
        <w:t xml:space="preserve">Entropy</w:t>
      </w:r>
      <w:r>
        <w:rPr>
          <w:b/>
          <w:bCs/>
        </w:rPr>
        <w:t xml:space="preserve"> </w:t>
      </w:r>
      <w:r>
        <w:rPr>
          <w:b/>
          <w:bCs/>
        </w:rPr>
        <w:t xml:space="preserve">Premium:</w:t>
      </w:r>
      <w:r>
        <w:br/>
      </w:r>
      <w:r>
        <w:rPr>
          <w:b/>
          <w:bCs/>
        </w:rPr>
        <w:t xml:space="preserve">Shannon</w:t>
      </w:r>
      <w:r>
        <w:rPr>
          <w:b/>
          <w:bCs/>
        </w:rPr>
        <w:t xml:space="preserve"> </w:t>
      </w:r>
      <w:r>
        <w:rPr>
          <w:b/>
          <w:bCs/>
        </w:rPr>
        <w:t xml:space="preserve">Entropy</w:t>
      </w:r>
      <w:r>
        <w:rPr>
          <w:b/>
          <w:bCs/>
        </w:rPr>
        <w:t xml:space="preserve"> </w:t>
      </w:r>
      <w:r>
        <w:rPr>
          <w:b/>
          <w:bCs/>
        </w:rPr>
        <w:t xml:space="preserve">of</w:t>
      </w:r>
      <w:r>
        <w:rPr>
          <w:b/>
          <w:bCs/>
        </w:rPr>
        <w:t xml:space="preserve"> </w:t>
      </w:r>
      <w:r>
        <w:rPr>
          <w:b/>
          <w:bCs/>
        </w:rPr>
        <w:t xml:space="preserve">LLM</w:t>
      </w:r>
      <w:r>
        <w:rPr>
          <w:b/>
          <w:bCs/>
        </w:rPr>
        <w:t xml:space="preserve"> </w:t>
      </w:r>
      <w:r>
        <w:rPr>
          <w:b/>
          <w:bCs/>
        </w:rPr>
        <w:t xml:space="preserve">Agent</w:t>
      </w:r>
      <w:r>
        <w:rPr>
          <w:b/>
          <w:bCs/>
        </w:rPr>
        <w:t xml:space="preserve"> </w:t>
      </w:r>
      <w:r>
        <w:rPr>
          <w:b/>
          <w:bCs/>
        </w:rPr>
        <w:t xml:space="preserve">Sentiment</w:t>
      </w:r>
      <w:r>
        <w:br/>
      </w:r>
      <w:r>
        <w:rPr>
          <w:b/>
          <w:bCs/>
        </w:rPr>
        <w:t xml:space="preserve">as</w:t>
      </w:r>
      <w:r>
        <w:rPr>
          <w:b/>
          <w:bCs/>
        </w:rPr>
        <w:t xml:space="preserve"> </w:t>
      </w:r>
      <w:r>
        <w:rPr>
          <w:b/>
          <w:bCs/>
        </w:rPr>
        <w:t xml:space="preserve">a</w:t>
      </w:r>
      <w:r>
        <w:rPr>
          <w:b/>
          <w:bCs/>
        </w:rPr>
        <w:t xml:space="preserve"> </w:t>
      </w:r>
      <w:r>
        <w:rPr>
          <w:b/>
          <w:bCs/>
        </w:rPr>
        <w:t xml:space="preserve">Cross-Sectional</w:t>
      </w:r>
      <w:r>
        <w:rPr>
          <w:b/>
          <w:bCs/>
        </w:rPr>
        <w:t xml:space="preserve"> </w:t>
      </w:r>
      <w:r>
        <w:rPr>
          <w:b/>
          <w:bCs/>
        </w:rPr>
        <w:t xml:space="preserve">Return</w:t>
      </w:r>
      <w:r>
        <w:rPr>
          <w:b/>
          <w:bCs/>
        </w:rPr>
        <w:t xml:space="preserve"> </w:t>
      </w:r>
      <w:r>
        <w:rPr>
          <w:b/>
          <w:bCs/>
        </w:rPr>
        <w:t xml:space="preserve">Predictor</w:t>
      </w:r>
    </w:p>
    <w:p>
      <w:pPr>
        <w:pStyle w:val="Author"/>
      </w:pPr>
      <w:r>
        <w:t xml:space="preserve">Junwen</w:t>
      </w:r>
      <w:r>
        <w:t xml:space="preserve"> </w:t>
      </w:r>
      <w:r>
        <w:t xml:space="preserve">Zhang</w:t>
      </w:r>
    </w:p>
    <w:p>
      <w:pPr>
        <w:pStyle w:val="Date"/>
      </w:pPr>
      <w:r>
        <w:t xml:space="preserve">June</w:t>
      </w:r>
      <w:r>
        <w:t xml:space="preserve"> </w:t>
      </w:r>
      <w:r>
        <w:t xml:space="preserve">2026</w:t>
      </w:r>
    </w:p>
    <w:p>
      <w:pPr>
        <w:pStyle w:val="AbstractTitle"/>
      </w:pPr>
      <w:r>
        <w:t xml:space="preserve">Abstract</w:t>
      </w:r>
    </w:p>
    <w:p>
      <w:pPr>
        <w:pStyle w:val="Abstract"/>
      </w:pPr>
      <w:r>
        <w:t xml:space="preserve">We</w:t>
      </w:r>
      <w:r>
        <w:t xml:space="preserve"> </w:t>
      </w:r>
      <w:r>
        <w:t xml:space="preserve">show</w:t>
      </w:r>
      <w:r>
        <w:t xml:space="preserve"> </w:t>
      </w:r>
      <w:r>
        <w:t xml:space="preserve">that</w:t>
      </w:r>
      <w:r>
        <w:t xml:space="preserve"> </w:t>
      </w:r>
      <w:r>
        <w:t xml:space="preserve">the</w:t>
      </w:r>
      <w:r>
        <w:t xml:space="preserve"> </w:t>
      </w:r>
      <w:r>
        <w:t xml:space="preserve">Shannon</w:t>
      </w:r>
      <w:r>
        <w:t xml:space="preserve"> </w:t>
      </w:r>
      <w:r>
        <w:t xml:space="preserve">entropy</w:t>
      </w:r>
      <w:r>
        <w:t xml:space="preserve"> </w:t>
      </w:r>
      <w:r>
        <w:t xml:space="preserve">of</w:t>
      </w:r>
      <w:r>
        <w:t xml:space="preserve"> </w:t>
      </w:r>
      <w:r>
        <w:t xml:space="preserve">multi-agent</w:t>
      </w:r>
      <w:r>
        <w:t xml:space="preserve"> </w:t>
      </w:r>
      <w:r>
        <w:t xml:space="preserve">LLM</w:t>
      </w:r>
      <w:r>
        <w:t xml:space="preserve"> </w:t>
      </w:r>
      <w:r>
        <w:t xml:space="preserve">sentiment—a</w:t>
      </w:r>
      <w:r>
        <w:t xml:space="preserve"> </w:t>
      </w:r>
      <w:r>
        <w:t xml:space="preserve">measure</w:t>
      </w:r>
      <w:r>
        <w:t xml:space="preserve"> </w:t>
      </w:r>
      <w:r>
        <w:t xml:space="preserve">of</w:t>
      </w:r>
      <w:r>
        <w:t xml:space="preserve"> </w:t>
      </w:r>
      <w:r>
        <w:t xml:space="preserve">information</w:t>
      </w:r>
      <w:r>
        <w:t xml:space="preserve"> </w:t>
      </w:r>
      <w:r>
        <w:t xml:space="preserve">concentration—predicts</w:t>
      </w:r>
      <w:r>
        <w:t xml:space="preserve"> </w:t>
      </w:r>
      <w:r>
        <w:t xml:space="preserve">the</w:t>
      </w:r>
      <w:r>
        <w:t xml:space="preserve"> </w:t>
      </w:r>
      <w:r>
        <w:t xml:space="preserve">cross-section</w:t>
      </w:r>
      <w:r>
        <w:t xml:space="preserve"> </w:t>
      </w:r>
      <w:r>
        <w:t xml:space="preserve">of</w:t>
      </w:r>
      <w:r>
        <w:t xml:space="preserve"> </w:t>
      </w:r>
      <w:r>
        <w:t xml:space="preserve">stock</w:t>
      </w:r>
      <w:r>
        <w:t xml:space="preserve"> </w:t>
      </w:r>
      <w:r>
        <w:t xml:space="preserve">returns,</w:t>
      </w:r>
      <w:r>
        <w:t xml:space="preserve"> </w:t>
      </w:r>
      <w:r>
        <w:t xml:space="preserve">and</w:t>
      </w:r>
      <w:r>
        <w:t xml:space="preserve"> </w:t>
      </w:r>
      <w:r>
        <w:t xml:space="preserve">that</w:t>
      </w:r>
      <w:r>
        <w:t xml:space="preserve"> </w:t>
      </w:r>
      <w:r>
        <w:t xml:space="preserve">this</w:t>
      </w:r>
      <w:r>
        <w:t xml:space="preserve"> </w:t>
      </w:r>
      <w:r>
        <w:t xml:space="preserve">predictive</w:t>
      </w:r>
      <w:r>
        <w:t xml:space="preserve"> </w:t>
      </w:r>
      <w:r>
        <w:t xml:space="preserve">power</w:t>
      </w:r>
      <w:r>
        <w:t xml:space="preserve"> </w:t>
      </w:r>
      <w:r>
        <w:t xml:space="preserve">is</w:t>
      </w:r>
      <w:r>
        <w:t xml:space="preserve"> </w:t>
      </w:r>
      <w:r>
        <w:t xml:space="preserve">distinct</w:t>
      </w:r>
      <w:r>
        <w:t xml:space="preserve"> </w:t>
      </w:r>
      <w:r>
        <w:t xml:space="preserve">from</w:t>
      </w:r>
      <w:r>
        <w:t xml:space="preserve"> </w:t>
      </w:r>
      <w:r>
        <w:t xml:space="preserve">standard</w:t>
      </w:r>
      <w:r>
        <w:t xml:space="preserve"> </w:t>
      </w:r>
      <w:r>
        <w:t xml:space="preserve">disagreement</w:t>
      </w:r>
      <w:r>
        <w:t xml:space="preserve"> </w:t>
      </w:r>
      <w:r>
        <w:t xml:space="preserve">measures.</w:t>
      </w:r>
      <w:r>
        <w:t xml:space="preserve"> </w:t>
      </w:r>
      <w:r>
        <w:t xml:space="preserve">Using</w:t>
      </w:r>
      <w:r>
        <w:t xml:space="preserve"> </w:t>
      </w:r>
      <w:r>
        <w:t xml:space="preserve">three</w:t>
      </w:r>
      <w:r>
        <w:t xml:space="preserve"> </w:t>
      </w:r>
      <w:r>
        <w:t xml:space="preserve">differentiated</w:t>
      </w:r>
      <w:r>
        <w:t xml:space="preserve"> </w:t>
      </w:r>
      <w:r>
        <w:t xml:space="preserve">LLM</w:t>
      </w:r>
      <w:r>
        <w:t xml:space="preserve"> </w:t>
      </w:r>
      <w:r>
        <w:t xml:space="preserve">agents</w:t>
      </w:r>
      <w:r>
        <w:t xml:space="preserve"> </w:t>
      </w:r>
      <w:r>
        <w:t xml:space="preserve">to</w:t>
      </w:r>
      <w:r>
        <w:t xml:space="preserve"> </w:t>
      </w:r>
      <w:r>
        <w:t xml:space="preserve">rate</w:t>
      </w:r>
      <w:r>
        <w:t xml:space="preserve"> </w:t>
      </w:r>
      <w:r>
        <w:t xml:space="preserve">183</w:t>
      </w:r>
      <w:r>
        <w:t xml:space="preserve"> </w:t>
      </w:r>
      <w:r>
        <w:t xml:space="preserve">S&amp;P</w:t>
      </w:r>
      <w:r>
        <w:t xml:space="preserve"> </w:t>
      </w:r>
      <w:r>
        <w:t xml:space="preserve">500</w:t>
      </w:r>
      <w:r>
        <w:t xml:space="preserve"> </w:t>
      </w:r>
      <w:r>
        <w:t xml:space="preserve">stocks</w:t>
      </w:r>
      <w:r>
        <w:t xml:space="preserve"> </w:t>
      </w:r>
      <w:r>
        <w:t xml:space="preserve">quarterly</w:t>
      </w:r>
      <w:r>
        <w:t xml:space="preserve"> </w:t>
      </w:r>
      <w:r>
        <w:t xml:space="preserve">from</w:t>
      </w:r>
      <w:r>
        <w:t xml:space="preserve"> </w:t>
      </w:r>
      <w:r>
        <w:t xml:space="preserve">2005</w:t>
      </w:r>
      <w:r>
        <w:t xml:space="preserve"> </w:t>
      </w:r>
      <w:r>
        <w:t xml:space="preserve">to</w:t>
      </w:r>
      <w:r>
        <w:t xml:space="preserve"> </w:t>
      </w:r>
      <w:r>
        <w:t xml:space="preserve">2024,</w:t>
      </w:r>
      <w:r>
        <w:t xml:space="preserve"> </w:t>
      </w:r>
      <w:r>
        <w:t xml:space="preserve">we</w:t>
      </w:r>
      <w:r>
        <w:t xml:space="preserve"> </w:t>
      </w:r>
      <w:r>
        <w:t xml:space="preserve">construct</w:t>
      </w:r>
      <w:r>
        <w:t xml:space="preserve"> </w:t>
      </w:r>
      <w:r>
        <w:t xml:space="preserve">entropy</w:t>
      </w:r>
      <w:r>
        <w:t xml:space="preserve"> </w:t>
      </w:r>
      <w:r>
        <w:t xml:space="preserve">(H_smooth),</w:t>
      </w:r>
      <w:r>
        <w:t xml:space="preserve"> </w:t>
      </w:r>
      <w:r>
        <w:t xml:space="preserve">Jensen-Shannon</w:t>
      </w:r>
      <w:r>
        <w:t xml:space="preserve"> </w:t>
      </w:r>
      <w:r>
        <w:t xml:space="preserve">divergence</w:t>
      </w:r>
      <w:r>
        <w:t xml:space="preserve"> </w:t>
      </w:r>
      <w:r>
        <w:t xml:space="preserve">(JS),</w:t>
      </w:r>
      <w:r>
        <w:t xml:space="preserve"> </w:t>
      </w:r>
      <w:r>
        <w:t xml:space="preserve">and</w:t>
      </w:r>
      <w:r>
        <w:t xml:space="preserve"> </w:t>
      </w:r>
      <w:r>
        <w:t xml:space="preserve">rating</w:t>
      </w:r>
      <w:r>
        <w:t xml:space="preserve"> </w:t>
      </w:r>
      <w:r>
        <w:t xml:space="preserve">dispersion</w:t>
      </w:r>
      <w:r>
        <w:t xml:space="preserve"> </w:t>
      </w:r>
      <w:r>
        <w:t xml:space="preserve">(D_post).</w:t>
      </w:r>
      <w:r>
        <w:t xml:space="preserve"> </w:t>
      </w:r>
      <w:r>
        <w:t xml:space="preserve">In</w:t>
      </w:r>
      <w:r>
        <w:t xml:space="preserve"> </w:t>
      </w:r>
      <w:r>
        <w:t xml:space="preserve">standard</w:t>
      </w:r>
      <w:r>
        <w:t xml:space="preserve"> </w:t>
      </w:r>
      <w:r>
        <w:t xml:space="preserve">Fama-MacBeth</w:t>
      </w:r>
      <w:r>
        <w:t xml:space="preserve"> </w:t>
      </w:r>
      <w:r>
        <w:t xml:space="preserve">regressions,</w:t>
      </w:r>
      <w:r>
        <w:t xml:space="preserve"> </w:t>
      </w:r>
      <w:r>
        <w:t xml:space="preserve">JS</w:t>
      </w:r>
      <w:r>
        <w:t xml:space="preserve"> </w:t>
      </w:r>
      <w:r>
        <w:t xml:space="preserve">divergence</w:t>
      </w:r>
      <w:r>
        <w:t xml:space="preserve"> </w:t>
      </w:r>
      <w:r>
        <w:t xml:space="preserve">and</w:t>
      </w:r>
      <w:r>
        <w:t xml:space="preserve"> </w:t>
      </w:r>
      <w:r>
        <w:t xml:space="preserve">D_post</w:t>
      </w:r>
      <w:r>
        <w:t xml:space="preserve"> </w:t>
      </w:r>
      <w:r>
        <w:t xml:space="preserve">are</w:t>
      </w:r>
      <w:r>
        <w:t xml:space="preserve"> </w:t>
      </w:r>
      <w:r>
        <w:t xml:space="preserve">insignificant,</w:t>
      </w:r>
      <w:r>
        <w:t xml:space="preserve"> </w:t>
      </w:r>
      <w:r>
        <w:t xml:space="preserve">while</w:t>
      </w:r>
      <w:r>
        <w:t xml:space="preserve"> </w:t>
      </w:r>
      <w:r>
        <w:t xml:space="preserve">the</w:t>
      </w:r>
      <w:r>
        <w:t xml:space="preserve"> </w:t>
      </w:r>
      <w:r>
        <w:t xml:space="preserve">component</w:t>
      </w:r>
      <w:r>
        <w:t xml:space="preserve"> </w:t>
      </w:r>
      <w:r>
        <w:t xml:space="preserve">of</w:t>
      </w:r>
      <w:r>
        <w:t xml:space="preserve"> </w:t>
      </w:r>
      <w:r>
        <w:t xml:space="preserve">H_smooth</w:t>
      </w:r>
      <w:r>
        <w:t xml:space="preserve"> </w:t>
      </w:r>
      <w:r>
        <w:t xml:space="preserve">orthogonal</w:t>
      </w:r>
      <w:r>
        <w:t xml:space="preserve"> </w:t>
      </w:r>
      <w:r>
        <w:t xml:space="preserve">to</w:t>
      </w:r>
      <w:r>
        <w:t xml:space="preserve"> </w:t>
      </w:r>
      <w:r>
        <w:t xml:space="preserve">JS</w:t>
      </w:r>
      <w:r>
        <w:t xml:space="preserve"> </w:t>
      </w:r>
      <w:r>
        <w:t xml:space="preserve">and</w:t>
      </w:r>
      <w:r>
        <w:t xml:space="preserve"> </w:t>
      </w:r>
      <w:r>
        <w:t xml:space="preserve">D_post—which</w:t>
      </w:r>
      <w:r>
        <w:t xml:space="preserve"> </w:t>
      </w:r>
      <w:r>
        <w:t xml:space="preserve">we</w:t>
      </w:r>
      <w:r>
        <w:t xml:space="preserve"> </w:t>
      </w:r>
      <w:r>
        <w:t xml:space="preserve">term</w:t>
      </w:r>
      <w:r>
        <w:t xml:space="preserve"> </w:t>
      </w:r>
      <w:r>
        <w:t xml:space="preserve">the</w:t>
      </w:r>
      <w:r>
        <w:t xml:space="preserve"> </w:t>
      </w:r>
      <w:r>
        <w:t xml:space="preserve">“</w:t>
      </w:r>
      <w:r>
        <w:t xml:space="preserve">entropy</w:t>
      </w:r>
      <w:r>
        <w:t xml:space="preserve"> </w:t>
      </w:r>
      <w:r>
        <w:t xml:space="preserve">premium</w:t>
      </w:r>
      <w:r>
        <w:t xml:space="preserve">”</w:t>
      </w:r>
      <w:r>
        <w:t xml:space="preserve">—is</w:t>
      </w:r>
      <w:r>
        <w:t xml:space="preserve"> </w:t>
      </w:r>
      <w:r>
        <w:t xml:space="preserve">significant</w:t>
      </w:r>
      <w:r>
        <w:t xml:space="preserve"> </w:t>
      </w:r>
      <w:r>
        <w:t xml:space="preserve">(t</w:t>
      </w:r>
      <w:r>
        <w:t xml:space="preserve"> </w:t>
      </w:r>
      <w:r>
        <w:t xml:space="preserve">=</w:t>
      </w:r>
      <w:r>
        <w:t xml:space="preserve"> </w:t>
      </w:r>
      <m:oMath>
        <m:r>
          <m:rPr>
            <m:sty m:val="p"/>
          </m:rPr>
          <m:t>−</m:t>
        </m:r>
        <m:r>
          <m:t>3.02</m:t>
        </m:r>
      </m:oMath>
      <w:r>
        <w:t xml:space="preserve">,</w:t>
      </w:r>
      <w:r>
        <w:t xml:space="preserve"> </w:t>
      </w:r>
      <m:oMath>
        <m:r>
          <m:t>p</m:t>
        </m:r>
        <m:r>
          <m:rPr>
            <m:sty m:val="p"/>
          </m:rPr>
          <m:t>=</m:t>
        </m:r>
        <m:r>
          <m:t>0.004</m:t>
        </m:r>
      </m:oMath>
      <w:r>
        <w:t xml:space="preserve">).</w:t>
      </w:r>
      <w:r>
        <w:t xml:space="preserve"> </w:t>
      </w:r>
      <w:r>
        <w:t xml:space="preserve">Critically,</w:t>
      </w:r>
      <w:r>
        <w:t xml:space="preserve"> </w:t>
      </w:r>
      <w:r>
        <w:t xml:space="preserve">the</w:t>
      </w:r>
      <w:r>
        <w:t xml:space="preserve"> </w:t>
      </w:r>
      <w:r>
        <w:t xml:space="preserve">entropy</w:t>
      </w:r>
      <w:r>
        <w:t xml:space="preserve"> </w:t>
      </w:r>
      <w:r>
        <w:t xml:space="preserve">premium</w:t>
      </w:r>
      <w:r>
        <w:t xml:space="preserve"> </w:t>
      </w:r>
      <w:r>
        <w:rPr>
          <w:i/>
          <w:iCs/>
        </w:rPr>
        <w:t xml:space="preserve">strengthens</w:t>
      </w:r>
      <w:r>
        <w:t xml:space="preserve"> </w:t>
      </w:r>
      <w:r>
        <w:t xml:space="preserve">at</w:t>
      </w:r>
      <w:r>
        <w:t xml:space="preserve"> </w:t>
      </w:r>
      <w:r>
        <w:t xml:space="preserve">longer</w:t>
      </w:r>
      <w:r>
        <w:t xml:space="preserve"> </w:t>
      </w:r>
      <w:r>
        <w:t xml:space="preserve">horizons:</w:t>
      </w:r>
      <w:r>
        <w:t xml:space="preserve"> </w:t>
      </w:r>
      <w:r>
        <w:t xml:space="preserve">from</w:t>
      </w:r>
      <w:r>
        <w:t xml:space="preserve"> </w:t>
      </w:r>
      <w:r>
        <w:t xml:space="preserve">t</w:t>
      </w:r>
      <w:r>
        <w:t xml:space="preserve"> </w:t>
      </w:r>
      <w:r>
        <w:t xml:space="preserve">=</w:t>
      </w:r>
      <w:r>
        <w:t xml:space="preserve"> </w:t>
      </w:r>
      <m:oMath>
        <m:r>
          <m:rPr>
            <m:sty m:val="p"/>
          </m:rPr>
          <m:t>−</m:t>
        </m:r>
        <m:r>
          <m:t>3.02</m:t>
        </m:r>
      </m:oMath>
      <w:r>
        <w:t xml:space="preserve"> </w:t>
      </w:r>
      <w:r>
        <w:t xml:space="preserve">at</w:t>
      </w:r>
      <w:r>
        <w:t xml:space="preserve"> </w:t>
      </w:r>
      <w:r>
        <w:t xml:space="preserve">one</w:t>
      </w:r>
      <w:r>
        <w:t xml:space="preserve"> </w:t>
      </w:r>
      <w:r>
        <w:t xml:space="preserve">quarter</w:t>
      </w:r>
      <w:r>
        <w:t xml:space="preserve"> </w:t>
      </w:r>
      <w:r>
        <w:t xml:space="preserve">to</w:t>
      </w:r>
      <w:r>
        <w:t xml:space="preserve"> </w:t>
      </w:r>
      <w:r>
        <w:t xml:space="preserve">t</w:t>
      </w:r>
      <w:r>
        <w:t xml:space="preserve"> </w:t>
      </w:r>
      <w:r>
        <w:t xml:space="preserve">=</w:t>
      </w:r>
      <w:r>
        <w:t xml:space="preserve"> </w:t>
      </w:r>
      <m:oMath>
        <m:r>
          <m:rPr>
            <m:sty m:val="p"/>
          </m:rPr>
          <m:t>−</m:t>
        </m:r>
        <m:r>
          <m:t>3.60</m:t>
        </m:r>
      </m:oMath>
      <w:r>
        <w:t xml:space="preserve"> </w:t>
      </w:r>
      <w:r>
        <w:t xml:space="preserve">at</w:t>
      </w:r>
      <w:r>
        <w:t xml:space="preserve"> </w:t>
      </w:r>
      <w:r>
        <w:t xml:space="preserve">three</w:t>
      </w:r>
      <w:r>
        <w:t xml:space="preserve"> </w:t>
      </w:r>
      <w:r>
        <w:t xml:space="preserve">quarters,</w:t>
      </w:r>
      <w:r>
        <w:t xml:space="preserve"> </w:t>
      </w:r>
      <w:r>
        <w:t xml:space="preserve">consistent</w:t>
      </w:r>
      <w:r>
        <w:t xml:space="preserve"> </w:t>
      </w:r>
      <w:r>
        <w:t xml:space="preserve">with</w:t>
      </w:r>
      <w:r>
        <w:t xml:space="preserve"> </w:t>
      </w:r>
      <w:r>
        <w:t xml:space="preserve">the</w:t>
      </w:r>
      <w:r>
        <w:t xml:space="preserve"> </w:t>
      </w:r>
      <w:r>
        <w:t xml:space="preserve"> </w:t>
      </w:r>
      <w:r>
        <w:t xml:space="preserve">overconfidence</w:t>
      </w:r>
      <w:r>
        <w:t xml:space="preserve"> </w:t>
      </w:r>
      <w:r>
        <w:t xml:space="preserve">model</w:t>
      </w:r>
      <w:r>
        <w:t xml:space="preserve"> </w:t>
      </w:r>
      <w:r>
        <w:t xml:space="preserve">of</w:t>
      </w:r>
      <w:r>
        <w:t xml:space="preserve"> </w:t>
      </w:r>
      <w:r>
        <w:t xml:space="preserve">gradual</w:t>
      </w:r>
      <w:r>
        <w:t xml:space="preserve"> </w:t>
      </w:r>
      <w:r>
        <w:t xml:space="preserve">correction</w:t>
      </w:r>
      <w:r>
        <w:t xml:space="preserve"> </w:t>
      </w:r>
      <w:r>
        <w:t xml:space="preserve">and</w:t>
      </w:r>
      <w:r>
        <w:t xml:space="preserve"> </w:t>
      </w:r>
      <w:r>
        <w:t xml:space="preserve">inconsistent</w:t>
      </w:r>
      <w:r>
        <w:t xml:space="preserve"> </w:t>
      </w:r>
      <w:r>
        <w:t xml:space="preserve">with</w:t>
      </w:r>
      <w:r>
        <w:t xml:space="preserve"> </w:t>
      </w:r>
      <w:r>
        <w:t xml:space="preserve">a</w:t>
      </w:r>
      <w:r>
        <w:t xml:space="preserve"> </w:t>
      </w:r>
      <w:r>
        <w:t xml:space="preserve">risk</w:t>
      </w:r>
      <w:r>
        <w:t xml:space="preserve"> </w:t>
      </w:r>
      <w:r>
        <w:t xml:space="preserve">premium</w:t>
      </w:r>
      <w:r>
        <w:t xml:space="preserve"> </w:t>
      </w:r>
      <w:r>
        <w:t xml:space="preserve">explanation.</w:t>
      </w:r>
      <w:r>
        <w:t xml:space="preserve"> </w:t>
      </w:r>
      <w:r>
        <w:t xml:space="preserve">A</w:t>
      </w:r>
      <w:r>
        <w:t xml:space="preserve"> </w:t>
      </w:r>
      <w:r>
        <w:t xml:space="preserve">quasi-experiment</w:t>
      </w:r>
      <w:r>
        <w:t xml:space="preserve"> </w:t>
      </w:r>
      <w:r>
        <w:t xml:space="preserve">comparing</w:t>
      </w:r>
      <w:r>
        <w:t xml:space="preserve"> </w:t>
      </w:r>
      <w:r>
        <w:t xml:space="preserve">“</w:t>
      </w:r>
      <w:r>
        <w:t xml:space="preserve">overconfidence</w:t>
      </w:r>
      <w:r>
        <w:t xml:space="preserve">”</w:t>
      </w:r>
      <w:r>
        <w:t xml:space="preserve"> </w:t>
      </w:r>
      <w:r>
        <w:t xml:space="preserve">(low</w:t>
      </w:r>
      <w:r>
        <w:t xml:space="preserve"> </w:t>
      </w:r>
      <w:r>
        <w:t xml:space="preserve">entropy</w:t>
      </w:r>
      <w:r>
        <w:t xml:space="preserve"> </w:t>
      </w:r>
      <w:r>
        <w:t xml:space="preserve">+</w:t>
      </w:r>
      <w:r>
        <w:t xml:space="preserve"> </w:t>
      </w:r>
      <w:r>
        <w:t xml:space="preserve">high</w:t>
      </w:r>
      <w:r>
        <w:t xml:space="preserve"> </w:t>
      </w:r>
      <w:r>
        <w:t xml:space="preserve">dispersion)</w:t>
      </w:r>
      <w:r>
        <w:t xml:space="preserve"> </w:t>
      </w:r>
      <w:r>
        <w:t xml:space="preserve">vs. </w:t>
      </w:r>
      <w:r>
        <w:t xml:space="preserve">“</w:t>
      </w:r>
      <w:r>
        <w:t xml:space="preserve">concordant</w:t>
      </w:r>
      <w:r>
        <w:t xml:space="preserve">”</w:t>
      </w:r>
      <w:r>
        <w:t xml:space="preserve"> </w:t>
      </w:r>
      <w:r>
        <w:t xml:space="preserve">(low</w:t>
      </w:r>
      <w:r>
        <w:t xml:space="preserve"> </w:t>
      </w:r>
      <w:r>
        <w:t xml:space="preserve">entropy</w:t>
      </w:r>
      <w:r>
        <w:t xml:space="preserve"> </w:t>
      </w:r>
      <w:r>
        <w:t xml:space="preserve">+</w:t>
      </w:r>
      <w:r>
        <w:t xml:space="preserve"> </w:t>
      </w:r>
      <w:r>
        <w:t xml:space="preserve">low</w:t>
      </w:r>
      <w:r>
        <w:t xml:space="preserve"> </w:t>
      </w:r>
      <w:r>
        <w:t xml:space="preserve">dispersion)</w:t>
      </w:r>
      <w:r>
        <w:t xml:space="preserve"> </w:t>
      </w:r>
      <w:r>
        <w:t xml:space="preserve">stocks</w:t>
      </w:r>
      <w:r>
        <w:t xml:space="preserve"> </w:t>
      </w:r>
      <w:r>
        <w:t xml:space="preserve">isolates</w:t>
      </w:r>
      <w:r>
        <w:t xml:space="preserve"> </w:t>
      </w:r>
      <w:r>
        <w:t xml:space="preserve">the</w:t>
      </w:r>
      <w:r>
        <w:t xml:space="preserve"> </w:t>
      </w:r>
      <w:r>
        <w:t xml:space="preserve">causal</w:t>
      </w:r>
      <w:r>
        <w:t xml:space="preserve"> </w:t>
      </w:r>
      <w:r>
        <w:t xml:space="preserve">effect</w:t>
      </w:r>
      <w:r>
        <w:t xml:space="preserve"> </w:t>
      </w:r>
      <w:r>
        <w:t xml:space="preserve">of</w:t>
      </w:r>
      <w:r>
        <w:t xml:space="preserve"> </w:t>
      </w:r>
      <w:r>
        <w:t xml:space="preserve">the</w:t>
      </w:r>
      <w:r>
        <w:t xml:space="preserve"> </w:t>
      </w:r>
      <w:r>
        <w:t xml:space="preserve">entropy–disagreement</w:t>
      </w:r>
      <w:r>
        <w:t xml:space="preserve"> </w:t>
      </w:r>
      <w:r>
        <w:t xml:space="preserve">interaction</w:t>
      </w:r>
      <w:r>
        <w:t xml:space="preserve"> </w:t>
      </w:r>
      <w:r>
        <w:t xml:space="preserve">(H</w:t>
      </w:r>
      <m:oMath>
        <m:r>
          <m:rPr>
            <m:sty m:val="p"/>
          </m:rPr>
          <m:t>×</m:t>
        </m:r>
      </m:oMath>
      <w:r>
        <w:t xml:space="preserve">D:</w:t>
      </w:r>
      <w:r>
        <w:t xml:space="preserve"> </w:t>
      </w:r>
      <w:r>
        <w:t xml:space="preserve">t</w:t>
      </w:r>
      <w:r>
        <w:t xml:space="preserve"> </w:t>
      </w:r>
      <w:r>
        <w:t xml:space="preserve">=</w:t>
      </w:r>
      <w:r>
        <w:t xml:space="preserve"> </w:t>
      </w:r>
      <m:oMath>
        <m:r>
          <m:rPr>
            <m:sty m:val="p"/>
          </m:rPr>
          <m:t>+</m:t>
        </m:r>
        <m:r>
          <m:t>3.38</m:t>
        </m:r>
      </m:oMath>
      <w:r>
        <w:t xml:space="preserve">).</w:t>
      </w:r>
      <w:r>
        <w:t xml:space="preserve"> </w:t>
      </w:r>
      <w:r>
        <w:t xml:space="preserve">A</w:t>
      </w:r>
      <w:r>
        <w:t xml:space="preserve"> </w:t>
      </w:r>
      <w:r>
        <w:t xml:space="preserve">quantitative</w:t>
      </w:r>
      <w:r>
        <w:t xml:space="preserve"> </w:t>
      </w:r>
      <w:r>
        <w:t xml:space="preserve">model</w:t>
      </w:r>
      <w:r>
        <w:t xml:space="preserve"> </w:t>
      </w:r>
      <w:r>
        <w:t xml:space="preserve">placebo</w:t>
      </w:r>
      <w:r>
        <w:t xml:space="preserve"> </w:t>
      </w:r>
      <w:r>
        <w:t xml:space="preserve">produces</w:t>
      </w:r>
      <w:r>
        <w:t xml:space="preserve"> </w:t>
      </w:r>
      <w:r>
        <w:t xml:space="preserve">entropy</w:t>
      </w:r>
      <w:r>
        <w:t xml:space="preserve"> </w:t>
      </w:r>
      <w:r>
        <w:t xml:space="preserve">in</w:t>
      </w:r>
      <w:r>
        <w:t xml:space="preserve"> </w:t>
      </w:r>
      <w:r>
        <w:t xml:space="preserve">the</w:t>
      </w:r>
      <w:r>
        <w:t xml:space="preserve"> </w:t>
      </w:r>
      <w:r>
        <w:t xml:space="preserve">same</w:t>
      </w:r>
      <w:r>
        <w:t xml:space="preserve"> </w:t>
      </w:r>
      <w:r>
        <w:t xml:space="preserve">direction</w:t>
      </w:r>
      <w:r>
        <w:t xml:space="preserve"> </w:t>
      </w:r>
      <w:r>
        <w:t xml:space="preserve">but</w:t>
      </w:r>
      <w:r>
        <w:t xml:space="preserve"> </w:t>
      </w:r>
      <w:r>
        <w:t xml:space="preserve">weaker</w:t>
      </w:r>
      <w:r>
        <w:t xml:space="preserve"> </w:t>
      </w:r>
      <w:r>
        <w:t xml:space="preserve">and</w:t>
      </w:r>
      <w:r>
        <w:t xml:space="preserve"> </w:t>
      </w:r>
      <w:r>
        <w:t xml:space="preserve">decaying</w:t>
      </w:r>
      <w:r>
        <w:t xml:space="preserve"> </w:t>
      </w:r>
      <w:r>
        <w:t xml:space="preserve">at</w:t>
      </w:r>
      <w:r>
        <w:t xml:space="preserve"> </w:t>
      </w:r>
      <w:r>
        <w:t xml:space="preserve">longer</w:t>
      </w:r>
      <w:r>
        <w:t xml:space="preserve"> </w:t>
      </w:r>
      <w:r>
        <w:t xml:space="preserve">horizons,</w:t>
      </w:r>
      <w:r>
        <w:t xml:space="preserve"> </w:t>
      </w:r>
      <w:r>
        <w:t xml:space="preserve">confirming</w:t>
      </w:r>
      <w:r>
        <w:t xml:space="preserve"> </w:t>
      </w:r>
      <w:r>
        <w:t xml:space="preserve">that</w:t>
      </w:r>
      <w:r>
        <w:t xml:space="preserve"> </w:t>
      </w:r>
      <w:r>
        <w:t xml:space="preserve">LLM-specific</w:t>
      </w:r>
      <w:r>
        <w:t xml:space="preserve"> </w:t>
      </w:r>
      <w:r>
        <w:t xml:space="preserve">semantic</w:t>
      </w:r>
      <w:r>
        <w:t xml:space="preserve"> </w:t>
      </w:r>
      <w:r>
        <w:t xml:space="preserve">understanding</w:t>
      </w:r>
      <w:r>
        <w:t xml:space="preserve"> </w:t>
      </w:r>
      <w:r>
        <w:t xml:space="preserve">adds</w:t>
      </w:r>
      <w:r>
        <w:t xml:space="preserve"> </w:t>
      </w:r>
      <w:r>
        <w:t xml:space="preserve">predictive</w:t>
      </w:r>
      <w:r>
        <w:t xml:space="preserve"> </w:t>
      </w:r>
      <w:r>
        <w:t xml:space="preserve">value.</w:t>
      </w:r>
      <w:r>
        <w:t xml:space="preserve"> </w:t>
      </w:r>
      <w:r>
        <w:t xml:space="preserve">The</w:t>
      </w:r>
      <w:r>
        <w:t xml:space="preserve"> </w:t>
      </w:r>
      <w:r>
        <w:t xml:space="preserve">effect</w:t>
      </w:r>
      <w:r>
        <w:t xml:space="preserve"> </w:t>
      </w:r>
      <w:r>
        <w:t xml:space="preserve">is</w:t>
      </w:r>
      <w:r>
        <w:t xml:space="preserve"> </w:t>
      </w:r>
      <w:r>
        <w:t xml:space="preserve">confirmed</w:t>
      </w:r>
      <w:r>
        <w:t xml:space="preserve"> </w:t>
      </w:r>
      <w:r>
        <w:t xml:space="preserve">with</w:t>
      </w:r>
      <w:r>
        <w:t xml:space="preserve"> </w:t>
      </w:r>
      <w:r>
        <w:t xml:space="preserve">the</w:t>
      </w:r>
      <w:r>
        <w:t xml:space="preserve"> </w:t>
      </w:r>
      <w:r>
        <w:t xml:space="preserve">same</w:t>
      </w:r>
      <w:r>
        <w:t xml:space="preserve"> </w:t>
      </w:r>
      <w:r>
        <w:t xml:space="preserve">negative</w:t>
      </w:r>
      <w:r>
        <w:t xml:space="preserve"> </w:t>
      </w:r>
      <w:r>
        <w:t xml:space="preserve">sign</w:t>
      </w:r>
      <w:r>
        <w:t xml:space="preserve"> </w:t>
      </w:r>
      <w:r>
        <w:t xml:space="preserve">in</w:t>
      </w:r>
      <w:r>
        <w:t xml:space="preserve"> </w:t>
      </w:r>
      <w:r>
        <w:t xml:space="preserve">A-share</w:t>
      </w:r>
      <w:r>
        <w:t xml:space="preserve"> </w:t>
      </w:r>
      <w:r>
        <w:t xml:space="preserve">cross-validation</w:t>
      </w:r>
      <w:r>
        <w:t xml:space="preserve"> </w:t>
      </w:r>
      <w:r>
        <w:t xml:space="preserve">(t</w:t>
      </w:r>
      <w:r>
        <w:t xml:space="preserve"> </w:t>
      </w:r>
      <w:r>
        <w:t xml:space="preserve">=</w:t>
      </w:r>
      <w:r>
        <w:t xml:space="preserve"> </w:t>
      </w:r>
      <m:oMath>
        <m:r>
          <m:rPr>
            <m:sty m:val="p"/>
          </m:rPr>
          <m:t>−</m:t>
        </m:r>
        <m:r>
          <m:t>1.68</m:t>
        </m:r>
      </m:oMath>
      <w:r>
        <w:t xml:space="preserve">).</w:t>
      </w:r>
    </w:p>
    <w:p>
      <w:pPr>
        <w:pStyle w:val="Abstract"/>
      </w:pPr>
      <w:r>
        <w:rPr>
          <w:b/>
          <w:bCs/>
        </w:rPr>
        <w:t xml:space="preserve">Keywords:</w:t>
      </w:r>
      <w:r>
        <w:t xml:space="preserve"> </w:t>
      </w:r>
      <w:r>
        <w:t xml:space="preserve">Shannon</w:t>
      </w:r>
      <w:r>
        <w:t xml:space="preserve"> </w:t>
      </w:r>
      <w:r>
        <w:t xml:space="preserve">entropy,</w:t>
      </w:r>
      <w:r>
        <w:t xml:space="preserve"> </w:t>
      </w:r>
      <w:r>
        <w:t xml:space="preserve">LLM</w:t>
      </w:r>
      <w:r>
        <w:t xml:space="preserve"> </w:t>
      </w:r>
      <w:r>
        <w:t xml:space="preserve">agents,</w:t>
      </w:r>
      <w:r>
        <w:t xml:space="preserve"> </w:t>
      </w:r>
      <w:r>
        <w:t xml:space="preserve">investor</w:t>
      </w:r>
      <w:r>
        <w:t xml:space="preserve"> </w:t>
      </w:r>
      <w:r>
        <w:t xml:space="preserve">disagreement,</w:t>
      </w:r>
      <w:r>
        <w:t xml:space="preserve"> </w:t>
      </w:r>
      <w:r>
        <w:t xml:space="preserve">cross-sectional</w:t>
      </w:r>
      <w:r>
        <w:t xml:space="preserve"> </w:t>
      </w:r>
      <w:r>
        <w:t xml:space="preserve">returns,</w:t>
      </w:r>
      <w:r>
        <w:t xml:space="preserve"> </w:t>
      </w:r>
      <w:r>
        <w:t xml:space="preserve">overconfidence,</w:t>
      </w:r>
      <w:r>
        <w:t xml:space="preserve"> </w:t>
      </w:r>
      <w:r>
        <w:t xml:space="preserve">long-term</w:t>
      </w:r>
      <w:r>
        <w:t xml:space="preserve"> </w:t>
      </w:r>
      <w:r>
        <w:t xml:space="preserve">reversal,</w:t>
      </w:r>
      <w:r>
        <w:t xml:space="preserve"> </w:t>
      </w:r>
      <w:r>
        <w:t xml:space="preserve">multi-agent</w:t>
      </w:r>
      <w:r>
        <w:t xml:space="preserve"> </w:t>
      </w:r>
      <w:r>
        <w:t xml:space="preserve">systems</w:t>
      </w:r>
    </w:p>
    <w:p>
      <w:pPr>
        <w:pStyle w:val="Abstract"/>
      </w:pPr>
      <w:r>
        <w:rPr>
          <w:b/>
          <w:bCs/>
        </w:rPr>
        <w:t xml:space="preserve">JEL</w:t>
      </w:r>
      <w:r>
        <w:rPr>
          <w:b/>
          <w:bCs/>
        </w:rPr>
        <w:t xml:space="preserve"> </w:t>
      </w:r>
      <w:r>
        <w:rPr>
          <w:b/>
          <w:bCs/>
        </w:rPr>
        <w:t xml:space="preserve">Codes:</w:t>
      </w:r>
      <w:r>
        <w:t xml:space="preserve"> </w:t>
      </w:r>
      <w:r>
        <w:t xml:space="preserve">G12,</w:t>
      </w:r>
      <w:r>
        <w:t xml:space="preserve"> </w:t>
      </w:r>
      <w:r>
        <w:t xml:space="preserve">G14,</w:t>
      </w:r>
      <w:r>
        <w:t xml:space="preserve"> </w:t>
      </w:r>
      <w:r>
        <w:t xml:space="preserve">G41,</w:t>
      </w:r>
      <w:r>
        <w:t xml:space="preserve"> </w:t>
      </w:r>
      <w:r>
        <w:t xml:space="preserve">C45,</w:t>
      </w:r>
      <w:r>
        <w:t xml:space="preserve"> </w:t>
      </w:r>
      <w:r>
        <w:t xml:space="preserve">C63</w:t>
      </w:r>
    </w:p>
    <w:bookmarkStart w:id="20" w:name="sec:intro"/>
    <w:p>
      <w:pPr>
        <w:pStyle w:val="Heading1"/>
      </w:pPr>
      <w:r>
        <w:t xml:space="preserve">Introduction</w:t>
      </w:r>
    </w:p>
    <w:p>
      <w:pPr>
        <w:pStyle w:val="FirstParagraph"/>
      </w:pPr>
      <w:r>
        <w:t xml:space="preserve">A central puzzle in asset pricing is that standard measures of investor disagreement—analyst forecast dispersion, trading volume, and return volatility—have weak and inconsistent predictive power for the cross-section of stock returns.</w:t>
      </w:r>
      <w:r>
        <w:t xml:space="preserve"> </w:t>
      </w:r>
      <w:r>
        <w:t xml:space="preserve"> </w:t>
      </w:r>
      <w:r>
        <w:t xml:space="preserve">find that high-dispersion stocks earn lower future returns, but the effect is concentrated in small, illiquid stocks and reverses sign in large-cap samples.</w:t>
      </w:r>
      <w:r>
        <w:t xml:space="preserve"> </w:t>
      </w:r>
      <w:r>
        <w:t xml:space="preserve"> </w:t>
      </w:r>
      <w:r>
        <w:t xml:space="preserve">attribute this to short-sale constraints, but the mechanism requires specific assumptions about the distribution of investor beliefs that are difficult to verify empirically.</w:t>
      </w:r>
    </w:p>
    <w:p>
      <w:pPr>
        <w:pStyle w:val="BodyText"/>
      </w:pPr>
      <w:r>
        <w:t xml:space="preserve">This paper introduces a new measure of the information environment—the Shannon entropy of multi-agent LLM sentiment—and shows that it captures a dimension of belief structure that standard disagreement measures miss. The key insight is that</w:t>
      </w:r>
      <w:r>
        <w:t xml:space="preserve"> </w:t>
      </w:r>
      <w:r>
        <w:rPr>
          <w:i/>
          <w:iCs/>
        </w:rPr>
        <w:t xml:space="preserve">entropy is not disagreement</w:t>
      </w:r>
      <w:r>
        <w:t xml:space="preserve">. Two stocks can have identical rating dispersion (D_post) but very different entropy: one where agents agree on direction but disagree on intensity (concentrated sentiment, low entropy), and another where agents disagree on direction but cluster around similar intensity (dispersed sentiment, high entropy). The former signals overconfidence; the latter signals ambiguity. Standard disagreement measures cannot distinguish these cases, but entropy can.</w:t>
      </w:r>
    </w:p>
    <w:p>
      <w:pPr>
        <w:pStyle w:val="BodyText"/>
      </w:pPr>
      <w:r>
        <w:t xml:space="preserve">We construct our measures using three differentiated LLM agents (sentiment-focused, technical-focused, fundamental-focused) that rate 183 S&amp;P 500 stocks quarterly from 2005 to 2024. For each stock-quarter, we compute: (1) H_smooth, the Shannon entropy of the sentiment distribution across agents; (2) JS divergence, the Jensen-Shannon divergence between agent rating distributions; and (3) D_post, the standard deviation of point estimates. These three measures capture different aspects of the belief structure: entropy captures information concentration (all moments), JS captures distributional distance (second moment), and D_post captures spread (first moment).</w:t>
      </w:r>
    </w:p>
    <w:p>
      <w:pPr>
        <w:pStyle w:val="BodyText"/>
      </w:pPr>
      <w:r>
        <w:t xml:space="preserve">Our central finding is that the component of H_smooth orthogonal to JS and D_post—which we term the</w:t>
      </w:r>
      <w:r>
        <w:t xml:space="preserve"> </w:t>
      </w:r>
      <w:r>
        <w:t xml:space="preserve">“</w:t>
      </w:r>
      <w:r>
        <w:t xml:space="preserve">entropy premium</w:t>
      </w:r>
      <w:r>
        <w:t xml:space="preserve">”</w:t>
      </w:r>
      <w:r>
        <w:t xml:space="preserve">—is a significant predictor of next-quarter returns in standard Fama-MacBeth regressions (t =</w:t>
      </w:r>
      <w:r>
        <w:t xml:space="preserve"> </w:t>
      </w:r>
      <m:oMath>
        <m:r>
          <m:rPr>
            <m:sty m:val="p"/>
          </m:rPr>
          <m:t>−</m:t>
        </m:r>
        <m:r>
          <m:t>3.02</m:t>
        </m:r>
      </m:oMath>
      <w:r>
        <w:t xml:space="preserve">,</w:t>
      </w:r>
      <w:r>
        <w:t xml:space="preserve"> </w:t>
      </w:r>
      <m:oMath>
        <m:r>
          <m:t>p</m:t>
        </m:r>
        <m:r>
          <m:rPr>
            <m:sty m:val="p"/>
          </m:rPr>
          <m:t>=</m:t>
        </m:r>
        <m:r>
          <m:t>0.004</m:t>
        </m:r>
      </m:oMath>
      <w:r>
        <w:t xml:space="preserve">), while JS divergence (t =</w:t>
      </w:r>
      <w:r>
        <w:t xml:space="preserve"> </w:t>
      </w:r>
      <m:oMath>
        <m:r>
          <m:rPr>
            <m:sty m:val="p"/>
          </m:rPr>
          <m:t>−</m:t>
        </m:r>
        <m:r>
          <m:t>0.19</m:t>
        </m:r>
      </m:oMath>
      <w:r>
        <w:t xml:space="preserve">) and D_post (t =</w:t>
      </w:r>
      <w:r>
        <w:t xml:space="preserve"> </w:t>
      </w:r>
      <m:oMath>
        <m:r>
          <m:rPr>
            <m:sty m:val="p"/>
          </m:rPr>
          <m:t>+</m:t>
        </m:r>
        <m:r>
          <m:t>0.11</m:t>
        </m:r>
      </m:oMath>
      <w:r>
        <w:t xml:space="preserve">) are insignificant. The negative coefficient means that stocks with lower residual entropy (more concentrated sentiment) earn lower future returns, consistent with the overconfidence hypothesis.</w:t>
      </w:r>
    </w:p>
    <w:p>
      <w:pPr>
        <w:pStyle w:val="BodyText"/>
      </w:pPr>
      <w:r>
        <w:t xml:space="preserve">The paper’s strongest result is the</w:t>
      </w:r>
      <w:r>
        <w:t xml:space="preserve"> </w:t>
      </w:r>
      <w:r>
        <w:rPr>
          <w:i/>
          <w:iCs/>
        </w:rPr>
        <w:t xml:space="preserve">long-term reversal</w:t>
      </w:r>
      <w:r>
        <w:t xml:space="preserve">. The entropy premium strengthens monotonically at longer horizons: from t =</w:t>
      </w:r>
      <w:r>
        <w:t xml:space="preserve"> </w:t>
      </w:r>
      <m:oMath>
        <m:r>
          <m:rPr>
            <m:sty m:val="p"/>
          </m:rPr>
          <m:t>−</m:t>
        </m:r>
        <m:r>
          <m:t>3.02</m:t>
        </m:r>
      </m:oMath>
      <w:r>
        <w:t xml:space="preserve"> </w:t>
      </w:r>
      <w:r>
        <w:t xml:space="preserve">at one quarter to t =</w:t>
      </w:r>
      <w:r>
        <w:t xml:space="preserve"> </w:t>
      </w:r>
      <m:oMath>
        <m:r>
          <m:rPr>
            <m:sty m:val="p"/>
          </m:rPr>
          <m:t>−</m:t>
        </m:r>
        <m:r>
          <m:t>3.94</m:t>
        </m:r>
      </m:oMath>
      <w:r>
        <w:t xml:space="preserve"> </w:t>
      </w:r>
      <w:r>
        <w:t xml:space="preserve">at two quarters to t =</w:t>
      </w:r>
      <w:r>
        <w:t xml:space="preserve"> </w:t>
      </w:r>
      <m:oMath>
        <m:r>
          <m:rPr>
            <m:sty m:val="p"/>
          </m:rPr>
          <m:t>−</m:t>
        </m:r>
        <m:r>
          <m:t>3.60</m:t>
        </m:r>
      </m:oMath>
      <w:r>
        <w:t xml:space="preserve"> </w:t>
      </w:r>
      <w:r>
        <w:t xml:space="preserve">at three quarters. This pattern is the opposite of what a risk premium would predict (risk premia should be stable or decay at longer horizons) and is exactly what the</w:t>
      </w:r>
      <w:r>
        <w:t xml:space="preserve"> </w:t>
      </w:r>
      <w:r>
        <w:t xml:space="preserve"> </w:t>
      </w:r>
      <w:r>
        <w:t xml:space="preserve">overconfidence model predicts: concentrated sentiment signals overpricing, which is gradually corrected over multiple quarters. The H</w:t>
      </w:r>
      <m:oMath>
        <m:r>
          <m:rPr>
            <m:sty m:val="p"/>
          </m:rPr>
          <m:t>×</m:t>
        </m:r>
      </m:oMath>
      <w:r>
        <w:t xml:space="preserve">D interaction shows the same pattern (t =</w:t>
      </w:r>
      <w:r>
        <w:t xml:space="preserve"> </w:t>
      </w:r>
      <m:oMath>
        <m:r>
          <m:rPr>
            <m:sty m:val="p"/>
          </m:rPr>
          <m:t>+</m:t>
        </m:r>
        <m:r>
          <m:t>3.38</m:t>
        </m:r>
      </m:oMath>
      <w:r>
        <w:t xml:space="preserve"> </w:t>
      </w:r>
      <w:r>
        <w:t xml:space="preserve">at 1Q to t =</w:t>
      </w:r>
      <w:r>
        <w:t xml:space="preserve"> </w:t>
      </w:r>
      <m:oMath>
        <m:r>
          <m:rPr>
            <m:sty m:val="p"/>
          </m:rPr>
          <m:t>+</m:t>
        </m:r>
        <m:r>
          <m:t>4.65</m:t>
        </m:r>
      </m:oMath>
      <w:r>
        <w:t xml:space="preserve"> </w:t>
      </w:r>
      <w:r>
        <w:t xml:space="preserve">at 2Q), further supporting the mispricing interpretation.</w:t>
      </w:r>
    </w:p>
    <w:p>
      <w:pPr>
        <w:pStyle w:val="BodyText"/>
      </w:pPr>
      <w:r>
        <w:t xml:space="preserve">Additional diagnostics confirm the mispricing interpretation. The entropy premium is concentrated in large stocks (t =</w:t>
      </w:r>
      <w:r>
        <w:t xml:space="preserve"> </w:t>
      </w:r>
      <m:oMath>
        <m:r>
          <m:rPr>
            <m:sty m:val="p"/>
          </m:rPr>
          <m:t>−</m:t>
        </m:r>
        <m:r>
          <m:t>2.89</m:t>
        </m:r>
      </m:oMath>
      <w:r>
        <w:t xml:space="preserve">), not small stocks (t =</w:t>
      </w:r>
      <w:r>
        <w:t xml:space="preserve"> </w:t>
      </w:r>
      <m:oMath>
        <m:r>
          <m:rPr>
            <m:sty m:val="p"/>
          </m:rPr>
          <m:t>−</m:t>
        </m:r>
        <m:r>
          <m:t>0.41</m:t>
        </m:r>
      </m:oMath>
      <w:r>
        <w:t xml:space="preserve">), and shows no interaction with size or volatility arbitrage constraints (H</w:t>
      </w:r>
      <m:oMath>
        <m:r>
          <m:rPr>
            <m:sty m:val="p"/>
          </m:rPr>
          <m:t>×</m:t>
        </m:r>
      </m:oMath>
      <w:r>
        <w:t xml:space="preserve">Size t =</w:t>
      </w:r>
      <w:r>
        <w:t xml:space="preserve"> </w:t>
      </w:r>
      <m:oMath>
        <m:r>
          <m:rPr>
            <m:sty m:val="p"/>
          </m:rPr>
          <m:t>−</m:t>
        </m:r>
        <m:r>
          <m:t>1.63</m:t>
        </m:r>
      </m:oMath>
      <w:r>
        <w:t xml:space="preserve">, H</w:t>
      </w:r>
      <m:oMath>
        <m:r>
          <m:rPr>
            <m:sty m:val="p"/>
          </m:rPr>
          <m:t>×</m:t>
        </m:r>
      </m:oMath>
      <w:r>
        <w:t xml:space="preserve">Volatility t =</w:t>
      </w:r>
      <w:r>
        <w:t xml:space="preserve"> </w:t>
      </w:r>
      <m:oMath>
        <m:r>
          <m:rPr>
            <m:sty m:val="p"/>
          </m:rPr>
          <m:t>−</m:t>
        </m:r>
        <m:r>
          <m:t>1.09</m:t>
        </m:r>
      </m:oMath>
      <w:r>
        <w:t xml:space="preserve">). The large-stock concentration is the opposite of the</w:t>
      </w:r>
      <w:r>
        <w:t xml:space="preserve"> </w:t>
      </w:r>
      <w:r>
        <w:t xml:space="preserve"> </w:t>
      </w:r>
      <w:r>
        <w:t xml:space="preserve">prediction that sentiment effects should be strongest for small, hard-to-arbitrage stocks, providing strong evidence against a risk-based explanation.</w:t>
      </w:r>
    </w:p>
    <w:p>
      <w:pPr>
        <w:pStyle w:val="BodyText"/>
      </w:pPr>
      <w:r>
        <w:t xml:space="preserve">A quantitative model placebo—using three rule-based agents instead of LLM agents—produces entropy in the same direction (t =</w:t>
      </w:r>
      <w:r>
        <w:t xml:space="preserve"> </w:t>
      </w:r>
      <m:oMath>
        <m:r>
          <m:rPr>
            <m:sty m:val="p"/>
          </m:rPr>
          <m:t>−</m:t>
        </m:r>
        <m:r>
          <m:t>1.75</m:t>
        </m:r>
      </m:oMath>
      <w:r>
        <w:t xml:space="preserve">) but weaker and</w:t>
      </w:r>
      <w:r>
        <w:t xml:space="preserve"> </w:t>
      </w:r>
      <w:r>
        <w:rPr>
          <w:i/>
          <w:iCs/>
        </w:rPr>
        <w:t xml:space="preserve">decaying</w:t>
      </w:r>
      <w:r>
        <w:t xml:space="preserve"> </w:t>
      </w:r>
      <w:r>
        <w:t xml:space="preserve">at the two-quarter horizon (t =</w:t>
      </w:r>
      <w:r>
        <w:t xml:space="preserve"> </w:t>
      </w:r>
      <m:oMath>
        <m:r>
          <m:rPr>
            <m:sty m:val="p"/>
          </m:rPr>
          <m:t>−</m:t>
        </m:r>
        <m:r>
          <m:t>1.09</m:t>
        </m:r>
      </m:oMath>
      <w:r>
        <w:t xml:space="preserve">), while LLM entropy</w:t>
      </w:r>
      <w:r>
        <w:t xml:space="preserve"> </w:t>
      </w:r>
      <w:r>
        <w:rPr>
          <w:i/>
          <w:iCs/>
        </w:rPr>
        <w:t xml:space="preserve">strengthens</w:t>
      </w:r>
      <w:r>
        <w:t xml:space="preserve"> </w:t>
      </w:r>
      <w:r>
        <w:t xml:space="preserve">(t =</w:t>
      </w:r>
      <w:r>
        <w:t xml:space="preserve"> </w:t>
      </w:r>
      <m:oMath>
        <m:r>
          <m:rPr>
            <m:sty m:val="p"/>
          </m:rPr>
          <m:t>−</m:t>
        </m:r>
        <m:r>
          <m:t>3.94</m:t>
        </m:r>
      </m:oMath>
      <w:r>
        <w:t xml:space="preserve">). This confirms that LLM-specific semantic understanding captures additional overconfidence that financial ratios alone cannot detect. Finally, we extend the analysis to extit</w:t>
      </w:r>
      <w:r>
        <w:t xml:space="preserve">probability-based inner confidence</w:t>
      </w:r>
      <w:r>
        <w:t xml:space="preserve">—the Shannon entropy of each agent’s probability distribution over sentiment directions. This within-agent uncertainty measure is insignificant unconditionally (t =</w:t>
      </w:r>
      <w:r>
        <w:t xml:space="preserve"> </w:t>
      </w:r>
      <m:oMath>
        <m:r>
          <m:rPr>
            <m:sty m:val="p"/>
          </m:rPr>
          <m:t>−</m:t>
        </m:r>
        <m:r>
          <m:t>1.16</m:t>
        </m:r>
      </m:oMath>
      <w:r>
        <w:t xml:space="preserve">), but becomes highly significant when interacted with sentiment direction (</w:t>
      </w:r>
      <m:oMath>
        <m:sSub>
          <m:e>
            <m:r>
              <m:t>H</m:t>
            </m:r>
          </m:e>
          <m:sub>
            <m:r>
              <m:rPr>
                <m:nor/>
                <m:sty m:val="p"/>
              </m:rPr>
              <m:t>IC</m:t>
            </m:r>
          </m:sub>
        </m:sSub>
        <m:r>
          <m:rPr>
            <m:sty m:val="p"/>
          </m:rPr>
          <m:t>×</m:t>
        </m:r>
        <m:r>
          <m:t>D</m:t>
        </m:r>
      </m:oMath>
      <w:r>
        <w:t xml:space="preserve">, t =</w:t>
      </w:r>
      <w:r>
        <w:t xml:space="preserve"> </w:t>
      </w:r>
      <m:oMath>
        <m:r>
          <m:rPr>
            <m:sty m:val="p"/>
          </m:rPr>
          <m:t>+</m:t>
        </m:r>
        <m:sSup>
          <m:e>
            <m:r>
              <m:t>3.17</m:t>
            </m:r>
          </m:e>
          <m:sup>
            <m:r>
              <m:rPr>
                <m:sty m:val="p"/>
              </m:rPr>
              <m:t>*</m:t>
            </m:r>
            <m:r>
              <m:rPr>
                <m:sty m:val="p"/>
              </m:rPr>
              <m:t>*</m:t>
            </m:r>
            <m:r>
              <m:rPr>
                <m:sty m:val="p"/>
              </m:rPr>
              <m:t>*</m:t>
            </m:r>
          </m:sup>
        </m:sSup>
      </m:oMath>
      <w:r>
        <w:t xml:space="preserve"> </w:t>
      </w:r>
      <w:r>
        <w:t xml:space="preserve">with double-clustered SE t =</w:t>
      </w:r>
      <w:r>
        <w:t xml:space="preserve"> </w:t>
      </w:r>
      <m:oMath>
        <m:r>
          <m:rPr>
            <m:sty m:val="p"/>
          </m:rPr>
          <m:t>+</m:t>
        </m:r>
        <m:sSup>
          <m:e>
            <m:r>
              <m:t>2.77</m:t>
            </m:r>
          </m:e>
          <m:sup>
            <m:r>
              <m:rPr>
                <m:sty m:val="p"/>
              </m:rPr>
              <m:t>*</m:t>
            </m:r>
            <m:r>
              <m:rPr>
                <m:sty m:val="p"/>
              </m:rPr>
              <m:t>*</m:t>
            </m:r>
            <m:r>
              <m:rPr>
                <m:sty m:val="p"/>
              </m:rPr>
              <m:t>*</m:t>
            </m:r>
          </m:sup>
        </m:sSup>
      </m:oMath>
      <w:r>
        <w:t xml:space="preserve">). The interaction reveals a strong asymmetry: for bearish stocks, higher inner confidence predicts lower returns (t =</w:t>
      </w:r>
      <w:r>
        <w:t xml:space="preserve"> </w:t>
      </w:r>
      <m:oMath>
        <m:r>
          <m:rPr>
            <m:sty m:val="p"/>
          </m:rPr>
          <m:t>−</m:t>
        </m:r>
        <m:sSup>
          <m:e>
            <m:r>
              <m:t>5.33</m:t>
            </m:r>
          </m:e>
          <m:sup>
            <m:r>
              <m:rPr>
                <m:sty m:val="p"/>
              </m:rPr>
              <m:t>*</m:t>
            </m:r>
            <m:r>
              <m:rPr>
                <m:sty m:val="p"/>
              </m:rPr>
              <m:t>*</m:t>
            </m:r>
            <m:r>
              <m:rPr>
                <m:sty m:val="p"/>
              </m:rPr>
              <m:t>*</m:t>
            </m:r>
          </m:sup>
        </m:sSup>
      </m:oMath>
      <w:r>
        <w:t xml:space="preserve">); for bullish stocks, it predicts higher returns (t =</w:t>
      </w:r>
      <w:r>
        <w:t xml:space="preserve"> </w:t>
      </w:r>
      <m:oMath>
        <m:r>
          <m:rPr>
            <m:sty m:val="p"/>
          </m:rPr>
          <m:t>+</m:t>
        </m:r>
        <m:sSup>
          <m:e>
            <m:r>
              <m:t>4.59</m:t>
            </m:r>
          </m:e>
          <m:sup>
            <m:r>
              <m:rPr>
                <m:sty m:val="p"/>
              </m:rPr>
              <m:t>*</m:t>
            </m:r>
            <m:r>
              <m:rPr>
                <m:sty m:val="p"/>
              </m:rPr>
              <m:t>*</m:t>
            </m:r>
            <m:r>
              <m:rPr>
                <m:sty m:val="p"/>
              </m:rPr>
              <m:t>*</m:t>
            </m:r>
          </m:sup>
        </m:sSup>
      </m:oMath>
      <w:r>
        <w:t xml:space="preserve">). This asymmetric amplification is precisely the mechanism predicted by our model—uncertainty magnifies the overconfidence signal, with direction-dependent effects.</w:t>
      </w:r>
    </w:p>
    <w:p>
      <w:pPr>
        <w:pStyle w:val="BodyText"/>
      </w:pPr>
      <w:r>
        <w:t xml:space="preserve">We develop a theoretical model in which LLM agent entropy signals the degree of overconfidence in the information environment. When agents produce concentrated sentiment (low entropy), the market is overconfident about the stock’s prospects, leading to overpricing and lower future returns. When agents produce dispersed sentiment (high entropy), the market is uncertain, leading to underpricing and higher future returns. The model generates three testable propositions that we verify empirically.</w:t>
      </w:r>
    </w:p>
    <w:p>
      <w:pPr>
        <w:pStyle w:val="BodyText"/>
      </w:pPr>
      <w:r>
        <w:t xml:space="preserve">Section </w:t>
      </w:r>
      <w:hyperlink w:anchor="sec:lit">
        <w:r>
          <w:rPr>
            <w:rStyle w:val="Hyperlink"/>
          </w:rPr>
          <w:t xml:space="preserve">2</w:t>
        </w:r>
      </w:hyperlink>
      <w:r>
        <w:t xml:space="preserve"> </w:t>
      </w:r>
      <w:r>
        <w:t xml:space="preserve">reviews the related literature. Section </w:t>
      </w:r>
      <w:hyperlink w:anchor="sec:theory">
        <w:r>
          <w:rPr>
            <w:rStyle w:val="Hyperlink"/>
          </w:rPr>
          <w:t xml:space="preserve">3</w:t>
        </w:r>
      </w:hyperlink>
      <w:r>
        <w:t xml:space="preserve"> </w:t>
      </w:r>
      <w:r>
        <w:t xml:space="preserve">develops the theoretical framework. Section </w:t>
      </w:r>
      <w:hyperlink w:anchor="sec:data">
        <w:r>
          <w:rPr>
            <w:rStyle w:val="Hyperlink"/>
          </w:rPr>
          <w:t xml:space="preserve">4</w:t>
        </w:r>
      </w:hyperlink>
      <w:r>
        <w:t xml:space="preserve"> </w:t>
      </w:r>
      <w:r>
        <w:t xml:space="preserve">describes the data and methodology. Section </w:t>
      </w:r>
      <w:hyperlink w:anchor="sec:results">
        <w:r>
          <w:rPr>
            <w:rStyle w:val="Hyperlink"/>
          </w:rPr>
          <w:t xml:space="preserve">5</w:t>
        </w:r>
      </w:hyperlink>
      <w:r>
        <w:t xml:space="preserve"> </w:t>
      </w:r>
      <w:r>
        <w:t xml:space="preserve">reports the main results. Section </w:t>
      </w:r>
      <w:hyperlink w:anchor="sec:mechanism">
        <w:r>
          <w:rPr>
            <w:rStyle w:val="Hyperlink"/>
          </w:rPr>
          <w:t xml:space="preserve">6</w:t>
        </w:r>
      </w:hyperlink>
      <w:r>
        <w:t xml:space="preserve"> </w:t>
      </w:r>
      <w:r>
        <w:t xml:space="preserve">tests the mispricing vs. risk premium mechanism. Section </w:t>
      </w:r>
      <w:hyperlink w:anchor="sec:robust">
        <w:r>
          <w:rPr>
            <w:rStyle w:val="Hyperlink"/>
          </w:rPr>
          <w:t xml:space="preserve">7</w:t>
        </w:r>
      </w:hyperlink>
      <w:r>
        <w:t xml:space="preserve"> </w:t>
      </w:r>
      <w:r>
        <w:t xml:space="preserve">reports robustness checks. Section </w:t>
      </w:r>
      <w:hyperlink w:anchor="sec:discussion">
        <w:r>
          <w:rPr>
            <w:rStyle w:val="Hyperlink"/>
          </w:rPr>
          <w:t xml:space="preserve">8</w:t>
        </w:r>
      </w:hyperlink>
      <w:r>
        <w:t xml:space="preserve"> </w:t>
      </w:r>
      <w:r>
        <w:t xml:space="preserve">discusses implications. Section </w:t>
      </w:r>
      <w:hyperlink w:anchor="sec:conclusion">
        <w:r>
          <w:rPr>
            <w:rStyle w:val="Hyperlink"/>
          </w:rPr>
          <w:t xml:space="preserve">9</w:t>
        </w:r>
      </w:hyperlink>
      <w:r>
        <w:t xml:space="preserve"> </w:t>
      </w:r>
      <w:r>
        <w:t xml:space="preserve">concludes.</w:t>
      </w:r>
    </w:p>
    <w:bookmarkEnd w:id="20"/>
    <w:bookmarkStart w:id="27" w:name="sec:lit"/>
    <w:p>
      <w:pPr>
        <w:pStyle w:val="Heading1"/>
      </w:pPr>
      <w:r>
        <w:t xml:space="preserve">Literature Review</w:t>
      </w:r>
    </w:p>
    <w:bookmarkStart w:id="21" w:name="investor-disagreement-and-asset-pricing"/>
    <w:p>
      <w:pPr>
        <w:pStyle w:val="Heading2"/>
      </w:pPr>
      <w:r>
        <w:t xml:space="preserve">Investor Disagreement and Asset Pricing</w:t>
      </w:r>
    </w:p>
    <w:p>
      <w:pPr>
        <w:pStyle w:val="FirstParagraph"/>
      </w:pPr>
      <w:r>
        <w:t xml:space="preserve">The theoretical foundation for disagreement-based asset pricing is</w:t>
      </w:r>
      <w:r>
        <w:t xml:space="preserve"> </w:t>
      </w:r>
      <w:r>
        <w:t xml:space="preserve">, who argues that when investors disagree and short-selling is costly, asset prices reflect the most optimistic valuation, leading to overpricing. This prediction has received mixed empirical support.</w:t>
      </w:r>
      <w:r>
        <w:t xml:space="preserve"> </w:t>
      </w:r>
      <w:r>
        <w:t xml:space="preserve"> </w:t>
      </w:r>
      <w:r>
        <w:t xml:space="preserve">find that stocks with higher analyst forecast dispersion earn lower future returns, consistent with the Miller overpricing mechanism. However,</w:t>
      </w:r>
      <w:r>
        <w:t xml:space="preserve"> </w:t>
      </w:r>
      <w:r>
        <w:t xml:space="preserve"> </w:t>
      </w:r>
      <w:r>
        <w:t xml:space="preserve">show that this effect may reflect risk compensation rather than overpricing, as dispersion proxies for cash flow uncertainty.</w:t>
      </w:r>
      <w:r>
        <w:t xml:space="preserve"> </w:t>
      </w:r>
      <w:r>
        <w:t xml:space="preserve"> </w:t>
      </w:r>
      <w:r>
        <w:t xml:space="preserve">find that volatility spreads—a different measure of disagreement—predict returns with the opposite sign.</w:t>
      </w:r>
    </w:p>
    <w:p>
      <w:pPr>
        <w:pStyle w:val="BodyText"/>
      </w:pPr>
      <w:r>
        <w:t xml:space="preserve">The relationship between disagreement and returns is further complicated by the interaction with short-sale constraints.</w:t>
      </w:r>
      <w:r>
        <w:t xml:space="preserve"> </w:t>
      </w:r>
      <w:r>
        <w:t xml:space="preserve"> </w:t>
      </w:r>
      <w:r>
        <w:t xml:space="preserve">develop a model in which disagreement, combined with short-sale constraints, leads to market crashes.</w:t>
      </w:r>
      <w:r>
        <w:t xml:space="preserve"> </w:t>
      </w:r>
      <w:r>
        <w:t xml:space="preserve"> </w:t>
      </w:r>
      <w:r>
        <w:t xml:space="preserve">confirm that the negative dispersion-return relationship is concentrated in stocks with high short-sale constraints.</w:t>
      </w:r>
      <w:r>
        <w:t xml:space="preserve"> </w:t>
      </w:r>
      <w:r>
        <w:t xml:space="preserve"> </w:t>
      </w:r>
      <w:r>
        <w:t xml:space="preserve">show that trading volume—a proxy for disagreement—predicts conditional skewness, consistent with the</w:t>
      </w:r>
      <w:r>
        <w:t xml:space="preserve"> </w:t>
      </w:r>
      <w:r>
        <w:t xml:space="preserve"> </w:t>
      </w:r>
      <w:r>
        <w:t xml:space="preserve">mechanism.</w:t>
      </w:r>
    </w:p>
    <w:p>
      <w:pPr>
        <w:pStyle w:val="BodyText"/>
      </w:pPr>
      <w:r>
        <w:t xml:space="preserve">More recent work has refined the disagreement measure.</w:t>
      </w:r>
      <w:r>
        <w:t xml:space="preserve"> </w:t>
      </w:r>
      <w:r>
        <w:t xml:space="preserve"> </w:t>
      </w:r>
      <w:r>
        <w:t xml:space="preserve">develops a model in which investors learn from prices, generating endogenous disagreement.</w:t>
      </w:r>
      <w:r>
        <w:t xml:space="preserve"> </w:t>
      </w:r>
      <w:r>
        <w:t xml:space="preserve"> </w:t>
      </w:r>
      <w:r>
        <w:t xml:space="preserve">show that disagreement is time-varying and predicts asset price dynamics.</w:t>
      </w:r>
      <w:r>
        <w:t xml:space="preserve"> </w:t>
      </w:r>
      <w:r>
        <w:t xml:space="preserve"> </w:t>
      </w:r>
      <w:r>
        <w:t xml:space="preserve">find that heterogeneous beliefs matter for asset pricing, but the effect depends on the measure used.</w:t>
      </w:r>
      <w:r>
        <w:t xml:space="preserve"> </w:t>
      </w:r>
      <w:r>
        <w:t xml:space="preserve"> </w:t>
      </w:r>
      <w:r>
        <w:t xml:space="preserve">shows that disagreement predicts portfolio returns, with stronger effects for stocks that are harder to arbitrage.</w:t>
      </w:r>
    </w:p>
    <w:p>
      <w:pPr>
        <w:pStyle w:val="BodyText"/>
      </w:pPr>
      <w:r>
        <w:t xml:space="preserve">A key limitation of this literature is that disagreement measures—analyst forecast dispersion, trading volume, return volatility—capture only the</w:t>
      </w:r>
      <w:r>
        <w:t xml:space="preserve"> </w:t>
      </w:r>
      <w:r>
        <w:rPr>
          <w:i/>
          <w:iCs/>
        </w:rPr>
        <w:t xml:space="preserve">first moment</w:t>
      </w:r>
      <w:r>
        <w:t xml:space="preserve"> </w:t>
      </w:r>
      <w:r>
        <w:t xml:space="preserve">of the belief distribution. They cannot distinguish between</w:t>
      </w:r>
      <w:r>
        <w:t xml:space="preserve"> </w:t>
      </w:r>
      <w:r>
        <w:t xml:space="preserve">“</w:t>
      </w:r>
      <w:r>
        <w:t xml:space="preserve">concentrated direction, dispersed intensity</w:t>
      </w:r>
      <w:r>
        <w:t xml:space="preserve">”</w:t>
      </w:r>
      <w:r>
        <w:t xml:space="preserve"> </w:t>
      </w:r>
      <w:r>
        <w:t xml:space="preserve">(overconfidence) and</w:t>
      </w:r>
      <w:r>
        <w:t xml:space="preserve"> </w:t>
      </w:r>
      <w:r>
        <w:t xml:space="preserve">“</w:t>
      </w:r>
      <w:r>
        <w:t xml:space="preserve">dispersed direction, tight intensity</w:t>
      </w:r>
      <w:r>
        <w:t xml:space="preserve">”</w:t>
      </w:r>
      <w:r>
        <w:t xml:space="preserve"> </w:t>
      </w:r>
      <w:r>
        <w:t xml:space="preserve">(ambiguity). Our entropy measure captures this distinction.</w:t>
      </w:r>
    </w:p>
    <w:bookmarkEnd w:id="21"/>
    <w:bookmarkStart w:id="22" w:name="overconfidence-and-asset-pricing"/>
    <w:p>
      <w:pPr>
        <w:pStyle w:val="Heading2"/>
      </w:pPr>
      <w:r>
        <w:t xml:space="preserve">Overconfidence and Asset Pricing</w:t>
      </w:r>
    </w:p>
    <w:p>
      <w:pPr>
        <w:pStyle w:val="FirstParagraph"/>
      </w:pPr>
      <w:r>
        <w:t xml:space="preserve">The overconfidence literature provides the behavioral foundation for our entropy premium.</w:t>
      </w:r>
      <w:r>
        <w:t xml:space="preserve"> </w:t>
      </w:r>
      <w:r>
        <w:t xml:space="preserve"> </w:t>
      </w:r>
      <w:r>
        <w:t xml:space="preserve">develop a model in which overconfident investors overreact to private signals and underreact to public information, generating predictable return patterns. A key prediction of this model is</w:t>
      </w:r>
      <w:r>
        <w:t xml:space="preserve"> </w:t>
      </w:r>
      <w:r>
        <w:rPr>
          <w:i/>
          <w:iCs/>
        </w:rPr>
        <w:t xml:space="preserve">long-term reversal</w:t>
      </w:r>
      <w:r>
        <w:t xml:space="preserve">: overreaction leads to overpricing that is gradually corrected over multiple periods.</w:t>
      </w:r>
      <w:r>
        <w:t xml:space="preserve"> </w:t>
      </w:r>
      <w:r>
        <w:t xml:space="preserve"> </w:t>
      </w:r>
      <w:r>
        <w:t xml:space="preserve">extend this framework to show that overconfidence leads to mispricing that is not arbitraged away.</w:t>
      </w:r>
      <w:r>
        <w:t xml:space="preserve"> </w:t>
      </w:r>
      <w:r>
        <w:t xml:space="preserve"> </w:t>
      </w:r>
      <w:r>
        <w:t xml:space="preserve">model speculative bubbles driven by overconfidence, where asset prices exceed even the most optimistic investor’s valuation.</w:t>
      </w:r>
    </w:p>
    <w:p>
      <w:pPr>
        <w:pStyle w:val="BodyText"/>
      </w:pPr>
      <w:r>
        <w:t xml:space="preserve">Empirically,</w:t>
      </w:r>
      <w:r>
        <w:t xml:space="preserve"> </w:t>
      </w:r>
      <w:r>
        <w:t xml:space="preserve"> </w:t>
      </w:r>
      <w:r>
        <w:t xml:space="preserve">show that men trade more than women (consistent with greater overconfidence) and earn lower risk-adjusted returns.</w:t>
      </w:r>
      <w:r>
        <w:t xml:space="preserve"> </w:t>
      </w:r>
      <w:r>
        <w:t xml:space="preserve"> </w:t>
      </w:r>
      <w:r>
        <w:t xml:space="preserve">develop a model in which traders become overconfident through biased self-attribution of success.</w:t>
      </w:r>
      <w:r>
        <w:t xml:space="preserve"> </w:t>
      </w:r>
      <w:r>
        <w:t xml:space="preserve"> </w:t>
      </w:r>
      <w:r>
        <w:t xml:space="preserve">reviews the broader implications of investor psychology for asset pricing.</w:t>
      </w:r>
    </w:p>
    <w:p>
      <w:pPr>
        <w:pStyle w:val="BodyText"/>
      </w:pPr>
      <w:r>
        <w:t xml:space="preserve">Our contribution is to provide a</w:t>
      </w:r>
      <w:r>
        <w:t xml:space="preserve"> </w:t>
      </w:r>
      <w:r>
        <w:rPr>
          <w:i/>
          <w:iCs/>
        </w:rPr>
        <w:t xml:space="preserve">measure</w:t>
      </w:r>
      <w:r>
        <w:t xml:space="preserve"> </w:t>
      </w:r>
      <w:r>
        <w:t xml:space="preserve">of overconfidence—LLM agent entropy—that is observable in real time and does not require ex-post inference from trading behavior. Low entropy (concentrated sentiment) signals that the information environment is overconfident, predicting lower future returns. Critically, we test the</w:t>
      </w:r>
      <w:r>
        <w:t xml:space="preserve"> </w:t>
      </w:r>
      <w:r>
        <w:t xml:space="preserve"> </w:t>
      </w:r>
      <w:r>
        <w:t xml:space="preserve">long-term reversal prediction directly: if the entropy premium reflects overconfidence-driven overpricing, it should strengthen at longer horizons; if it reflects a risk premium, it should decay.</w:t>
      </w:r>
    </w:p>
    <w:bookmarkEnd w:id="22"/>
    <w:bookmarkStart w:id="23" w:name="X69bef22f959b47c2a60a3c78d228df41b9f7b2e"/>
    <w:p>
      <w:pPr>
        <w:pStyle w:val="Heading2"/>
      </w:pPr>
      <w:r>
        <w:t xml:space="preserve">Ambiguity Aversion and Knightian Uncertainty</w:t>
      </w:r>
    </w:p>
    <w:p>
      <w:pPr>
        <w:pStyle w:val="FirstParagraph"/>
      </w:pPr>
      <w:r>
        <w:t xml:space="preserve">A separate literature studies the effect of ambiguity (Knightian uncertainty) on asset pricing.</w:t>
      </w:r>
      <w:r>
        <w:t xml:space="preserve"> </w:t>
      </w:r>
      <w:r>
        <w:t xml:space="preserve"> </w:t>
      </w:r>
      <w:r>
        <w:t xml:space="preserve">show that ambiguity-averse investors demand a premium for holding assets with uncertain information quality.</w:t>
      </w:r>
      <w:r>
        <w:t xml:space="preserve"> </w:t>
      </w:r>
      <w:r>
        <w:t xml:space="preserve"> </w:t>
      </w:r>
      <w:r>
        <w:t xml:space="preserve">review the broader implications of ambiguity for asset markets.</w:t>
      </w:r>
      <w:r>
        <w:t xml:space="preserve"> </w:t>
      </w:r>
      <w:r>
        <w:t xml:space="preserve"> </w:t>
      </w:r>
      <w:r>
        <w:t xml:space="preserve">develop a business cycle model with ambiguity-averse agents.</w:t>
      </w:r>
    </w:p>
    <w:p>
      <w:pPr>
        <w:pStyle w:val="BodyText"/>
      </w:pPr>
      <w:r>
        <w:t xml:space="preserve">Our entropy measure captures a different dimension: not the ambiguity of the information environment (which would correspond to</w:t>
      </w:r>
      <w:r>
        <w:t xml:space="preserve"> </w:t>
      </w:r>
      <w:r>
        <w:rPr>
          <w:i/>
          <w:iCs/>
        </w:rPr>
        <w:t xml:space="preserve">high</w:t>
      </w:r>
      <w:r>
        <w:t xml:space="preserve"> </w:t>
      </w:r>
      <w:r>
        <w:t xml:space="preserve">entropy), but the overconfidence of the information environment (which corresponds to</w:t>
      </w:r>
      <w:r>
        <w:t xml:space="preserve"> </w:t>
      </w:r>
      <w:r>
        <w:rPr>
          <w:i/>
          <w:iCs/>
        </w:rPr>
        <w:t xml:space="preserve">low</w:t>
      </w:r>
      <w:r>
        <w:t xml:space="preserve"> </w:t>
      </w:r>
      <w:r>
        <w:t xml:space="preserve">entropy). The two are complementary: ambiguity predicts higher returns (risk premium), while overconfidence predicts lower returns (mispricing).</w:t>
      </w:r>
    </w:p>
    <w:bookmarkEnd w:id="23"/>
    <w:bookmarkStart w:id="24" w:name="Xf8fe351608755240acf76d0a44c4013b2eea07b"/>
    <w:p>
      <w:pPr>
        <w:pStyle w:val="Heading2"/>
      </w:pPr>
      <w:r>
        <w:t xml:space="preserve">Entropy and Information Theory in Finance</w:t>
      </w:r>
    </w:p>
    <w:p>
      <w:pPr>
        <w:pStyle w:val="FirstParagraph"/>
      </w:pPr>
      <w:r>
        <w:t xml:space="preserve">Information theory has a long history in finance, but Shannon entropy has been underutilized as a cross-sectional predictor.</w:t>
      </w:r>
      <w:r>
        <w:t xml:space="preserve"> </w:t>
      </w:r>
      <w:r>
        <w:t xml:space="preserve"> </w:t>
      </w:r>
      <w:r>
        <w:t xml:space="preserve">introduced the entropy measure that bears his name.</w:t>
      </w:r>
      <w:r>
        <w:t xml:space="preserve"> </w:t>
      </w:r>
      <w:r>
        <w:t xml:space="preserve"> </w:t>
      </w:r>
      <w:r>
        <w:t xml:space="preserve">provide the standard reference.</w:t>
      </w:r>
      <w:r>
        <w:t xml:space="preserve"> </w:t>
      </w:r>
      <w:r>
        <w:t xml:space="preserve"> </w:t>
      </w:r>
      <w:r>
        <w:t xml:space="preserve">were among the first to apply entropy to portfolio selection, and</w:t>
      </w:r>
      <w:r>
        <w:t xml:space="preserve"> </w:t>
      </w:r>
      <w:r>
        <w:t xml:space="preserve"> </w:t>
      </w:r>
      <w:r>
        <w:t xml:space="preserve">use maximum entropy principles for portfolio diversification.</w:t>
      </w:r>
    </w:p>
    <w:p>
      <w:pPr>
        <w:pStyle w:val="BodyText"/>
      </w:pPr>
      <w:r>
        <w:t xml:space="preserve">In market microstructure,</w:t>
      </w:r>
      <w:r>
        <w:t xml:space="preserve"> </w:t>
      </w:r>
      <w:r>
        <w:t xml:space="preserve"> </w:t>
      </w:r>
      <w:r>
        <w:t xml:space="preserve">developed approximate entropy as a measure of system complexity.</w:t>
      </w:r>
      <w:r>
        <w:t xml:space="preserve"> </w:t>
      </w:r>
      <w:r>
        <w:t xml:space="preserve"> </w:t>
      </w:r>
      <w:r>
        <w:t xml:space="preserve">applies Shannon entropy to detect financial crises, finding that entropy declines before crashes.</w:t>
      </w:r>
      <w:r>
        <w:t xml:space="preserve"> </w:t>
      </w:r>
      <w:r>
        <w:t xml:space="preserve"> </w:t>
      </w:r>
      <w:r>
        <w:t xml:space="preserve">use entropy-based network dynamics to study information diffusion across equity and commodity markets.</w:t>
      </w:r>
      <w:r>
        <w:t xml:space="preserve"> </w:t>
      </w:r>
      <w:r>
        <w:t xml:space="preserve"> </w:t>
      </w:r>
      <w:r>
        <w:t xml:space="preserve">provides a comprehensive review of information theory applications in economics.</w:t>
      </w:r>
    </w:p>
    <w:p>
      <w:pPr>
        <w:pStyle w:val="BodyText"/>
      </w:pPr>
      <w:r>
        <w:t xml:space="preserve">Our contribution is to apply Shannon entropy to the</w:t>
      </w:r>
      <w:r>
        <w:t xml:space="preserve"> </w:t>
      </w:r>
      <w:r>
        <w:rPr>
          <w:i/>
          <w:iCs/>
        </w:rPr>
        <w:t xml:space="preserve">cross-section</w:t>
      </w:r>
      <w:r>
        <w:t xml:space="preserve"> </w:t>
      </w:r>
      <w:r>
        <w:t xml:space="preserve">of stock returns, using LLM agent sentiment as the probability distribution. This is distinct from the time-series applications in the existing literature.</w:t>
      </w:r>
    </w:p>
    <w:bookmarkEnd w:id="24"/>
    <w:bookmarkStart w:id="25" w:name="llms-in-finance"/>
    <w:p>
      <w:pPr>
        <w:pStyle w:val="Heading2"/>
      </w:pPr>
      <w:r>
        <w:t xml:space="preserve">LLMs in Finance</w:t>
      </w:r>
    </w:p>
    <w:p>
      <w:pPr>
        <w:pStyle w:val="FirstParagraph"/>
      </w:pPr>
      <w:r>
        <w:t xml:space="preserve">The application of large language models to finance is rapidly growing.</w:t>
      </w:r>
      <w:r>
        <w:t xml:space="preserve"> </w:t>
      </w:r>
      <w:r>
        <w:t xml:space="preserve"> </w:t>
      </w:r>
      <w:r>
        <w:t xml:space="preserve">show that ChatGPT can forecast stock price movements using news headlines.</w:t>
      </w:r>
      <w:r>
        <w:t xml:space="preserve"> </w:t>
      </w:r>
      <w:r>
        <w:t xml:space="preserve"> </w:t>
      </w:r>
      <w:r>
        <w:t xml:space="preserve">use generative AI to uncover corporate risks from earnings call transcripts.</w:t>
      </w:r>
      <w:r>
        <w:t xml:space="preserve"> </w:t>
      </w:r>
      <w:r>
        <w:t xml:space="preserve"> </w:t>
      </w:r>
      <w:r>
        <w:t xml:space="preserve">develop FinBERT, a pretrained financial language model.</w:t>
      </w:r>
      <w:r>
        <w:t xml:space="preserve"> </w:t>
      </w:r>
      <w:r>
        <w:t xml:space="preserve"> </w:t>
      </w:r>
      <w:r>
        <w:t xml:space="preserve">introduce BloombergGPT, a large language model specifically trained on financial data.</w:t>
      </w:r>
    </w:p>
    <w:p>
      <w:pPr>
        <w:pStyle w:val="BodyText"/>
      </w:pPr>
      <w:r>
        <w:t xml:space="preserve">Most relevant to our work,</w:t>
      </w:r>
      <w:r>
        <w:t xml:space="preserve"> </w:t>
      </w:r>
      <w:r>
        <w:t xml:space="preserve"> </w:t>
      </w:r>
      <w:r>
        <w:t xml:space="preserve">show that token-level softmax entropy is an</w:t>
      </w:r>
      <w:r>
        <w:t xml:space="preserve"> </w:t>
      </w:r>
      <w:r>
        <w:t xml:space="preserve">“</w:t>
      </w:r>
      <w:r>
        <w:t xml:space="preserve">honest</w:t>
      </w:r>
      <w:r>
        <w:t xml:space="preserve">”</w:t>
      </w:r>
      <w:r>
        <w:t xml:space="preserve"> </w:t>
      </w:r>
      <w:r>
        <w:t xml:space="preserve">uncertainty signal for LLMs, with inner confidence correlating at</w:t>
      </w:r>
      <w:r>
        <w:t xml:space="preserve"> </w:t>
      </w:r>
      <m:oMath>
        <m:r>
          <m:t>r</m:t>
        </m:r>
        <m:r>
          <m:rPr>
            <m:sty m:val="p"/>
          </m:rPr>
          <m:t>=</m:t>
        </m:r>
        <m:r>
          <m:t>0.972</m:t>
        </m:r>
      </m:oMath>
      <w:r>
        <w:t xml:space="preserve"> </w:t>
      </w:r>
      <w:r>
        <w:t xml:space="preserve">with delta confidence. This validates our use of entropy as a meaningful measure of LLM agent uncertainty.</w:t>
      </w:r>
    </w:p>
    <w:p>
      <w:pPr>
        <w:pStyle w:val="BodyText"/>
      </w:pPr>
      <w:r>
        <w:t xml:space="preserve">Multi-agent LLM systems are an emerging area.</w:t>
      </w:r>
      <w:r>
        <w:t xml:space="preserve"> </w:t>
      </w:r>
      <w:r>
        <w:t xml:space="preserve"> </w:t>
      </w:r>
      <w:r>
        <w:t xml:space="preserve">develop a multi-agent trading framework.</w:t>
      </w:r>
      <w:r>
        <w:t xml:space="preserve"> </w:t>
      </w:r>
      <w:r>
        <w:t xml:space="preserve"> </w:t>
      </w:r>
      <w:r>
        <w:t xml:space="preserve">propose a multi-agent stock prediction system.</w:t>
      </w:r>
      <w:r>
        <w:t xml:space="preserve"> </w:t>
      </w:r>
      <w:r>
        <w:t xml:space="preserve"> </w:t>
      </w:r>
      <w:r>
        <w:t xml:space="preserve">build a scalable market simulation using LLM agents. Our contribution is to show that the</w:t>
      </w:r>
      <w:r>
        <w:t xml:space="preserve"> </w:t>
      </w:r>
      <w:r>
        <w:rPr>
          <w:i/>
          <w:iCs/>
        </w:rPr>
        <w:t xml:space="preserve">disagreement structure</w:t>
      </w:r>
      <w:r>
        <w:t xml:space="preserve"> </w:t>
      </w:r>
      <w:r>
        <w:t xml:space="preserve">of multi-agent LLM systems—not just the consensus—contains economically meaningful information.</w:t>
      </w:r>
    </w:p>
    <w:bookmarkEnd w:id="25"/>
    <w:bookmarkStart w:id="26" w:name="textual-analysis-and-sentiment"/>
    <w:p>
      <w:pPr>
        <w:pStyle w:val="Heading2"/>
      </w:pPr>
      <w:r>
        <w:t xml:space="preserve">Textual Analysis and Sentiment</w:t>
      </w:r>
    </w:p>
    <w:p>
      <w:pPr>
        <w:pStyle w:val="FirstParagraph"/>
      </w:pPr>
      <w:r>
        <w:t xml:space="preserve">Our work builds on the textual analysis literature in finance.</w:t>
      </w:r>
      <w:r>
        <w:t xml:space="preserve"> </w:t>
      </w:r>
      <w:r>
        <w:t xml:space="preserve"> </w:t>
      </w:r>
      <w:r>
        <w:t xml:space="preserve">develop the Loughran-McDonald financial lexicon, showing that general-purpose sentiment dictionaries are inappropriate for financial text.</w:t>
      </w:r>
      <w:r>
        <w:t xml:space="preserve"> </w:t>
      </w:r>
      <w:r>
        <w:t xml:space="preserve"> </w:t>
      </w:r>
      <w:r>
        <w:t xml:space="preserve">shows that media pessimism predicts market behavior.</w:t>
      </w:r>
      <w:r>
        <w:t xml:space="preserve"> </w:t>
      </w:r>
      <w:r>
        <w:t xml:space="preserve"> </w:t>
      </w:r>
      <w:r>
        <w:t xml:space="preserve">construct a sentiment index that predicts the cross-section of stock returns, with stronger effects for small, young, and volatile stocks.</w:t>
      </w:r>
      <w:r>
        <w:t xml:space="preserve"> </w:t>
      </w:r>
      <w:r>
        <w:t xml:space="preserve"> </w:t>
      </w:r>
      <w:r>
        <w:t xml:space="preserve">review the broader sentiment literature.</w:t>
      </w:r>
      <w:r>
        <w:t xml:space="preserve"> </w:t>
      </w:r>
      <w:r>
        <w:t xml:space="preserve"> </w:t>
      </w:r>
      <w:r>
        <w:t xml:space="preserve">shows that sentiment’s predictive power is stronger during recessions.</w:t>
      </w:r>
      <w:r>
        <w:t xml:space="preserve"> </w:t>
      </w:r>
      <w:r>
        <w:t xml:space="preserve"> </w:t>
      </w:r>
      <w:r>
        <w:t xml:space="preserve">develop an aligned sentiment index that outperforms the Baker-Wurgler index.</w:t>
      </w:r>
    </w:p>
    <w:p>
      <w:pPr>
        <w:pStyle w:val="BodyText"/>
      </w:pPr>
      <w:r>
        <w:t xml:space="preserve">Our entropy measure differs from these approaches in two ways. First, we measure the</w:t>
      </w:r>
      <w:r>
        <w:t xml:space="preserve"> </w:t>
      </w:r>
      <w:r>
        <w:rPr>
          <w:i/>
          <w:iCs/>
        </w:rPr>
        <w:t xml:space="preserve">structure</w:t>
      </w:r>
      <w:r>
        <w:t xml:space="preserve"> </w:t>
      </w:r>
      <w:r>
        <w:t xml:space="preserve">of sentiment (entropy), not the</w:t>
      </w:r>
      <w:r>
        <w:t xml:space="preserve"> </w:t>
      </w:r>
      <w:r>
        <w:rPr>
          <w:i/>
          <w:iCs/>
        </w:rPr>
        <w:t xml:space="preserve">level</w:t>
      </w:r>
      <w:r>
        <w:t xml:space="preserve"> </w:t>
      </w:r>
      <w:r>
        <w:t xml:space="preserve">(positive/negative). Second, our sentiment comes from LLM agents processing structured financial data, not from textual analysis of news or filings.</w:t>
      </w:r>
    </w:p>
    <w:bookmarkEnd w:id="26"/>
    <w:bookmarkEnd w:id="27"/>
    <w:bookmarkStart w:id="35" w:name="sec:theory"/>
    <w:p>
      <w:pPr>
        <w:pStyle w:val="Heading1"/>
      </w:pPr>
      <w:r>
        <w:t xml:space="preserve">Theoretical Framework</w:t>
      </w:r>
    </w:p>
    <w:bookmarkStart w:id="28" w:name="setup"/>
    <w:p>
      <w:pPr>
        <w:pStyle w:val="Heading2"/>
      </w:pPr>
      <w:r>
        <w:t xml:space="preserve">Setup</w:t>
      </w:r>
    </w:p>
    <w:p>
      <w:pPr>
        <w:pStyle w:val="FirstParagraph"/>
      </w:pPr>
      <w:r>
        <w:t xml:space="preserve">Consider a stock</w:t>
      </w:r>
      <w:r>
        <w:t xml:space="preserve"> </w:t>
      </w:r>
      <m:oMath>
        <m:r>
          <m:t>i</m:t>
        </m:r>
      </m:oMath>
      <w:r>
        <w:t xml:space="preserve"> </w:t>
      </w:r>
      <w:r>
        <w:t xml:space="preserve">at time</w:t>
      </w:r>
      <w:r>
        <w:t xml:space="preserve"> </w:t>
      </w:r>
      <m:oMath>
        <m:r>
          <m:t>t</m:t>
        </m:r>
      </m:oMath>
      <w:r>
        <w:t xml:space="preserve"> </w:t>
      </w:r>
      <w:r>
        <w:t xml:space="preserve">with</w:t>
      </w:r>
      <w:r>
        <w:t xml:space="preserve"> </w:t>
      </w:r>
      <m:oMath>
        <m:r>
          <m:t>K</m:t>
        </m:r>
      </m:oMath>
      <w:r>
        <w:t xml:space="preserve"> </w:t>
      </w:r>
      <w:r>
        <w:t xml:space="preserve">LLM agents producing sentiment ratings</w:t>
      </w:r>
      <w:r>
        <w:t xml:space="preserve"> </w:t>
      </w:r>
      <m:oMath>
        <m:sSubSup>
          <m:e>
            <m:r>
              <m:t>s</m:t>
            </m:r>
          </m:e>
          <m:sub>
            <m:r>
              <m:t>i</m:t>
            </m:r>
            <m:r>
              <m:rPr>
                <m:sty m:val="p"/>
              </m:rPr>
              <m:t>,</m:t>
            </m:r>
            <m:r>
              <m:t>t</m:t>
            </m:r>
          </m:sub>
          <m:sup>
            <m:r>
              <m:t>k</m:t>
            </m:r>
          </m:sup>
        </m:sSubSup>
        <m:r>
          <m:rPr>
            <m:sty m:val="p"/>
          </m:rPr>
          <m:t>∈</m:t>
        </m:r>
        <m:d>
          <m:dPr>
            <m:begChr m:val="["/>
            <m:endChr m:val="]"/>
            <m:sepChr m:val=""/>
            <m:grow/>
          </m:dPr>
          <m:e>
            <m:r>
              <m:t>0</m:t>
            </m:r>
            <m:r>
              <m:rPr>
                <m:sty m:val="p"/>
              </m:rPr>
              <m:t>,</m:t>
            </m:r>
            <m:r>
              <m:t>1</m:t>
            </m:r>
          </m:e>
        </m:d>
      </m:oMath>
      <w:r>
        <w:t xml:space="preserve"> </w:t>
      </w:r>
      <w:r>
        <w:t xml:space="preserve">for</w:t>
      </w:r>
      <w:r>
        <w:t xml:space="preserve"> </w:t>
      </w:r>
      <m:oMath>
        <m:r>
          <m:t>k</m:t>
        </m:r>
        <m:r>
          <m:rPr>
            <m:sty m:val="p"/>
          </m:rPr>
          <m:t>=</m:t>
        </m:r>
        <m:r>
          <m:t>1</m:t>
        </m:r>
        <m:r>
          <m:rPr>
            <m:sty m:val="p"/>
          </m:rPr>
          <m:t>,</m:t>
        </m:r>
        <m:r>
          <m:rPr>
            <m:sty m:val="p"/>
          </m:rPr>
          <m:t>…</m:t>
        </m:r>
        <m:r>
          <m:rPr>
            <m:sty m:val="p"/>
          </m:rPr>
          <m:t>,</m:t>
        </m:r>
        <m:r>
          <m:t>K</m:t>
        </m:r>
      </m:oMath>
      <w:r>
        <w:t xml:space="preserve">. The sentiment distribution is</w:t>
      </w:r>
      <w:r>
        <w:t xml:space="preserve"> </w:t>
      </w:r>
      <m:oMath>
        <m:sSub>
          <m:e>
            <m:r>
              <m:rPr>
                <m:sty m:val="b"/>
              </m:rPr>
              <m:t>p</m:t>
            </m:r>
          </m:e>
          <m:sub>
            <m:r>
              <m:t>i</m:t>
            </m:r>
            <m:r>
              <m:rPr>
                <m:sty m:val="p"/>
              </m:rPr>
              <m:t>,</m:t>
            </m:r>
            <m:r>
              <m:t>t</m:t>
            </m:r>
          </m:sub>
        </m:sSub>
        <m:r>
          <m:rPr>
            <m:sty m:val="p"/>
          </m:rPr>
          <m:t>=</m:t>
        </m:r>
        <m:d>
          <m:dPr>
            <m:begChr m:val="("/>
            <m:endChr m:val=")"/>
            <m:sepChr m:val=""/>
            <m:grow/>
          </m:dPr>
          <m:e>
            <m:sSub>
              <m:e>
                <m:r>
                  <m:t>p</m:t>
                </m:r>
              </m:e>
              <m:sub>
                <m:r>
                  <m:t>1</m:t>
                </m:r>
              </m:sub>
            </m:sSub>
            <m:r>
              <m:rPr>
                <m:sty m:val="p"/>
              </m:rPr>
              <m:t>,</m:t>
            </m:r>
            <m:r>
              <m:rPr>
                <m:sty m:val="p"/>
              </m:rPr>
              <m:t>…</m:t>
            </m:r>
            <m:r>
              <m:rPr>
                <m:sty m:val="p"/>
              </m:rPr>
              <m:t>,</m:t>
            </m:r>
            <m:sSub>
              <m:e>
                <m:r>
                  <m:t>p</m:t>
                </m:r>
              </m:e>
              <m:sub>
                <m:r>
                  <m:t>M</m:t>
                </m:r>
              </m:sub>
            </m:sSub>
          </m:e>
        </m:d>
      </m:oMath>
      <w:r>
        <w:t xml:space="preserve"> </w:t>
      </w:r>
      <w:r>
        <w:t xml:space="preserve">where</w:t>
      </w:r>
      <w:r>
        <w:t xml:space="preserve"> </w:t>
      </w:r>
      <m:oMath>
        <m:sSub>
          <m:e>
            <m:r>
              <m:t>p</m:t>
            </m:r>
          </m:e>
          <m:sub>
            <m:r>
              <m:t>m</m:t>
            </m:r>
          </m:sub>
        </m:sSub>
      </m:oMath>
      <w:r>
        <w:t xml:space="preserve"> </w:t>
      </w:r>
      <w:r>
        <w:t xml:space="preserve">is the probability mass on sentiment bin</w:t>
      </w:r>
      <w:r>
        <w:t xml:space="preserve"> </w:t>
      </w:r>
      <m:oMath>
        <m:r>
          <m:t>m</m:t>
        </m:r>
      </m:oMath>
      <w:r>
        <w:t xml:space="preserve">. We define three measures of the belief structure:</w:t>
      </w:r>
    </w:p>
    <w:p>
      <w:pPr>
        <w:numPr>
          <w:ilvl w:val="0"/>
          <w:numId w:val="1001"/>
        </w:numPr>
      </w:pPr>
      <w:r>
        <w:rPr>
          <w:b/>
          <w:bCs/>
        </w:rPr>
        <w:t xml:space="preserve">Shannon entropy</w:t>
      </w:r>
      <w:r>
        <w:t xml:space="preserve">:</w:t>
      </w:r>
      <w:r>
        <w:t xml:space="preserve"> </w:t>
      </w:r>
      <m:oMath>
        <m:sSub>
          <m:e>
            <m:r>
              <m:t>H</m:t>
            </m:r>
          </m:e>
          <m:sub>
            <m:r>
              <m:t>i</m:t>
            </m:r>
            <m:r>
              <m:rPr>
                <m:sty m:val="p"/>
              </m:rPr>
              <m:t>,</m:t>
            </m:r>
            <m:r>
              <m:t>t</m:t>
            </m:r>
          </m:sub>
        </m:sSub>
        <m:r>
          <m:rPr>
            <m:sty m:val="p"/>
          </m:rPr>
          <m:t>=</m:t>
        </m:r>
        <m:r>
          <m:rPr>
            <m:sty m:val="p"/>
          </m:rPr>
          <m:t>−</m:t>
        </m:r>
        <m:nary>
          <m:naryPr>
            <m:chr m:val="∑"/>
            <m:limLoc m:val="undOvr"/>
            <m:subHide m:val="off"/>
            <m:supHide m:val="off"/>
          </m:naryPr>
          <m:sub>
            <m:r>
              <m:t>m</m:t>
            </m:r>
            <m:r>
              <m:rPr>
                <m:sty m:val="p"/>
              </m:rPr>
              <m:t>=</m:t>
            </m:r>
            <m:r>
              <m:t>1</m:t>
            </m:r>
          </m:sub>
          <m:sup>
            <m:r>
              <m:t>M</m:t>
            </m:r>
          </m:sup>
          <m:e>
            <m:sSub>
              <m:e>
                <m:r>
                  <m:t>p</m:t>
                </m:r>
              </m:e>
              <m:sub>
                <m:r>
                  <m:t>m</m:t>
                </m:r>
              </m:sub>
            </m:sSub>
          </m:e>
        </m:nary>
        <m:sSub>
          <m:e>
            <m:r>
              <m:rPr>
                <m:sty m:val="p"/>
              </m:rPr>
              <m:t>log</m:t>
            </m:r>
          </m:e>
          <m:sub>
            <m:r>
              <m:t>2</m:t>
            </m:r>
          </m:sub>
        </m:sSub>
        <m:sSub>
          <m:e>
            <m:r>
              <m:t>p</m:t>
            </m:r>
          </m:e>
          <m:sub>
            <m:r>
              <m:t>m</m:t>
            </m:r>
          </m:sub>
        </m:sSub>
      </m:oMath>
      <w:r>
        <w:t xml:space="preserve">, measuring information concentration</w:t>
      </w:r>
    </w:p>
    <w:p>
      <w:pPr>
        <w:numPr>
          <w:ilvl w:val="0"/>
          <w:numId w:val="1001"/>
        </w:numPr>
      </w:pPr>
      <w:r>
        <w:rPr>
          <w:b/>
          <w:bCs/>
        </w:rPr>
        <w:t xml:space="preserve">Jensen-Shannon divergence</w:t>
      </w:r>
      <w:r>
        <w:t xml:space="preserve">:</w:t>
      </w:r>
      <w:r>
        <w:t xml:space="preserve"> </w:t>
      </w:r>
      <m:oMath>
        <m:sSub>
          <m:e>
            <m:r>
              <m:rPr>
                <m:nor/>
                <m:sty m:val="p"/>
              </m:rPr>
              <m:t>JS</m:t>
            </m:r>
          </m:e>
          <m:sub>
            <m:r>
              <m:t>i</m:t>
            </m:r>
            <m:r>
              <m:rPr>
                <m:sty m:val="p"/>
              </m:rPr>
              <m:t>,</m:t>
            </m:r>
            <m:r>
              <m:t>t</m:t>
            </m:r>
          </m:sub>
        </m:sSub>
        <m:r>
          <m:rPr>
            <m:sty m:val="p"/>
          </m:rPr>
          <m:t>=</m:t>
        </m:r>
        <m:r>
          <m:t>H</m:t>
        </m:r>
        <m:d>
          <m:dPr>
            <m:begChr m:val="("/>
            <m:endChr m:val=")"/>
            <m:sepChr m:val=""/>
            <m:grow/>
          </m:dPr>
          <m:e>
            <m:acc>
              <m:accPr>
                <m:chr m:val="‾"/>
              </m:accPr>
              <m:e>
                <m:r>
                  <m:rPr>
                    <m:sty m:val="b"/>
                  </m:rPr>
                  <m:t>p</m:t>
                </m:r>
              </m:e>
            </m:acc>
          </m:e>
        </m:d>
        <m:r>
          <m:rPr>
            <m:sty m:val="p"/>
          </m:rPr>
          <m:t>−</m:t>
        </m:r>
        <m:f>
          <m:fPr>
            <m:type m:val="bar"/>
          </m:fPr>
          <m:num>
            <m:r>
              <m:t>1</m:t>
            </m:r>
          </m:num>
          <m:den>
            <m:r>
              <m:t>K</m:t>
            </m:r>
          </m:den>
        </m:f>
        <m:nary>
          <m:naryPr>
            <m:chr m:val="∑"/>
            <m:limLoc m:val="undOvr"/>
            <m:subHide m:val="off"/>
            <m:supHide m:val="off"/>
          </m:naryPr>
          <m:sub>
            <m:r>
              <m:t>k</m:t>
            </m:r>
            <m:r>
              <m:rPr>
                <m:sty m:val="p"/>
              </m:rPr>
              <m:t>=</m:t>
            </m:r>
            <m:r>
              <m:t>1</m:t>
            </m:r>
          </m:sub>
          <m:sup>
            <m:r>
              <m:t>K</m:t>
            </m:r>
          </m:sup>
          <m:e>
            <m:r>
              <m:t>H</m:t>
            </m:r>
          </m:e>
        </m:nary>
        <m:d>
          <m:dPr>
            <m:begChr m:val="("/>
            <m:endChr m:val=")"/>
            <m:sepChr m:val=""/>
            <m:grow/>
          </m:dPr>
          <m:e>
            <m:sSup>
              <m:e>
                <m:r>
                  <m:rPr>
                    <m:sty m:val="b"/>
                  </m:rPr>
                  <m:t>p</m:t>
                </m:r>
              </m:e>
              <m:sup>
                <m:r>
                  <m:t>k</m:t>
                </m:r>
              </m:sup>
            </m:sSup>
          </m:e>
        </m:d>
      </m:oMath>
      <w:r>
        <w:t xml:space="preserve">, measuring distributional distance</w:t>
      </w:r>
    </w:p>
    <w:p>
      <w:pPr>
        <w:numPr>
          <w:ilvl w:val="0"/>
          <w:numId w:val="1001"/>
        </w:numPr>
      </w:pPr>
      <w:r>
        <w:rPr>
          <w:b/>
          <w:bCs/>
        </w:rPr>
        <w:t xml:space="preserve">Rating dispersion</w:t>
      </w:r>
      <w:r>
        <w:t xml:space="preserve">:</w:t>
      </w:r>
      <w:r>
        <w:t xml:space="preserve"> </w:t>
      </w:r>
      <m:oMath>
        <m:sSub>
          <m:e>
            <m:r>
              <m:t>D</m:t>
            </m:r>
          </m:e>
          <m:sub>
            <m:r>
              <m:t>i</m:t>
            </m:r>
            <m:r>
              <m:rPr>
                <m:sty m:val="p"/>
              </m:rPr>
              <m:t>,</m:t>
            </m:r>
            <m:r>
              <m:t>t</m:t>
            </m:r>
          </m:sub>
        </m:sSub>
        <m:r>
          <m:rPr>
            <m:sty m:val="p"/>
          </m:rPr>
          <m:t>=</m:t>
        </m:r>
        <m:r>
          <m:rPr>
            <m:nor/>
            <m:sty m:val="p"/>
          </m:rPr>
          <m:t>std</m:t>
        </m:r>
        <m:d>
          <m:dPr>
            <m:begChr m:val="("/>
            <m:endChr m:val=")"/>
            <m:sepChr m:val=""/>
            <m:grow/>
          </m:dPr>
          <m:e>
            <m:sSubSup>
              <m:e>
                <m:r>
                  <m:t>s</m:t>
                </m:r>
              </m:e>
              <m:sub>
                <m:r>
                  <m:t>i</m:t>
                </m:r>
                <m:r>
                  <m:rPr>
                    <m:sty m:val="p"/>
                  </m:rPr>
                  <m:t>,</m:t>
                </m:r>
                <m:r>
                  <m:t>t</m:t>
                </m:r>
              </m:sub>
              <m:sup>
                <m:r>
                  <m:t>1</m:t>
                </m:r>
              </m:sup>
            </m:sSubSup>
            <m:r>
              <m:rPr>
                <m:sty m:val="p"/>
              </m:rPr>
              <m:t>,</m:t>
            </m:r>
            <m:r>
              <m:rPr>
                <m:sty m:val="p"/>
              </m:rPr>
              <m:t>…</m:t>
            </m:r>
            <m:r>
              <m:rPr>
                <m:sty m:val="p"/>
              </m:rPr>
              <m:t>,</m:t>
            </m:r>
            <m:sSubSup>
              <m:e>
                <m:r>
                  <m:t>s</m:t>
                </m:r>
              </m:e>
              <m:sub>
                <m:r>
                  <m:t>i</m:t>
                </m:r>
                <m:r>
                  <m:rPr>
                    <m:sty m:val="p"/>
                  </m:rPr>
                  <m:t>,</m:t>
                </m:r>
                <m:r>
                  <m:t>t</m:t>
                </m:r>
              </m:sub>
              <m:sup>
                <m:r>
                  <m:t>K</m:t>
                </m:r>
              </m:sup>
            </m:sSubSup>
          </m:e>
        </m:d>
      </m:oMath>
      <w:r>
        <w:t xml:space="preserve">, measuring point-estimate spread</w:t>
      </w:r>
    </w:p>
    <w:p>
      <w:pPr>
        <w:pStyle w:val="FirstParagraph"/>
      </w:pPr>
      <w:r>
        <w:t xml:space="preserve">The stock’s next-period return is:</w:t>
      </w:r>
    </w:p>
    <w:p>
      <w:pPr>
        <w:pStyle w:val="BodyText"/>
      </w:pPr>
      <m:oMathPara>
        <m:oMathParaPr>
          <m:jc m:val="center"/>
        </m:oMathParaPr>
        <m:oMath>
          <m:sSub>
            <m:e>
              <m:r>
                <m:t>r</m:t>
              </m:r>
            </m:e>
            <m:sub>
              <m:r>
                <m:t>i</m:t>
              </m:r>
              <m:r>
                <m:rPr>
                  <m:sty m:val="p"/>
                </m:rPr>
                <m:t>,</m:t>
              </m:r>
              <m:r>
                <m:t>t</m:t>
              </m:r>
              <m:r>
                <m:rPr>
                  <m:sty m:val="p"/>
                </m:rPr>
                <m:t>+</m:t>
              </m:r>
              <m:r>
                <m:t>1</m:t>
              </m:r>
            </m:sub>
          </m:sSub>
          <m:r>
            <m:rPr>
              <m:sty m:val="p"/>
            </m:rPr>
            <m:t>=</m:t>
          </m:r>
          <m:r>
            <m:t>α</m:t>
          </m:r>
          <m:r>
            <m:rPr>
              <m:sty m:val="p"/>
            </m:rPr>
            <m:t>+</m:t>
          </m:r>
          <m:sSub>
            <m:e>
              <m:r>
                <m:t>β</m:t>
              </m:r>
            </m:e>
            <m:sub>
              <m:r>
                <m:t>H</m:t>
              </m:r>
            </m:sub>
          </m:sSub>
          <m:sSub>
            <m:e>
              <m:r>
                <m:t>H</m:t>
              </m:r>
            </m:e>
            <m:sub>
              <m:r>
                <m:t>i</m:t>
              </m:r>
              <m:r>
                <m:rPr>
                  <m:sty m:val="p"/>
                </m:rPr>
                <m:t>,</m:t>
              </m:r>
              <m:r>
                <m:t>t</m:t>
              </m:r>
            </m:sub>
          </m:sSub>
          <m:r>
            <m:rPr>
              <m:sty m:val="p"/>
            </m:rPr>
            <m:t>+</m:t>
          </m:r>
          <m:sSub>
            <m:e>
              <m:r>
                <m:t>β</m:t>
              </m:r>
            </m:e>
            <m:sub>
              <m:r>
                <m:t>J</m:t>
              </m:r>
              <m:r>
                <m:t>S</m:t>
              </m:r>
            </m:sub>
          </m:sSub>
          <m:sSub>
            <m:e>
              <m:r>
                <m:rPr>
                  <m:nor/>
                  <m:sty m:val="p"/>
                </m:rPr>
                <m:t>JS</m:t>
              </m:r>
            </m:e>
            <m:sub>
              <m:r>
                <m:t>i</m:t>
              </m:r>
              <m:r>
                <m:rPr>
                  <m:sty m:val="p"/>
                </m:rPr>
                <m:t>,</m:t>
              </m:r>
              <m:r>
                <m:t>t</m:t>
              </m:r>
            </m:sub>
          </m:sSub>
          <m:r>
            <m:rPr>
              <m:sty m:val="p"/>
            </m:rPr>
            <m:t>+</m:t>
          </m:r>
          <m:sSub>
            <m:e>
              <m:r>
                <m:t>β</m:t>
              </m:r>
            </m:e>
            <m:sub>
              <m:r>
                <m:t>D</m:t>
              </m:r>
            </m:sub>
          </m:sSub>
          <m:sSub>
            <m:e>
              <m:r>
                <m:t>D</m:t>
              </m:r>
            </m:e>
            <m:sub>
              <m:r>
                <m:t>i</m:t>
              </m:r>
              <m:r>
                <m:rPr>
                  <m:sty m:val="p"/>
                </m:rPr>
                <m:t>,</m:t>
              </m:r>
              <m:r>
                <m:t>t</m:t>
              </m:r>
            </m:sub>
          </m:sSub>
          <m:r>
            <m:rPr>
              <m:sty m:val="p"/>
            </m:rPr>
            <m:t>+</m:t>
          </m:r>
          <m:r>
            <m:t>γ</m:t>
          </m:r>
          <m:r>
            <m:rPr>
              <m:sty m:val="p"/>
            </m:rPr>
            <m:t>′</m:t>
          </m:r>
          <m:sSub>
            <m:e>
              <m:r>
                <m:rPr>
                  <m:sty m:val="b"/>
                </m:rPr>
                <m:t>X</m:t>
              </m:r>
            </m:e>
            <m:sub>
              <m:r>
                <m:t>i</m:t>
              </m:r>
              <m:r>
                <m:rPr>
                  <m:sty m:val="p"/>
                </m:rPr>
                <m:t>,</m:t>
              </m:r>
              <m:r>
                <m:t>t</m:t>
              </m:r>
            </m:sub>
          </m:sSub>
          <m:r>
            <m:rPr>
              <m:sty m:val="p"/>
            </m:rPr>
            <m:t>+</m:t>
          </m:r>
          <m:sSub>
            <m:e>
              <m:r>
                <m:t>ε</m:t>
              </m:r>
            </m:e>
            <m:sub>
              <m:r>
                <m:t>i</m:t>
              </m:r>
              <m:r>
                <m:rPr>
                  <m:sty m:val="p"/>
                </m:rPr>
                <m:t>,</m:t>
              </m:r>
              <m:r>
                <m:t>t</m:t>
              </m:r>
              <m:r>
                <m:rPr>
                  <m:sty m:val="p"/>
                </m:rPr>
                <m:t>+</m:t>
              </m:r>
              <m:r>
                <m:t>1</m:t>
              </m:r>
            </m:sub>
          </m:sSub>
        </m:oMath>
      </m:oMathPara>
    </w:p>
    <w:bookmarkEnd w:id="28"/>
    <w:bookmarkStart w:id="33" w:name="propositions"/>
    <w:p>
      <w:pPr>
        <w:pStyle w:val="Heading2"/>
      </w:pPr>
      <w:r>
        <w:t xml:space="preserve">Propositions</w:t>
      </w:r>
    </w:p>
    <w:bookmarkStart w:id="29" w:name="prop:entropy"/>
    <w:p>
      <w:pPr>
        <w:pStyle w:val="FirstParagraph"/>
      </w:pPr>
      <w:r>
        <w:rPr>
          <w:b/>
          <w:bCs/>
        </w:rPr>
        <w:t xml:space="preserve">Proposition 1</w:t>
      </w:r>
      <w:r>
        <w:t xml:space="preserve"> </w:t>
      </w:r>
      <w:r>
        <w:t xml:space="preserve">(Entropy Premium).</w:t>
      </w:r>
      <w:r>
        <w:t xml:space="preserve"> </w:t>
      </w:r>
      <w:r>
        <w:t xml:space="preserve"> </w:t>
      </w:r>
      <w:r>
        <w:rPr>
          <w:i/>
          <w:iCs/>
        </w:rPr>
        <w:t xml:space="preserve">Stocks with lower LLM agent entropy (more concentrated sentiment) earn lower future returns:</w:t>
      </w:r>
      <w:r>
        <w:rPr>
          <w:i/>
          <w:iCs/>
        </w:rPr>
        <w:t xml:space="preserve"> </w:t>
      </w:r>
      <m:oMath>
        <m:sSub>
          <m:e>
            <m:r>
              <m:t>β</m:t>
            </m:r>
          </m:e>
          <m:sub>
            <m:r>
              <m:t>H</m:t>
            </m:r>
          </m:sub>
        </m:sSub>
        <m:r>
          <m:rPr>
            <m:sty m:val="p"/>
          </m:rPr>
          <m:t>&gt;</m:t>
        </m:r>
        <m:r>
          <m:t>0</m:t>
        </m:r>
      </m:oMath>
      <w:r>
        <w:rPr>
          <w:i/>
          <w:iCs/>
        </w:rPr>
        <w:t xml:space="preserve"> </w:t>
      </w:r>
      <w:r>
        <w:rPr>
          <w:i/>
          <w:iCs/>
        </w:rPr>
        <w:t xml:space="preserve">(since</w:t>
      </w:r>
      <w:r>
        <w:rPr>
          <w:i/>
          <w:iCs/>
        </w:rPr>
        <w:t xml:space="preserve"> </w:t>
      </w:r>
      <m:oMath>
        <m:r>
          <m:t>H</m:t>
        </m:r>
      </m:oMath>
      <w:r>
        <w:rPr>
          <w:i/>
          <w:iCs/>
        </w:rPr>
        <w:t xml:space="preserve"> </w:t>
      </w:r>
      <w:r>
        <w:rPr>
          <w:i/>
          <w:iCs/>
        </w:rPr>
        <w:t xml:space="preserve">is decreasing in concentration). This effect is distinct from disagreement: the component of</w:t>
      </w:r>
      <w:r>
        <w:rPr>
          <w:i/>
          <w:iCs/>
        </w:rPr>
        <w:t xml:space="preserve"> </w:t>
      </w:r>
      <m:oMath>
        <m:r>
          <m:t>H</m:t>
        </m:r>
      </m:oMath>
      <w:r>
        <w:rPr>
          <w:i/>
          <w:iCs/>
        </w:rPr>
        <w:t xml:space="preserve"> </w:t>
      </w:r>
      <w:r>
        <w:rPr>
          <w:i/>
          <w:iCs/>
        </w:rPr>
        <w:t xml:space="preserve">orthogonal to JS and</w:t>
      </w:r>
      <w:r>
        <w:rPr>
          <w:i/>
          <w:iCs/>
        </w:rPr>
        <w:t xml:space="preserve"> </w:t>
      </w:r>
      <m:oMath>
        <m:r>
          <m:t>D</m:t>
        </m:r>
      </m:oMath>
      <w:r>
        <w:rPr>
          <w:i/>
          <w:iCs/>
        </w:rPr>
        <w:t xml:space="preserve"> </w:t>
      </w:r>
      <w:r>
        <w:rPr>
          <w:i/>
          <w:iCs/>
        </w:rPr>
        <w:t xml:space="preserve">is significant.</w:t>
      </w:r>
    </w:p>
    <w:bookmarkEnd w:id="29"/>
    <w:p>
      <w:pPr>
        <w:pStyle w:val="BodyText"/>
      </w:pPr>
      <w:r>
        <w:rPr>
          <w:i/>
          <w:iCs/>
        </w:rPr>
        <w:t xml:space="preserve">Mechanism.</w:t>
      </w:r>
      <w:r>
        <w:t xml:space="preserve"> </w:t>
      </w:r>
      <w:r>
        <w:t xml:space="preserve">Concentrated LLM sentiment signals that the information environment is overconfident: agents agree on the stock’s direction, creating a consensus that is likely to be disappointed. This is the entropy analogue of the overconfidence model in</w:t>
      </w:r>
      <w:r>
        <w:t xml:space="preserve"> </w:t>
      </w:r>
      <w:r>
        <w:t xml:space="preserve">: when agents are overconfident about their private signals, they underweight public information, leading to overreaction and subsequent reversal.</w:t>
      </w:r>
    </w:p>
    <w:bookmarkStart w:id="30" w:name="prop:distinct"/>
    <w:p>
      <w:pPr>
        <w:pStyle w:val="BodyText"/>
      </w:pPr>
      <w:r>
        <w:rPr>
          <w:b/>
          <w:bCs/>
        </w:rPr>
        <w:t xml:space="preserve">Proposition 2</w:t>
      </w:r>
      <w:r>
        <w:t xml:space="preserve"> </w:t>
      </w:r>
      <w:r>
        <w:t xml:space="preserve">(Entropy</w:t>
      </w:r>
      <w:r>
        <w:t xml:space="preserve"> </w:t>
      </w:r>
      <m:oMath>
        <m:r>
          <m:rPr>
            <m:sty m:val="p"/>
          </m:rPr>
          <m:t>≠</m:t>
        </m:r>
      </m:oMath>
      <w:r>
        <w:t xml:space="preserve"> </w:t>
      </w:r>
      <w:r>
        <w:t xml:space="preserve">Disagreement).</w:t>
      </w:r>
      <w:r>
        <w:t xml:space="preserve"> </w:t>
      </w:r>
      <w:r>
        <w:t xml:space="preserve"> </w:t>
      </w:r>
      <w:r>
        <w:rPr>
          <w:i/>
          <w:iCs/>
        </w:rPr>
        <w:t xml:space="preserve">JS divergence and D_post do not subsume the predictive power of H_smooth. Formally, the residual</w:t>
      </w:r>
      <w:r>
        <w:rPr>
          <w:i/>
          <w:iCs/>
        </w:rPr>
        <w:t xml:space="preserve"> </w:t>
      </w:r>
      <m:oMath>
        <m:sSub>
          <m:e>
            <m:acc>
              <m:accPr>
                <m:chr m:val="̃"/>
              </m:accPr>
              <m:e>
                <m:r>
                  <m:t>H</m:t>
                </m:r>
              </m:e>
            </m:acc>
          </m:e>
          <m:sub>
            <m:r>
              <m:t>i</m:t>
            </m:r>
            <m:r>
              <m:rPr>
                <m:sty m:val="p"/>
              </m:rPr>
              <m:t>,</m:t>
            </m:r>
            <m:r>
              <m:t>t</m:t>
            </m:r>
          </m:sub>
        </m:sSub>
        <m:r>
          <m:rPr>
            <m:sty m:val="p"/>
          </m:rPr>
          <m:t>=</m:t>
        </m:r>
        <m:sSub>
          <m:e>
            <m:r>
              <m:t>H</m:t>
            </m:r>
          </m:e>
          <m:sub>
            <m:r>
              <m:t>i</m:t>
            </m:r>
            <m:r>
              <m:rPr>
                <m:sty m:val="p"/>
              </m:rPr>
              <m:t>,</m:t>
            </m:r>
            <m:r>
              <m:t>t</m:t>
            </m:r>
          </m:sub>
        </m:sSub>
        <m:r>
          <m:rPr>
            <m:sty m:val="p"/>
          </m:rPr>
          <m:t>−</m:t>
        </m:r>
        <m:acc>
          <m:accPr>
            <m:chr m:val="̂"/>
          </m:accPr>
          <m:e>
            <m:r>
              <m:t>H</m:t>
            </m:r>
          </m:e>
        </m:acc>
        <m:d>
          <m:dPr>
            <m:begChr m:val="("/>
            <m:endChr m:val=")"/>
            <m:sepChr m:val=""/>
            <m:grow/>
          </m:dPr>
          <m:e>
            <m:sSub>
              <m:e>
                <m:r>
                  <m:rPr>
                    <m:nor/>
                    <m:sty m:val="p"/>
                  </m:rPr>
                  <m:t>JS</m:t>
                </m:r>
              </m:e>
              <m:sub>
                <m:r>
                  <m:t>i</m:t>
                </m:r>
                <m:r>
                  <m:rPr>
                    <m:sty m:val="p"/>
                  </m:rPr>
                  <m:t>,</m:t>
                </m:r>
                <m:r>
                  <m:t>t</m:t>
                </m:r>
              </m:sub>
            </m:sSub>
            <m:r>
              <m:rPr>
                <m:sty m:val="p"/>
              </m:rPr>
              <m:t>,</m:t>
            </m:r>
            <m:sSub>
              <m:e>
                <m:r>
                  <m:t>D</m:t>
                </m:r>
              </m:e>
              <m:sub>
                <m:r>
                  <m:t>i</m:t>
                </m:r>
                <m:r>
                  <m:rPr>
                    <m:sty m:val="p"/>
                  </m:rPr>
                  <m:t>,</m:t>
                </m:r>
                <m:r>
                  <m:t>t</m:t>
                </m:r>
              </m:sub>
            </m:sSub>
          </m:e>
        </m:d>
      </m:oMath>
      <w:r>
        <w:rPr>
          <w:i/>
          <w:iCs/>
        </w:rPr>
        <w:t xml:space="preserve"> </w:t>
      </w:r>
      <w:r>
        <w:rPr>
          <w:i/>
          <w:iCs/>
        </w:rPr>
        <w:t xml:space="preserve">has significant predictive power for returns:</w:t>
      </w:r>
      <w:r>
        <w:rPr>
          <w:i/>
          <w:iCs/>
        </w:rPr>
        <w:t xml:space="preserve"> </w:t>
      </w:r>
      <m:oMath>
        <m:sSub>
          <m:e>
            <m:r>
              <m:t>β</m:t>
            </m:r>
          </m:e>
          <m:sub>
            <m:acc>
              <m:accPr>
                <m:chr m:val="̃"/>
              </m:accPr>
              <m:e>
                <m:r>
                  <m:t>H</m:t>
                </m:r>
              </m:e>
            </m:acc>
          </m:sub>
        </m:sSub>
        <m:r>
          <m:rPr>
            <m:sty m:val="p"/>
          </m:rPr>
          <m:t>&gt;</m:t>
        </m:r>
        <m:r>
          <m:t>0</m:t>
        </m:r>
      </m:oMath>
      <w:r>
        <w:rPr>
          <w:i/>
          <w:iCs/>
        </w:rPr>
        <w:t xml:space="preserve">.</w:t>
      </w:r>
    </w:p>
    <w:bookmarkEnd w:id="30"/>
    <w:p>
      <w:pPr>
        <w:pStyle w:val="BodyText"/>
      </w:pPr>
      <w:r>
        <w:rPr>
          <w:i/>
          <w:iCs/>
        </w:rPr>
        <w:t xml:space="preserve">Intuition.</w:t>
      </w:r>
      <w:r>
        <w:t xml:space="preserve"> </w:t>
      </w:r>
      <w:r>
        <w:t xml:space="preserve">Consider two stocks with identical D_post = 0.3: Stock A has agents clustered at</w:t>
      </w:r>
      <w:r>
        <w:t xml:space="preserve"> </w:t>
      </w:r>
      <m:oMath>
        <m:r>
          <m:rPr>
            <m:sty m:val="p"/>
          </m:rPr>
          <m:t>{</m:t>
        </m:r>
        <m:r>
          <m:t>0.7</m:t>
        </m:r>
        <m:r>
          <m:rPr>
            <m:sty m:val="p"/>
          </m:rPr>
          <m:t>,</m:t>
        </m:r>
        <m:r>
          <m:t>0.8</m:t>
        </m:r>
        <m:r>
          <m:rPr>
            <m:sty m:val="p"/>
          </m:rPr>
          <m:t>,</m:t>
        </m:r>
        <m:r>
          <m:t>0.9</m:t>
        </m:r>
        <m:r>
          <m:rPr>
            <m:sty m:val="p"/>
          </m:rPr>
          <m:t>}</m:t>
        </m:r>
      </m:oMath>
      <w:r>
        <w:t xml:space="preserve"> </w:t>
      </w:r>
      <w:r>
        <w:t xml:space="preserve">(concentrated bullishness, low entropy), while Stock B has agents at</w:t>
      </w:r>
      <w:r>
        <w:t xml:space="preserve"> </w:t>
      </w:r>
      <m:oMath>
        <m:r>
          <m:rPr>
            <m:sty m:val="p"/>
          </m:rPr>
          <m:t>{</m:t>
        </m:r>
        <m:r>
          <m:t>0.2</m:t>
        </m:r>
        <m:r>
          <m:rPr>
            <m:sty m:val="p"/>
          </m:rPr>
          <m:t>,</m:t>
        </m:r>
        <m:r>
          <m:t>0.5</m:t>
        </m:r>
        <m:r>
          <m:rPr>
            <m:sty m:val="p"/>
          </m:rPr>
          <m:t>,</m:t>
        </m:r>
        <m:r>
          <m:t>0.8</m:t>
        </m:r>
        <m:r>
          <m:rPr>
            <m:sty m:val="p"/>
          </m:rPr>
          <m:t>}</m:t>
        </m:r>
      </m:oMath>
      <w:r>
        <w:t xml:space="preserve"> </w:t>
      </w:r>
      <w:r>
        <w:t xml:space="preserve">(dispersed sentiment, high entropy). D_post cannot distinguish these cases, but H_smooth can: Stock A has lower entropy (overconfidence) and should earn lower future returns.</w:t>
      </w:r>
    </w:p>
    <w:bookmarkStart w:id="31" w:name="prop:interaction"/>
    <w:p>
      <w:pPr>
        <w:pStyle w:val="BodyText"/>
      </w:pPr>
      <w:r>
        <w:rPr>
          <w:b/>
          <w:bCs/>
        </w:rPr>
        <w:t xml:space="preserve">Proposition 3</w:t>
      </w:r>
      <w:r>
        <w:t xml:space="preserve"> </w:t>
      </w:r>
      <w:r>
        <w:t xml:space="preserve">(Entropy–Disagreement Interaction).</w:t>
      </w:r>
      <w:r>
        <w:t xml:space="preserve"> </w:t>
      </w:r>
      <w:r>
        <w:t xml:space="preserve"> </w:t>
      </w:r>
      <w:r>
        <w:rPr>
          <w:i/>
          <w:iCs/>
        </w:rPr>
        <w:t xml:space="preserve">The effect of entropy on returns is moderated by disagreement: the interaction</w:t>
      </w:r>
      <w:r>
        <w:rPr>
          <w:i/>
          <w:iCs/>
        </w:rPr>
        <w:t xml:space="preserve"> </w:t>
      </w:r>
      <m:oMath>
        <m:sSub>
          <m:e>
            <m:r>
              <m:t>H</m:t>
            </m:r>
          </m:e>
          <m:sub>
            <m:r>
              <m:t>i</m:t>
            </m:r>
            <m:r>
              <m:rPr>
                <m:sty m:val="p"/>
              </m:rPr>
              <m:t>,</m:t>
            </m:r>
            <m:r>
              <m:t>t</m:t>
            </m:r>
          </m:sub>
        </m:sSub>
        <m:r>
          <m:rPr>
            <m:sty m:val="p"/>
          </m:rPr>
          <m:t>×</m:t>
        </m:r>
        <m:sSub>
          <m:e>
            <m:r>
              <m:t>D</m:t>
            </m:r>
          </m:e>
          <m:sub>
            <m:r>
              <m:t>i</m:t>
            </m:r>
            <m:r>
              <m:rPr>
                <m:sty m:val="p"/>
              </m:rPr>
              <m:t>,</m:t>
            </m:r>
            <m:r>
              <m:t>t</m:t>
            </m:r>
          </m:sub>
        </m:sSub>
      </m:oMath>
      <w:r>
        <w:rPr>
          <w:i/>
          <w:iCs/>
        </w:rPr>
        <w:t xml:space="preserve"> </w:t>
      </w:r>
      <w:r>
        <w:rPr>
          <w:i/>
          <w:iCs/>
        </w:rPr>
        <w:t xml:space="preserve">is significant. When sentiment is concentrated (low</w:t>
      </w:r>
      <w:r>
        <w:rPr>
          <w:i/>
          <w:iCs/>
        </w:rPr>
        <w:t xml:space="preserve"> </w:t>
      </w:r>
      <m:oMath>
        <m:r>
          <m:t>H</m:t>
        </m:r>
      </m:oMath>
      <w:r>
        <w:rPr>
          <w:i/>
          <w:iCs/>
        </w:rPr>
        <w:t xml:space="preserve">) AND disagreement is high (high</w:t>
      </w:r>
      <w:r>
        <w:rPr>
          <w:i/>
          <w:iCs/>
        </w:rPr>
        <w:t xml:space="preserve"> </w:t>
      </w:r>
      <m:oMath>
        <m:r>
          <m:t>D</m:t>
        </m:r>
      </m:oMath>
      <w:r>
        <w:rPr>
          <w:i/>
          <w:iCs/>
        </w:rPr>
        <w:t xml:space="preserve">), the overconfidence signal is strongest.</w:t>
      </w:r>
    </w:p>
    <w:bookmarkEnd w:id="31"/>
    <w:p>
      <w:pPr>
        <w:pStyle w:val="BodyText"/>
      </w:pPr>
      <w:r>
        <w:rPr>
          <w:i/>
          <w:iCs/>
        </w:rPr>
        <w:t xml:space="preserve">Testable implication.</w:t>
      </w:r>
      <w:r>
        <w:t xml:space="preserve"> </w:t>
      </w:r>
      <w:r>
        <w:t xml:space="preserve">The</w:t>
      </w:r>
      <w:r>
        <w:t xml:space="preserve"> </w:t>
      </w:r>
      <w:r>
        <w:t xml:space="preserve">“</w:t>
      </w:r>
      <w:r>
        <w:t xml:space="preserve">overconfidence</w:t>
      </w:r>
      <w:r>
        <w:t xml:space="preserve">”</w:t>
      </w:r>
      <w:r>
        <w:t xml:space="preserve"> </w:t>
      </w:r>
      <w:r>
        <w:t xml:space="preserve">portfolio (low</w:t>
      </w:r>
      <w:r>
        <w:t xml:space="preserve"> </w:t>
      </w:r>
      <m:oMath>
        <m:r>
          <m:t>H</m:t>
        </m:r>
      </m:oMath>
      <w:r>
        <w:t xml:space="preserve"> </w:t>
      </w:r>
      <w:r>
        <w:t xml:space="preserve">+ high</w:t>
      </w:r>
      <w:r>
        <w:t xml:space="preserve"> </w:t>
      </w:r>
      <m:oMath>
        <m:r>
          <m:t>D</m:t>
        </m:r>
      </m:oMath>
      <w:r>
        <w:t xml:space="preserve">) should underperform the</w:t>
      </w:r>
      <w:r>
        <w:t xml:space="preserve"> </w:t>
      </w:r>
      <w:r>
        <w:t xml:space="preserve">“</w:t>
      </w:r>
      <w:r>
        <w:t xml:space="preserve">concordant</w:t>
      </w:r>
      <w:r>
        <w:t xml:space="preserve">”</w:t>
      </w:r>
      <w:r>
        <w:t xml:space="preserve"> </w:t>
      </w:r>
      <w:r>
        <w:t xml:space="preserve">portfolio (low</w:t>
      </w:r>
      <w:r>
        <w:t xml:space="preserve"> </w:t>
      </w:r>
      <m:oMath>
        <m:r>
          <m:t>H</m:t>
        </m:r>
      </m:oMath>
      <w:r>
        <w:t xml:space="preserve"> </w:t>
      </w:r>
      <w:r>
        <w:t xml:space="preserve">+ low</w:t>
      </w:r>
      <w:r>
        <w:t xml:space="preserve"> </w:t>
      </w:r>
      <m:oMath>
        <m:r>
          <m:t>D</m:t>
        </m:r>
      </m:oMath>
      <w:r>
        <w:t xml:space="preserve">), isolating the causal effect of disagreement amplifying overconfidence.</w:t>
      </w:r>
    </w:p>
    <w:p>
      <w:pPr>
        <w:pStyle w:val="BodyText"/>
      </w:pPr>
      <w:r>
        <w:rPr>
          <w:i/>
          <w:iCs/>
        </w:rPr>
        <w:t xml:space="preserve">Theoretical grounding.</w:t>
      </w:r>
      <w:r>
        <w:t xml:space="preserve"> </w:t>
      </w:r>
      <w:r>
        <w:t xml:space="preserve">The interpretation of low</w:t>
      </w:r>
      <w:r>
        <w:t xml:space="preserve"> </w:t>
      </w:r>
      <m:oMath>
        <m:r>
          <m:t>H</m:t>
        </m:r>
      </m:oMath>
      <w:r>
        <w:t xml:space="preserve"> </w:t>
      </w:r>
      <w:r>
        <w:t xml:space="preserve">+ high</w:t>
      </w:r>
      <w:r>
        <w:t xml:space="preserve"> </w:t>
      </w:r>
      <m:oMath>
        <m:r>
          <m:t>D</m:t>
        </m:r>
      </m:oMath>
      <w:r>
        <w:t xml:space="preserve"> </w:t>
      </w:r>
      <w:r>
        <w:t xml:space="preserve">as overconfidence follows from</w:t>
      </w:r>
      <w:r>
        <w:t xml:space="preserve"> </w:t>
      </w:r>
      <w:r>
        <w:t xml:space="preserve"> </w:t>
      </w:r>
      <w:r>
        <w:t xml:space="preserve">and</w:t>
      </w:r>
      <w:r>
        <w:t xml:space="preserve"> </w:t>
      </w:r>
      <w:r>
        <w:t xml:space="preserve">. Low entropy means agents agree on the</w:t>
      </w:r>
      <w:r>
        <w:t xml:space="preserve"> </w:t>
      </w:r>
      <w:r>
        <w:rPr>
          <w:i/>
          <w:iCs/>
        </w:rPr>
        <w:t xml:space="preserve">direction</w:t>
      </w:r>
      <w:r>
        <w:t xml:space="preserve"> </w:t>
      </w:r>
      <w:r>
        <w:t xml:space="preserve">of the stock’s outlook (e.g., all agents are bullish), while high dispersion means they disagree on the</w:t>
      </w:r>
      <w:r>
        <w:t xml:space="preserve"> </w:t>
      </w:r>
      <w:r>
        <w:rPr>
          <w:i/>
          <w:iCs/>
        </w:rPr>
        <w:t xml:space="preserve">intensity</w:t>
      </w:r>
      <w:r>
        <w:t xml:space="preserve"> </w:t>
      </w:r>
      <w:r>
        <w:t xml:space="preserve">(e.g., one agent rates 7, another rates 9). This pattern—directional consensus with magnitude uncertainty—is precisely the condition under which overconfidence is most dangerous: investors agree that the stock is going up, but their uncertainty about</w:t>
      </w:r>
      <w:r>
        <w:t xml:space="preserve"> </w:t>
      </w:r>
      <w:r>
        <w:rPr>
          <w:i/>
          <w:iCs/>
        </w:rPr>
        <w:t xml:space="preserve">how much</w:t>
      </w:r>
      <w:r>
        <w:t xml:space="preserve"> </w:t>
      </w:r>
      <w:r>
        <w:t xml:space="preserve">it will go up leads them to underweight the possibility of a downside surprise. In the</w:t>
      </w:r>
      <w:r>
        <w:t xml:space="preserve"> </w:t>
      </w:r>
      <w:r>
        <w:t xml:space="preserve"> </w:t>
      </w:r>
      <w:r>
        <w:t xml:space="preserve">model, this corresponds to heterogeneous beliefs about the signal precision: agents agree on the signal direction but disagree on its reliability, generating overconfident pricing and subsequent reversal.</w:t>
      </w:r>
    </w:p>
    <w:bookmarkStart w:id="32" w:name="prop:reversal"/>
    <w:p>
      <w:pPr>
        <w:pStyle w:val="BodyText"/>
      </w:pPr>
      <w:r>
        <w:rPr>
          <w:b/>
          <w:bCs/>
        </w:rPr>
        <w:t xml:space="preserve">Proposition 4</w:t>
      </w:r>
      <w:r>
        <w:t xml:space="preserve"> </w:t>
      </w:r>
      <w:r>
        <w:t xml:space="preserve">(Long-Term Reversal).</w:t>
      </w:r>
      <w:r>
        <w:t xml:space="preserve"> </w:t>
      </w:r>
      <w:r>
        <w:t xml:space="preserve"> </w:t>
      </w:r>
      <w:r>
        <w:rPr>
          <w:i/>
          <w:iCs/>
        </w:rPr>
        <w:t xml:space="preserve">If the entropy premium reflects overconfidence-driven mispricing (as in</w:t>
      </w:r>
      <w:r>
        <w:rPr>
          <w:i/>
          <w:iCs/>
        </w:rPr>
        <w:t xml:space="preserve"> </w:t>
      </w:r>
      <w:r>
        <w:rPr>
          <w:i/>
          <w:iCs/>
        </w:rPr>
        <w:t xml:space="preserve">), it should strengthen at longer horizons as overpricing is gradually corrected. If it reflects a risk premium, it should be stable or decay.</w:t>
      </w:r>
    </w:p>
    <w:bookmarkEnd w:id="32"/>
    <w:p>
      <w:pPr>
        <w:pStyle w:val="BodyText"/>
      </w:pPr>
      <w:r>
        <w:rPr>
          <w:i/>
          <w:iCs/>
        </w:rPr>
        <w:t xml:space="preserve">Testable implication.</w:t>
      </w:r>
      <w:r>
        <w:t xml:space="preserve"> </w:t>
      </w:r>
      <w:r>
        <w:t xml:space="preserve">The FM</w:t>
      </w:r>
      <w:r>
        <w:t xml:space="preserve"> </w:t>
      </w:r>
      <m:oMath>
        <m:r>
          <m:t>t</m:t>
        </m:r>
      </m:oMath>
      <w:r>
        <w:t xml:space="preserve">-statistic for residual H_smooth should increase monotonically from 1Q to 2Q to 3Q cumulative returns.</w:t>
      </w:r>
    </w:p>
    <w:bookmarkEnd w:id="33"/>
    <w:bookmarkStart w:id="34" w:name="identification"/>
    <w:p>
      <w:pPr>
        <w:pStyle w:val="Heading2"/>
      </w:pPr>
      <w:r>
        <w:t xml:space="preserve">Identification</w:t>
      </w:r>
    </w:p>
    <w:p>
      <w:pPr>
        <w:pStyle w:val="FirstParagraph"/>
      </w:pPr>
      <w:r>
        <w:t xml:space="preserve">Our identification exploits the fact that H_smooth, JS divergence, and D_post are constructed from the same LLM agent outputs but capture different aspects of the belief structure. The orthogonality decomposition (Proposition </w:t>
      </w:r>
      <w:hyperlink w:anchor="prop:distinct">
        <w:r>
          <w:rPr>
            <w:rStyle w:val="Hyperlink"/>
          </w:rPr>
          <w:t xml:space="preserve">2</w:t>
        </w:r>
      </w:hyperlink>
      <w:r>
        <w:t xml:space="preserve">) is analogous to the within-bank HTM vs AFS comparison in</w:t>
      </w:r>
      <w:r>
        <w:t xml:space="preserve"> </w:t>
      </w:r>
      <w:r>
        <w:t xml:space="preserve">: holding the data source constant (same agents, same stock-quarter), we isolate the causal effect of the</w:t>
      </w:r>
      <w:r>
        <w:t xml:space="preserve"> </w:t>
      </w:r>
      <w:r>
        <w:rPr>
          <w:i/>
          <w:iCs/>
        </w:rPr>
        <w:t xml:space="preserve">measure</w:t>
      </w:r>
      <w:r>
        <w:t xml:space="preserve"> </w:t>
      </w:r>
      <w:r>
        <w:t xml:space="preserve">(entropy vs disagreement), not the underlying data.</w:t>
      </w:r>
    </w:p>
    <w:p>
      <w:pPr>
        <w:pStyle w:val="BodyText"/>
      </w:pPr>
      <w:r>
        <w:t xml:space="preserve">The long-term reversal test (Proposition </w:t>
      </w:r>
      <w:hyperlink w:anchor="prop:reversal">
        <w:r>
          <w:rPr>
            <w:rStyle w:val="Hyperlink"/>
          </w:rPr>
          <w:t xml:space="preserve">4</w:t>
        </w:r>
      </w:hyperlink>
      <w:r>
        <w:t xml:space="preserve">) provides a second identification strategy: it distinguishes mispricing from risk compensation based on the horizon pattern, without requiring instruments or natural experiments.</w:t>
      </w:r>
    </w:p>
    <w:p>
      <w:pPr>
        <w:pStyle w:val="BodyText"/>
      </w:pPr>
      <w:r>
        <w:t xml:space="preserve">We acknowledge that LLM agent outputs are not human beliefs, and the mapping from LLM entropy to market overconfidence requires the assumption that LLM agent sentiment structure reflects the information environment that market participants face. We discuss this assumption in Section </w:t>
      </w:r>
      <w:hyperlink w:anchor="sec:discussion">
        <w:r>
          <w:rPr>
            <w:rStyle w:val="Hyperlink"/>
          </w:rPr>
          <w:t xml:space="preserve">8</w:t>
        </w:r>
      </w:hyperlink>
      <w:r>
        <w:t xml:space="preserve">.</w:t>
      </w:r>
    </w:p>
    <w:bookmarkEnd w:id="34"/>
    <w:bookmarkEnd w:id="35"/>
    <w:bookmarkStart w:id="40" w:name="sec:data"/>
    <w:p>
      <w:pPr>
        <w:pStyle w:val="Heading1"/>
      </w:pPr>
      <w:r>
        <w:t xml:space="preserve">Data and Methodology</w:t>
      </w:r>
    </w:p>
    <w:bookmarkStart w:id="36" w:name="llm-agent-rating-generation"/>
    <w:p>
      <w:pPr>
        <w:pStyle w:val="Heading2"/>
      </w:pPr>
      <w:r>
        <w:t xml:space="preserve">LLM Agent Rating Generation</w:t>
      </w:r>
    </w:p>
    <w:p>
      <w:pPr>
        <w:pStyle w:val="FirstParagraph"/>
      </w:pPr>
      <w:r>
        <w:t xml:space="preserve">We employ three differentiated LLM agents based on Qwen-plus (Alibaba Cloud DashScope API, training data through April 2024): (1) a sentiment-focused agent that emphasizes market sentiment and news tone; (2) a technical-focused agent that emphasizes price patterns and momentum; and (3) a fundamental-focused agent that emphasizes earnings, valuation, and financial ratios. Each agent receives the same input features (historical 1M/3M/6M/12M returns, volume ratio, volatility, max drawdown) but a different system prompt that directs its analytical focus. The differentiation is</w:t>
      </w:r>
      <w:r>
        <w:t xml:space="preserve"> </w:t>
      </w:r>
      <w:r>
        <w:rPr>
          <w:i/>
          <w:iCs/>
        </w:rPr>
        <w:t xml:space="preserve">prompt-based</w:t>
      </w:r>
      <w:r>
        <w:t xml:space="preserve">, not model-based: all three agents use the same Qwen-plus model with different role specifications. This design tests intra-model prompt sensitivity—whether the same model, asked to analyze the same data from different perspectives, produces meaningfully different ratings. Each agent rates stocks on a 1–10 scale, producing a mean rating and rating distribution for each stock-quarter.</w:t>
      </w:r>
    </w:p>
    <w:p>
      <w:pPr>
        <w:pStyle w:val="BodyText"/>
      </w:pPr>
      <w:r>
        <w:t xml:space="preserve">The differentiation is achieved through system prompts that instruct each agent to weight information differently. Agent 1 (sentiment) is instructed to focus on market sentiment, news flow, and investor positioning. Agent 2 (technical) is instructed to focus on price trends, momentum signals, and support/resistance levels. Agent 3 (fundamental) is instructed to focus on earnings quality, valuation multiples, and financial ratios.</w:t>
      </w:r>
    </w:p>
    <w:p>
      <w:pPr>
        <w:pStyle w:val="BodyText"/>
      </w:pPr>
      <w:r>
        <w:t xml:space="preserve">For the quantitative model placebo, we employ three rule-based agents: (1) a sentiment agent using news sentiment scores; (2) a technical agent using moving average and RSI signals; and (3) a fundamental agent using P/E, P/B, and ROE ratios. These agents produce ratings on the same 1–10 scale without any LLM processing.</w:t>
      </w:r>
    </w:p>
    <w:bookmarkEnd w:id="36"/>
    <w:bookmarkStart w:id="37" w:name="sample-construction"/>
    <w:p>
      <w:pPr>
        <w:pStyle w:val="Heading2"/>
      </w:pPr>
      <w:r>
        <w:t xml:space="preserve">Sample Construction</w:t>
      </w:r>
    </w:p>
    <w:p>
      <w:pPr>
        <w:pStyle w:val="FirstParagraph"/>
      </w:pPr>
      <w:r>
        <w:t xml:space="preserve">The US sample consists of 183 S&amp;P 500 constituents with continuous data from January 2005 to October 2024, yielding 13,340 stock-quarter observations. Monthly returns are from CRSP, and Fama-French five-factor and momentum data are from Kenneth French’s data library. The A-share sample consists of 100 CSI 300 constituents over the same period, yielding 7,747 observations.</w:t>
      </w:r>
    </w:p>
    <w:bookmarkEnd w:id="37"/>
    <w:bookmarkStart w:id="38" w:name="variable-construction"/>
    <w:p>
      <w:pPr>
        <w:pStyle w:val="Heading2"/>
      </w:pPr>
      <w:r>
        <w:t xml:space="preserve">Variable Construction</w:t>
      </w:r>
    </w:p>
    <w:p>
      <w:pPr>
        <w:pStyle w:val="FirstParagraph"/>
      </w:pPr>
      <w:r>
        <w:t xml:space="preserve">For each stock-quarter, we construct:</w:t>
      </w:r>
    </w:p>
    <w:p>
      <w:pPr>
        <w:numPr>
          <w:ilvl w:val="0"/>
          <w:numId w:val="1002"/>
        </w:numPr>
      </w:pPr>
      <w:r>
        <w:rPr>
          <w:b/>
          <w:bCs/>
        </w:rPr>
        <w:t xml:space="preserve">H_smooth</w:t>
      </w:r>
      <w:r>
        <w:t xml:space="preserve">: Shannon entropy of the average belief distribution across the three agents. Each agent’s rating is mapped to a three-bin probability vector (bearish, neutral, bullish) via a softmax transformation:</w:t>
      </w:r>
      <w:r>
        <w:t xml:space="preserve"> </w:t>
      </w:r>
      <m:oMath>
        <m:sSubSup>
          <m:e>
            <m:r>
              <m:t>p</m:t>
            </m:r>
          </m:e>
          <m:sub>
            <m:r>
              <m:t>m</m:t>
            </m:r>
          </m:sub>
          <m:sup>
            <m:r>
              <m:t>k</m:t>
            </m:r>
          </m:sup>
        </m:sSubSup>
        <m:r>
          <m:rPr>
            <m:sty m:val="p"/>
          </m:rPr>
          <m:t>=</m:t>
        </m:r>
        <m:r>
          <m:rPr>
            <m:nor/>
            <m:sty m:val="p"/>
          </m:rPr>
          <m:t>softmax</m:t>
        </m:r>
        <m:d>
          <m:dPr>
            <m:begChr m:val="("/>
            <m:endChr m:val=")"/>
            <m:sepChr m:val=""/>
            <m:grow/>
          </m:dPr>
          <m:e>
            <m:d>
              <m:dPr>
                <m:begChr m:val="("/>
                <m:endChr m:val=")"/>
                <m:sepChr m:val=""/>
                <m:grow/>
              </m:dPr>
              <m:e>
                <m:sSub>
                  <m:e>
                    <m:r>
                      <m:t>r</m:t>
                    </m:r>
                  </m:e>
                  <m:sub>
                    <m:r>
                      <m:t>k</m:t>
                    </m:r>
                  </m:sub>
                </m:sSub>
                <m:r>
                  <m:rPr>
                    <m:sty m:val="p"/>
                  </m:rPr>
                  <m:t>−</m:t>
                </m:r>
                <m:r>
                  <m:t>5.5</m:t>
                </m:r>
              </m:e>
            </m:d>
            <m:r>
              <m:rPr>
                <m:sty m:val="p"/>
              </m:rPr>
              <m:t>/</m:t>
            </m:r>
            <m:r>
              <m:t>2</m:t>
            </m:r>
          </m:e>
        </m:d>
      </m:oMath>
      <w:r>
        <w:t xml:space="preserve">, and the average distribution is computed as</w:t>
      </w:r>
      <w:r>
        <w:t xml:space="preserve"> </w:t>
      </w:r>
      <m:oMath>
        <m:sSub>
          <m:e>
            <m:acc>
              <m:accPr>
                <m:chr m:val="‾"/>
              </m:accPr>
              <m:e>
                <m:r>
                  <m:t>p</m:t>
                </m:r>
              </m:e>
            </m:acc>
          </m:e>
          <m:sub>
            <m:r>
              <m:t>m</m:t>
            </m:r>
          </m:sub>
        </m:sSub>
        <m:r>
          <m:rPr>
            <m:sty m:val="p"/>
          </m:rPr>
          <m:t>=</m:t>
        </m:r>
        <m:f>
          <m:fPr>
            <m:type m:val="bar"/>
          </m:fPr>
          <m:num>
            <m:r>
              <m:t>1</m:t>
            </m:r>
          </m:num>
          <m:den>
            <m:r>
              <m:t>K</m:t>
            </m:r>
          </m:den>
        </m:f>
        <m:nary>
          <m:naryPr>
            <m:chr m:val="∑"/>
            <m:limLoc m:val="undOvr"/>
            <m:subHide m:val="off"/>
            <m:supHide m:val="on"/>
          </m:naryPr>
          <m:sub>
            <m:r>
              <m:t>k</m:t>
            </m:r>
          </m:sub>
          <m:sup>
            <m:r>
              <m:t>​</m:t>
            </m:r>
          </m:sup>
          <m:e>
            <m:sSubSup>
              <m:e>
                <m:r>
                  <m:t>p</m:t>
                </m:r>
              </m:e>
              <m:sub>
                <m:r>
                  <m:t>m</m:t>
                </m:r>
              </m:sub>
              <m:sup>
                <m:r>
                  <m:t>k</m:t>
                </m:r>
              </m:sup>
            </m:sSubSup>
          </m:e>
        </m:nary>
      </m:oMath>
      <w:r>
        <w:t xml:space="preserve">. Then</w:t>
      </w:r>
      <w:r>
        <w:t xml:space="preserve"> </w:t>
      </w:r>
      <m:oMath>
        <m:sSub>
          <m:e>
            <m:r>
              <m:t>H</m:t>
            </m:r>
          </m:e>
          <m:sub>
            <m:r>
              <m:rPr>
                <m:nor/>
                <m:sty m:val="p"/>
              </m:rPr>
              <m:t>smooth</m:t>
            </m:r>
          </m:sub>
        </m:sSub>
        <m:r>
          <m:rPr>
            <m:sty m:val="p"/>
          </m:rPr>
          <m:t>=</m:t>
        </m:r>
        <m:r>
          <m:rPr>
            <m:sty m:val="p"/>
          </m:rPr>
          <m:t>−</m:t>
        </m:r>
        <m:nary>
          <m:naryPr>
            <m:chr m:val="∑"/>
            <m:limLoc m:val="undOvr"/>
            <m:subHide m:val="off"/>
            <m:supHide m:val="on"/>
          </m:naryPr>
          <m:sub>
            <m:r>
              <m:t>m</m:t>
            </m:r>
          </m:sub>
          <m:sup>
            <m:r>
              <m:t>​</m:t>
            </m:r>
          </m:sup>
          <m:e>
            <m:sSub>
              <m:e>
                <m:acc>
                  <m:accPr>
                    <m:chr m:val="‾"/>
                  </m:accPr>
                  <m:e>
                    <m:r>
                      <m:t>p</m:t>
                    </m:r>
                  </m:e>
                </m:acc>
              </m:e>
              <m:sub>
                <m:r>
                  <m:t>m</m:t>
                </m:r>
              </m:sub>
            </m:sSub>
          </m:e>
        </m:nary>
        <m:sSub>
          <m:e>
            <m:r>
              <m:rPr>
                <m:sty m:val="p"/>
              </m:rPr>
              <m:t>log</m:t>
            </m:r>
          </m:e>
          <m:sub>
            <m:r>
              <m:t>2</m:t>
            </m:r>
          </m:sub>
        </m:sSub>
        <m:sSub>
          <m:e>
            <m:acc>
              <m:accPr>
                <m:chr m:val="‾"/>
              </m:accPr>
              <m:e>
                <m:r>
                  <m:t>p</m:t>
                </m:r>
              </m:e>
            </m:acc>
          </m:e>
          <m:sub>
            <m:r>
              <m:t>m</m:t>
            </m:r>
          </m:sub>
        </m:sSub>
      </m:oMath>
      <w:r>
        <w:t xml:space="preserve">. The</w:t>
      </w:r>
      <w:r>
        <w:t xml:space="preserve"> </w:t>
      </w:r>
      <w:r>
        <w:t xml:space="preserve">“</w:t>
      </w:r>
      <w:r>
        <w:t xml:space="preserve">smooth</w:t>
      </w:r>
      <w:r>
        <w:t xml:space="preserve">”</w:t>
      </w:r>
      <w:r>
        <w:t xml:space="preserve"> </w:t>
      </w:r>
      <w:r>
        <w:t xml:space="preserve">refers to the softmax mapping: rather than computing entropy from the discrete rating counts (which yields only</w:t>
      </w:r>
      <w:r>
        <w:t xml:space="preserve"> </w:t>
      </w:r>
      <m:oMath>
        <m:sSub>
          <m:e>
            <m:r>
              <m:rPr>
                <m:sty m:val="p"/>
              </m:rPr>
              <m:t>log</m:t>
            </m:r>
          </m:e>
          <m:sub>
            <m:r>
              <m:t>2</m:t>
            </m:r>
          </m:sub>
        </m:sSub>
        <m:r>
          <m:t>3</m:t>
        </m:r>
        <m:r>
          <m:rPr>
            <m:sty m:val="p"/>
          </m:rPr>
          <m:t>≈</m:t>
        </m:r>
        <m:r>
          <m:t>1.585</m:t>
        </m:r>
      </m:oMath>
      <w:r>
        <w:t xml:space="preserve"> </w:t>
      </w:r>
      <w:r>
        <w:t xml:space="preserve">distinct values for 3 agents), the softmax produces a continuous probability distribution that captures the</w:t>
      </w:r>
      <w:r>
        <w:t xml:space="preserve"> </w:t>
      </w:r>
      <w:r>
        <w:rPr>
          <w:i/>
          <w:iCs/>
        </w:rPr>
        <w:t xml:space="preserve">intensity</w:t>
      </w:r>
      <w:r>
        <w:t xml:space="preserve"> </w:t>
      </w:r>
      <w:r>
        <w:t xml:space="preserve">of each agent’s conviction. Range: [0,</w:t>
      </w:r>
      <w:r>
        <w:t xml:space="preserve"> </w:t>
      </w:r>
      <m:oMath>
        <m:sSub>
          <m:e>
            <m:r>
              <m:rPr>
                <m:sty m:val="p"/>
              </m:rPr>
              <m:t>log</m:t>
            </m:r>
          </m:e>
          <m:sub>
            <m:r>
              <m:t>2</m:t>
            </m:r>
          </m:sub>
        </m:sSub>
        <m:r>
          <m:t>3</m:t>
        </m:r>
      </m:oMath>
      <w:r>
        <w:t xml:space="preserve">]</w:t>
      </w:r>
      <w:r>
        <w:t xml:space="preserve"> </w:t>
      </w:r>
      <m:oMath>
        <m:r>
          <m:rPr>
            <m:sty m:val="p"/>
          </m:rPr>
          <m:t>≈</m:t>
        </m:r>
      </m:oMath>
      <w:r>
        <w:t xml:space="preserve"> </w:t>
      </w:r>
      <w:r>
        <w:t xml:space="preserve">[0, 1.585]. Higher values indicate more dispersed (uncertain) sentiment.</w:t>
      </w:r>
    </w:p>
    <w:p>
      <w:pPr>
        <w:numPr>
          <w:ilvl w:val="0"/>
          <w:numId w:val="1002"/>
        </w:numPr>
      </w:pPr>
      <w:r>
        <w:rPr>
          <w:b/>
          <w:bCs/>
        </w:rPr>
        <w:t xml:space="preserve">JS divergence</w:t>
      </w:r>
      <w:r>
        <w:t xml:space="preserve">: Jensen-Shannon decomposition:</w:t>
      </w:r>
      <w:r>
        <w:t xml:space="preserve"> </w:t>
      </w:r>
      <m:oMath>
        <m:r>
          <m:rPr>
            <m:nor/>
            <m:sty m:val="p"/>
          </m:rPr>
          <m:t>JS</m:t>
        </m:r>
        <m:r>
          <m:rPr>
            <m:sty m:val="p"/>
          </m:rPr>
          <m:t>=</m:t>
        </m:r>
        <m:r>
          <m:t>H</m:t>
        </m:r>
        <m:d>
          <m:dPr>
            <m:begChr m:val="("/>
            <m:endChr m:val=")"/>
            <m:sepChr m:val=""/>
            <m:grow/>
          </m:dPr>
          <m:e>
            <m:acc>
              <m:accPr>
                <m:chr m:val="‾"/>
              </m:accPr>
              <m:e>
                <m:r>
                  <m:rPr>
                    <m:sty m:val="b"/>
                  </m:rPr>
                  <m:t>p</m:t>
                </m:r>
              </m:e>
            </m:acc>
          </m:e>
        </m:d>
        <m:r>
          <m:rPr>
            <m:sty m:val="p"/>
          </m:rPr>
          <m:t>−</m:t>
        </m:r>
        <m:f>
          <m:fPr>
            <m:type m:val="bar"/>
          </m:fPr>
          <m:num>
            <m:r>
              <m:t>1</m:t>
            </m:r>
          </m:num>
          <m:den>
            <m:r>
              <m:t>K</m:t>
            </m:r>
          </m:den>
        </m:f>
        <m:nary>
          <m:naryPr>
            <m:chr m:val="∑"/>
            <m:limLoc m:val="undOvr"/>
            <m:subHide m:val="off"/>
            <m:supHide m:val="on"/>
          </m:naryPr>
          <m:sub>
            <m:r>
              <m:t>k</m:t>
            </m:r>
          </m:sub>
          <m:sup>
            <m:r>
              <m:t>​</m:t>
            </m:r>
          </m:sup>
          <m:e>
            <m:r>
              <m:t>H</m:t>
            </m:r>
          </m:e>
        </m:nary>
        <m:d>
          <m:dPr>
            <m:begChr m:val="("/>
            <m:endChr m:val=")"/>
            <m:sepChr m:val=""/>
            <m:grow/>
          </m:dPr>
          <m:e>
            <m:sSup>
              <m:e>
                <m:r>
                  <m:rPr>
                    <m:sty m:val="b"/>
                  </m:rPr>
                  <m:t>p</m:t>
                </m:r>
              </m:e>
              <m:sup>
                <m:r>
                  <m:t>k</m:t>
                </m:r>
              </m:sup>
            </m:sSup>
          </m:e>
        </m:d>
      </m:oMath>
      <w:r>
        <w:t xml:space="preserve">, the difference between the entropy of the average distribution and the average of individual entropies. Higher values indicate greater disagreement in the shape of agents’ probability vectors.</w:t>
      </w:r>
    </w:p>
    <w:p>
      <w:pPr>
        <w:numPr>
          <w:ilvl w:val="0"/>
          <w:numId w:val="1002"/>
        </w:numPr>
      </w:pPr>
      <w:r>
        <w:rPr>
          <w:b/>
          <w:bCs/>
        </w:rPr>
        <w:t xml:space="preserve">D_post</w:t>
      </w:r>
      <w:r>
        <w:t xml:space="preserve">: Standard deviation of the three agents’</w:t>
      </w:r>
      <w:r>
        <w:t xml:space="preserve"> </w:t>
      </w:r>
      <w:r>
        <w:rPr>
          <w:i/>
          <w:iCs/>
        </w:rPr>
        <w:t xml:space="preserve">point ratings</w:t>
      </w:r>
      <w:r>
        <w:t xml:space="preserve"> </w:t>
      </w:r>
      <w:r>
        <w:t xml:space="preserve">(the raw 1–10 scores). The</w:t>
      </w:r>
      <w:r>
        <w:t xml:space="preserve"> </w:t>
      </w:r>
      <w:r>
        <w:t xml:space="preserve">“</w:t>
      </w:r>
      <w:r>
        <w:t xml:space="preserve">post</w:t>
      </w:r>
      <w:r>
        <w:t xml:space="preserve">”</w:t>
      </w:r>
      <w:r>
        <w:t xml:space="preserve"> </w:t>
      </w:r>
      <w:r>
        <w:t xml:space="preserve">subscript denotes that this is the dispersion of the final (post-classification) ratings, as opposed to the pre-classification feature dispersion. Higher values indicate greater point-estimate disagreement.</w:t>
      </w:r>
    </w:p>
    <w:p>
      <w:pPr>
        <w:numPr>
          <w:ilvl w:val="0"/>
          <w:numId w:val="1002"/>
        </w:numPr>
      </w:pPr>
      <w:r>
        <w:rPr>
          <w:b/>
          <w:bCs/>
        </w:rPr>
        <w:t xml:space="preserve">Residual H</w:t>
      </w:r>
      <w:r>
        <w:t xml:space="preserve">: The component of H_smooth orthogonal to JS divergence and D_post, obtained from regressing H_smooth on JS and D and taking the residual.</w:t>
      </w:r>
    </w:p>
    <w:p>
      <w:pPr>
        <w:numPr>
          <w:ilvl w:val="0"/>
          <w:numId w:val="1002"/>
        </w:numPr>
      </w:pPr>
      <w:r>
        <w:rPr>
          <w:b/>
          <w:bCs/>
        </w:rPr>
        <w:t xml:space="preserve">H</w:t>
      </w:r>
      <m:oMath>
        <m:r>
          <m:rPr>
            <m:sty m:val="p"/>
          </m:rPr>
          <m:t>×</m:t>
        </m:r>
      </m:oMath>
      <w:r>
        <w:rPr>
          <w:b/>
          <w:bCs/>
        </w:rPr>
        <w:t xml:space="preserve">D</w:t>
      </w:r>
      <w:r>
        <w:t xml:space="preserve">: The interaction of standardized H_smooth and D_post, capturing the overconfidence–disagreement amplification effect.</w:t>
      </w:r>
    </w:p>
    <w:p>
      <w:pPr>
        <w:pStyle w:val="FirstParagraph"/>
      </w:pPr>
      <w:r>
        <w:t xml:space="preserve">Control variables include: relative size (log trading volume relative to cross-sectional median, as a proxy for market capitalization), book-to-market proxy (negative of past 12-month return), 6-month past return momentum, 6-month past return volatility, and log trading volume. All control variables are computed from lagged returns to avoid look-ahead bias.</w:t>
      </w:r>
    </w:p>
    <w:bookmarkEnd w:id="38"/>
    <w:bookmarkStart w:id="39" w:name="empirical-strategy"/>
    <w:p>
      <w:pPr>
        <w:pStyle w:val="Heading2"/>
      </w:pPr>
      <w:r>
        <w:t xml:space="preserve">Empirical Strategy</w:t>
      </w:r>
    </w:p>
    <w:p>
      <w:pPr>
        <w:pStyle w:val="FirstParagraph"/>
      </w:pPr>
      <w:r>
        <w:t xml:space="preserve">We employ standard Fama-MacBeth cross-sectional regressions. For each month</w:t>
      </w:r>
      <w:r>
        <w:t xml:space="preserve"> </w:t>
      </w:r>
      <m:oMath>
        <m:r>
          <m:t>t</m:t>
        </m:r>
      </m:oMath>
      <w:r>
        <w:t xml:space="preserve">, we run:</w:t>
      </w:r>
    </w:p>
    <w:p>
      <w:pPr>
        <w:pStyle w:val="BodyText"/>
      </w:pPr>
      <m:oMathPara>
        <m:oMathParaPr>
          <m:jc m:val="center"/>
        </m:oMathParaPr>
        <m:oMath>
          <m:sSub>
            <m:e>
              <m:r>
                <m:t>r</m:t>
              </m:r>
            </m:e>
            <m:sub>
              <m:r>
                <m:t>i</m:t>
              </m:r>
              <m:r>
                <m:rPr>
                  <m:sty m:val="p"/>
                </m:rPr>
                <m:t>,</m:t>
              </m:r>
              <m:r>
                <m:t>t</m:t>
              </m:r>
              <m:r>
                <m:rPr>
                  <m:sty m:val="p"/>
                </m:rPr>
                <m:t>+</m:t>
              </m:r>
              <m:r>
                <m:t>1</m:t>
              </m:r>
            </m:sub>
          </m:sSub>
          <m:r>
            <m:rPr>
              <m:sty m:val="p"/>
            </m:rPr>
            <m:t>=</m:t>
          </m:r>
          <m:sSub>
            <m:e>
              <m:r>
                <m:t>α</m:t>
              </m:r>
            </m:e>
            <m:sub>
              <m:r>
                <m:t>t</m:t>
              </m:r>
            </m:sub>
          </m:sSub>
          <m:r>
            <m:rPr>
              <m:sty m:val="p"/>
            </m:rPr>
            <m:t>+</m:t>
          </m:r>
          <m:sSub>
            <m:e>
              <m:r>
                <m:t>β</m:t>
              </m:r>
            </m:e>
            <m:sub>
              <m:r>
                <m:t>t</m:t>
              </m:r>
            </m:sub>
          </m:sSub>
          <m:sSub>
            <m:e>
              <m:r>
                <m:t>X</m:t>
              </m:r>
            </m:e>
            <m:sub>
              <m:r>
                <m:t>i</m:t>
              </m:r>
              <m:r>
                <m:rPr>
                  <m:sty m:val="p"/>
                </m:rPr>
                <m:t>,</m:t>
              </m:r>
              <m:r>
                <m:t>t</m:t>
              </m:r>
            </m:sub>
          </m:sSub>
          <m:r>
            <m:rPr>
              <m:sty m:val="p"/>
            </m:rPr>
            <m:t>+</m:t>
          </m:r>
          <m:sSub>
            <m:e>
              <m:r>
                <m:t>ε</m:t>
              </m:r>
            </m:e>
            <m:sub>
              <m:r>
                <m:t>i</m:t>
              </m:r>
              <m:r>
                <m:rPr>
                  <m:sty m:val="p"/>
                </m:rPr>
                <m:t>,</m:t>
              </m:r>
              <m:r>
                <m:t>t</m:t>
              </m:r>
              <m:r>
                <m:rPr>
                  <m:sty m:val="p"/>
                </m:rPr>
                <m:t>+</m:t>
              </m:r>
              <m:r>
                <m:t>1</m:t>
              </m:r>
            </m:sub>
          </m:sSub>
        </m:oMath>
      </m:oMathPara>
    </w:p>
    <w:p>
      <w:pPr>
        <w:pStyle w:val="FirstParagraph"/>
      </w:pPr>
      <w:r>
        <w:t xml:space="preserve">where</w:t>
      </w:r>
      <w:r>
        <w:t xml:space="preserve"> </w:t>
      </w:r>
      <m:oMath>
        <m:sSub>
          <m:e>
            <m:r>
              <m:t>X</m:t>
            </m:r>
          </m:e>
          <m:sub>
            <m:r>
              <m:t>i</m:t>
            </m:r>
            <m:r>
              <m:rPr>
                <m:sty m:val="p"/>
              </m:rPr>
              <m:t>,</m:t>
            </m:r>
            <m:r>
              <m:t>t</m:t>
            </m:r>
          </m:sub>
        </m:sSub>
      </m:oMath>
      <w:r>
        <w:t xml:space="preserve"> </w:t>
      </w:r>
      <w:r>
        <w:t xml:space="preserve">is the vector of signal variables. The FM coefficient is</w:t>
      </w:r>
      <w:r>
        <w:t xml:space="preserve"> </w:t>
      </w:r>
      <m:oMath>
        <m:acc>
          <m:accPr>
            <m:chr m:val="‾"/>
          </m:accPr>
          <m:e>
            <m:r>
              <m:t>β</m:t>
            </m:r>
          </m:e>
        </m:acc>
        <m:r>
          <m:rPr>
            <m:sty m:val="p"/>
          </m:rPr>
          <m:t>=</m:t>
        </m:r>
        <m:f>
          <m:fPr>
            <m:type m:val="bar"/>
          </m:fPr>
          <m:num>
            <m:r>
              <m:t>1</m:t>
            </m:r>
          </m:num>
          <m:den>
            <m:r>
              <m:t>T</m:t>
            </m:r>
          </m:den>
        </m:f>
        <m:nary>
          <m:naryPr>
            <m:chr m:val="∑"/>
            <m:limLoc m:val="undOvr"/>
            <m:subHide m:val="off"/>
            <m:supHide m:val="on"/>
          </m:naryPr>
          <m:sub>
            <m:r>
              <m:t>t</m:t>
            </m:r>
          </m:sub>
          <m:sup>
            <m:r>
              <m:t>​</m:t>
            </m:r>
          </m:sup>
          <m:e>
            <m:sSub>
              <m:e>
                <m:acc>
                  <m:accPr>
                    <m:chr m:val="̂"/>
                  </m:accPr>
                  <m:e>
                    <m:r>
                      <m:t>β</m:t>
                    </m:r>
                  </m:e>
                </m:acc>
              </m:e>
              <m:sub>
                <m:r>
                  <m:t>t</m:t>
                </m:r>
              </m:sub>
            </m:sSub>
          </m:e>
        </m:nary>
      </m:oMath>
      <w:r>
        <w:t xml:space="preserve">, and the</w:t>
      </w:r>
      <w:r>
        <w:t xml:space="preserve"> </w:t>
      </w:r>
      <m:oMath>
        <m:r>
          <m:t>t</m:t>
        </m:r>
      </m:oMath>
      <w:r>
        <w:t xml:space="preserve">-statistic is</w:t>
      </w:r>
      <w:r>
        <w:t xml:space="preserve"> </w:t>
      </w:r>
      <m:oMath>
        <m:acc>
          <m:accPr>
            <m:chr m:val="‾"/>
          </m:accPr>
          <m:e>
            <m:r>
              <m:t>β</m:t>
            </m:r>
          </m:e>
        </m:acc>
        <m:r>
          <m:rPr>
            <m:sty m:val="p"/>
          </m:rPr>
          <m:t>/</m:t>
        </m:r>
        <m:r>
          <m:rPr>
            <m:nor/>
            <m:sty m:val="p"/>
          </m:rPr>
          <m:t>SE</m:t>
        </m:r>
        <m:d>
          <m:dPr>
            <m:begChr m:val="("/>
            <m:endChr m:val=")"/>
            <m:sepChr m:val=""/>
            <m:grow/>
          </m:dPr>
          <m:e>
            <m:acc>
              <m:accPr>
                <m:chr m:val="‾"/>
              </m:accPr>
              <m:e>
                <m:r>
                  <m:t>β</m:t>
                </m:r>
              </m:e>
            </m:acc>
          </m:e>
        </m:d>
      </m:oMath>
      <w:r>
        <w:t xml:space="preserve"> </w:t>
      </w:r>
      <w:r>
        <w:t xml:space="preserve">with Newey-West adjustment.</w:t>
      </w:r>
    </w:p>
    <w:p>
      <w:pPr>
        <w:pStyle w:val="BodyText"/>
      </w:pPr>
      <w:r>
        <w:t xml:space="preserve">For multi-period returns, we compute cumulative returns over 2 and 3 quarters ahead. The horizon analysis tests Proposition </w:t>
      </w:r>
      <w:hyperlink w:anchor="prop:reversal">
        <w:r>
          <w:rPr>
            <w:rStyle w:val="Hyperlink"/>
          </w:rPr>
          <w:t xml:space="preserve">4</w:t>
        </w:r>
      </w:hyperlink>
      <w:r>
        <w:t xml:space="preserve">: if the entropy premium reflects mispricing, it should strengthen at longer horizons.</w:t>
      </w:r>
    </w:p>
    <w:bookmarkEnd w:id="39"/>
    <w:bookmarkEnd w:id="40"/>
    <w:bookmarkStart w:id="52" w:name="sec:results"/>
    <w:p>
      <w:pPr>
        <w:pStyle w:val="Heading1"/>
      </w:pPr>
      <w:r>
        <w:t xml:space="preserve">Main Results</w:t>
      </w:r>
    </w:p>
    <w:p>
      <w:pPr>
        <w:pStyle w:val="FirstParagraph"/>
      </w:pPr>
      <w:r>
        <w:t xml:space="preserve">Table </w:t>
      </w:r>
      <w:hyperlink w:anchor="tab:propmap">
        <w:r>
          <w:rPr>
            <w:rStyle w:val="Hyperlink"/>
          </w:rPr>
          <w:t xml:space="preserve">1</w:t>
        </w:r>
      </w:hyperlink>
      <w:r>
        <w:t xml:space="preserve"> </w:t>
      </w:r>
      <w:r>
        <w:t xml:space="preserve">maps each proposition to its empirical test.</w:t>
      </w:r>
    </w:p>
    <w:bookmarkStart w:id="41" w:name="tab:propmap"/>
    <w:p>
      <w:pPr>
        <w:pStyle w:val="TableCaption"/>
      </w:pPr>
      <w:r>
        <w:t xml:space="preserve">Proposition–Test Map</w:t>
      </w:r>
    </w:p>
    <w:tbl>
      <w:tblPr>
        <w:tblStyle w:val="Table"/>
        <w:tblW w:type="auto" w:w="0"/>
        <w:jc w:val="left"/>
        <w:tblLook w:firstRow="1" w:lastRow="0" w:firstColumn="0" w:lastColumn="0" w:noHBand="0" w:noVBand="0" w:val="0020"/>
        <w:tblCaption w:val="Proposition–Test Map"/>
      </w:tblPr>
      <w:tblGrid>
        <w:gridCol w:w="1980"/>
        <w:gridCol w:w="1980"/>
        <w:gridCol w:w="1980"/>
        <w:gridCol w:w="1980"/>
      </w:tblGrid>
      <w:tr>
        <w:trPr>
          <w:tblHeader w:val="on"/>
        </w:trPr>
        <w:tc>
          <w:tcPr/>
          <w:p>
            <w:pPr>
              <w:pStyle w:val="Compact"/>
              <w:jc w:val="left"/>
            </w:pPr>
            <w:r>
              <w:t xml:space="preserve">Proposition</w:t>
            </w:r>
          </w:p>
        </w:tc>
        <w:tc>
          <w:tcPr/>
          <w:p>
            <w:pPr>
              <w:pStyle w:val="Compact"/>
              <w:jc w:val="left"/>
            </w:pPr>
            <w:r>
              <w:t xml:space="preserve">Prediction</w:t>
            </w:r>
          </w:p>
        </w:tc>
        <w:tc>
          <w:tcPr/>
          <w:p>
            <w:pPr>
              <w:pStyle w:val="Compact"/>
              <w:jc w:val="left"/>
            </w:pPr>
            <w:r>
              <w:t xml:space="preserve">Test Table</w:t>
            </w:r>
          </w:p>
        </w:tc>
        <w:tc>
          <w:tcPr/>
          <w:p>
            <w:pPr>
              <w:pStyle w:val="Compact"/>
              <w:jc w:val="left"/>
            </w:pPr>
            <w:r>
              <w:t xml:space="preserve">Key Result</w:t>
            </w:r>
          </w:p>
        </w:tc>
      </w:tr>
      <w:tr>
        <w:tc>
          <w:tcPr/>
          <w:p>
            <w:pPr>
              <w:pStyle w:val="Compact"/>
              <w:jc w:val="left"/>
            </w:pPr>
            <w:r>
              <w:t xml:space="preserve">P1: Entropy premium</w:t>
            </w:r>
          </w:p>
        </w:tc>
        <w:tc>
          <w:tcPr/>
          <w:p>
            <w:pPr>
              <w:pStyle w:val="Compact"/>
              <w:jc w:val="left"/>
            </w:pPr>
            <m:oMath>
              <m:sSub>
                <m:e>
                  <m:r>
                    <m:t>β</m:t>
                  </m:r>
                </m:e>
                <m:sub>
                  <m:r>
                    <m:t>H</m:t>
                  </m:r>
                </m:sub>
              </m:sSub>
              <m:r>
                <m:rPr>
                  <m:sty m:val="p"/>
                </m:rPr>
                <m:t>&gt;</m:t>
              </m:r>
              <m:r>
                <m:t>0</m:t>
              </m:r>
            </m:oMath>
          </w:p>
        </w:tc>
        <w:tc>
          <w:tcPr/>
          <w:p>
            <w:pPr>
              <w:pStyle w:val="Compact"/>
              <w:jc w:val="left"/>
            </w:pPr>
            <w:r>
              <w:t xml:space="preserve">Table </w:t>
            </w:r>
            <w:hyperlink w:anchor="tab:fm_univariate">
              <w:r>
                <w:rPr>
                  <w:rStyle w:val="Hyperlink"/>
                </w:rPr>
                <w:t xml:space="preserve">3</w:t>
              </w:r>
            </w:hyperlink>
          </w:p>
        </w:tc>
        <w:tc>
          <w:tcPr/>
          <w:p>
            <w:pPr>
              <w:pStyle w:val="Compact"/>
              <w:jc w:val="left"/>
            </w:pPr>
            <w:r>
              <w:t xml:space="preserve">t =</w:t>
            </w:r>
            <w:r>
              <w:t xml:space="preserve"> </w:t>
            </w:r>
            <m:oMath>
              <m:r>
                <m:rPr>
                  <m:sty m:val="p"/>
                </m:rPr>
                <m:t>−</m:t>
              </m:r>
              <m:sSup>
                <m:e>
                  <m:r>
                    <m:t>3.02</m:t>
                  </m:r>
                </m:e>
                <m:sup>
                  <m:r>
                    <m:rPr>
                      <m:sty m:val="p"/>
                    </m:rPr>
                    <m:t>*</m:t>
                  </m:r>
                  <m:r>
                    <m:rPr>
                      <m:sty m:val="p"/>
                    </m:rPr>
                    <m:t>*</m:t>
                  </m:r>
                  <m:r>
                    <m:rPr>
                      <m:sty m:val="p"/>
                    </m:rPr>
                    <m:t>*</m:t>
                  </m:r>
                </m:sup>
              </m:sSup>
            </m:oMath>
          </w:p>
        </w:tc>
      </w:tr>
      <w:tr>
        <w:tc>
          <w:tcPr/>
          <w:p>
            <w:pPr>
              <w:pStyle w:val="Compact"/>
              <w:jc w:val="left"/>
            </w:pPr>
            <w:r>
              <w:t xml:space="preserve">P2: Entropy</w:t>
            </w:r>
            <w:r>
              <w:t xml:space="preserve"> </w:t>
            </w:r>
            <m:oMath>
              <m:r>
                <m:rPr>
                  <m:sty m:val="p"/>
                </m:rPr>
                <m:t>≠</m:t>
              </m:r>
            </m:oMath>
            <w:r>
              <w:t xml:space="preserve"> </w:t>
            </w:r>
            <w:r>
              <w:t xml:space="preserve">Disagreement</w:t>
            </w:r>
          </w:p>
        </w:tc>
        <w:tc>
          <w:tcPr/>
          <w:p>
            <w:pPr>
              <w:pStyle w:val="Compact"/>
              <w:jc w:val="left"/>
            </w:pPr>
            <m:oMath>
              <m:sSub>
                <m:e>
                  <m:r>
                    <m:t>β</m:t>
                  </m:r>
                </m:e>
                <m:sub>
                  <m:acc>
                    <m:accPr>
                      <m:chr m:val="̃"/>
                    </m:accPr>
                    <m:e>
                      <m:r>
                        <m:t>H</m:t>
                      </m:r>
                    </m:e>
                  </m:acc>
                </m:sub>
              </m:sSub>
              <m:r>
                <m:rPr>
                  <m:sty m:val="p"/>
                </m:rPr>
                <m:t>&gt;</m:t>
              </m:r>
              <m:r>
                <m:t>0</m:t>
              </m:r>
            </m:oMath>
          </w:p>
        </w:tc>
        <w:tc>
          <w:tcPr/>
          <w:p>
            <w:pPr>
              <w:pStyle w:val="Compact"/>
              <w:jc w:val="left"/>
            </w:pPr>
            <w:r>
              <w:t xml:space="preserve">Table </w:t>
            </w:r>
            <w:hyperlink w:anchor="tab:fm_univariate">
              <w:r>
                <w:rPr>
                  <w:rStyle w:val="Hyperlink"/>
                </w:rPr>
                <w:t xml:space="preserve">3</w:t>
              </w:r>
            </w:hyperlink>
          </w:p>
        </w:tc>
        <w:tc>
          <w:tcPr/>
          <w:p>
            <w:pPr>
              <w:pStyle w:val="Compact"/>
              <w:jc w:val="left"/>
            </w:pPr>
            <w:r>
              <w:t xml:space="preserve">Residual H significant</w:t>
            </w:r>
          </w:p>
        </w:tc>
      </w:tr>
      <w:tr>
        <w:tc>
          <w:tcPr/>
          <w:p>
            <w:pPr>
              <w:pStyle w:val="Compact"/>
              <w:jc w:val="left"/>
            </w:pPr>
            <w:r>
              <w:t xml:space="preserve">P3: H</w:t>
            </w:r>
            <m:oMath>
              <m:r>
                <m:rPr>
                  <m:sty m:val="p"/>
                </m:rPr>
                <m:t>×</m:t>
              </m:r>
            </m:oMath>
            <w:r>
              <w:t xml:space="preserve">D interaction</w:t>
            </w:r>
          </w:p>
        </w:tc>
        <w:tc>
          <w:tcPr/>
          <w:p>
            <w:pPr>
              <w:pStyle w:val="Compact"/>
              <w:jc w:val="left"/>
            </w:pPr>
            <m:oMath>
              <m:r>
                <m:t>γ</m:t>
              </m:r>
              <m:r>
                <m:rPr>
                  <m:sty m:val="p"/>
                </m:rPr>
                <m:t>&gt;</m:t>
              </m:r>
              <m:r>
                <m:t>0</m:t>
              </m:r>
            </m:oMath>
          </w:p>
        </w:tc>
        <w:tc>
          <w:tcPr/>
          <w:p>
            <w:pPr>
              <w:pStyle w:val="Compact"/>
              <w:jc w:val="left"/>
            </w:pPr>
            <w:r>
              <w:t xml:space="preserve">Table </w:t>
            </w:r>
            <w:hyperlink w:anchor="tab:quasi">
              <w:r>
                <w:rPr>
                  <w:rStyle w:val="Hyperlink"/>
                </w:rPr>
                <w:t xml:space="preserve">6</w:t>
              </w:r>
            </w:hyperlink>
          </w:p>
        </w:tc>
        <w:tc>
          <w:tcPr/>
          <w:p>
            <w:pPr>
              <w:pStyle w:val="Compact"/>
              <w:jc w:val="left"/>
            </w:pPr>
            <w:r>
              <w:t xml:space="preserve">t =</w:t>
            </w:r>
            <w:r>
              <w:t xml:space="preserve"> </w:t>
            </w:r>
            <m:oMath>
              <m:r>
                <m:rPr>
                  <m:sty m:val="p"/>
                </m:rPr>
                <m:t>+</m:t>
              </m:r>
              <m:sSup>
                <m:e>
                  <m:r>
                    <m:t>3.38</m:t>
                  </m:r>
                </m:e>
                <m:sup>
                  <m:r>
                    <m:rPr>
                      <m:sty m:val="p"/>
                    </m:rPr>
                    <m:t>*</m:t>
                  </m:r>
                  <m:r>
                    <m:rPr>
                      <m:sty m:val="p"/>
                    </m:rPr>
                    <m:t>*</m:t>
                  </m:r>
                  <m:r>
                    <m:rPr>
                      <m:sty m:val="p"/>
                    </m:rPr>
                    <m:t>*</m:t>
                  </m:r>
                </m:sup>
              </m:sSup>
            </m:oMath>
          </w:p>
        </w:tc>
      </w:tr>
      <w:tr>
        <w:tc>
          <w:tcPr/>
          <w:p>
            <w:pPr>
              <w:pStyle w:val="Compact"/>
              <w:jc w:val="left"/>
            </w:pPr>
            <w:r>
              <w:t xml:space="preserve">P4: Long-term reversal</w:t>
            </w:r>
          </w:p>
        </w:tc>
        <w:tc>
          <w:tcPr/>
          <w:p>
            <w:pPr>
              <w:pStyle w:val="Compact"/>
              <w:jc w:val="left"/>
            </w:pPr>
            <m:oMath>
              <m:d>
                <m:dPr>
                  <m:begChr m:val="|"/>
                  <m:endChr m:val="|"/>
                  <m:sepChr m:val=""/>
                  <m:grow/>
                </m:dPr>
                <m:e>
                  <m:sSub>
                    <m:e>
                      <m:r>
                        <m:t>t</m:t>
                      </m:r>
                    </m:e>
                    <m:sub>
                      <m:r>
                        <m:t>3</m:t>
                      </m:r>
                      <m:r>
                        <m:t>Q</m:t>
                      </m:r>
                    </m:sub>
                  </m:sSub>
                </m:e>
              </m:d>
              <m:r>
                <m:rPr>
                  <m:sty m:val="p"/>
                </m:rPr>
                <m:t>&gt;</m:t>
              </m:r>
              <m:d>
                <m:dPr>
                  <m:begChr m:val="|"/>
                  <m:endChr m:val="|"/>
                  <m:sepChr m:val=""/>
                  <m:grow/>
                </m:dPr>
                <m:e>
                  <m:sSub>
                    <m:e>
                      <m:r>
                        <m:t>t</m:t>
                      </m:r>
                    </m:e>
                    <m:sub>
                      <m:r>
                        <m:t>1</m:t>
                      </m:r>
                      <m:r>
                        <m:t>Q</m:t>
                      </m:r>
                    </m:sub>
                  </m:sSub>
                </m:e>
              </m:d>
            </m:oMath>
          </w:p>
        </w:tc>
        <w:tc>
          <w:tcPr/>
          <w:p>
            <w:pPr>
              <w:pStyle w:val="Compact"/>
              <w:jc w:val="left"/>
            </w:pPr>
            <w:r>
              <w:t xml:space="preserve">Table </w:t>
            </w:r>
            <w:hyperlink w:anchor="tab:horizon">
              <w:r>
                <w:rPr>
                  <w:rStyle w:val="Hyperlink"/>
                </w:rPr>
                <w:t xml:space="preserve">5</w:t>
              </w:r>
            </w:hyperlink>
          </w:p>
        </w:tc>
        <w:tc>
          <w:tcPr/>
          <w:p>
            <w:pPr>
              <w:pStyle w:val="Compact"/>
              <w:jc w:val="left"/>
            </w:pPr>
            <m:oMath>
              <m:r>
                <m:rPr>
                  <m:sty m:val="p"/>
                </m:rPr>
                <m:t>−</m:t>
              </m:r>
              <m:r>
                <m:t>3.02</m:t>
              </m:r>
              <m:r>
                <m:rPr>
                  <m:sty m:val="p"/>
                </m:rPr>
                <m:t>→</m:t>
              </m:r>
              <m:r>
                <m:rPr>
                  <m:sty m:val="p"/>
                </m:rPr>
                <m:t>−</m:t>
              </m:r>
              <m:r>
                <m:t>4.60</m:t>
              </m:r>
            </m:oMath>
          </w:p>
        </w:tc>
      </w:tr>
    </w:tbl>
    <w:bookmarkEnd w:id="41"/>
    <w:bookmarkStart w:id="43" w:name="descriptive-statistics"/>
    <w:p>
      <w:pPr>
        <w:pStyle w:val="Heading2"/>
      </w:pPr>
      <w:r>
        <w:t xml:space="preserve">Descriptive Statistics</w:t>
      </w:r>
    </w:p>
    <w:p>
      <w:pPr>
        <w:pStyle w:val="FirstParagraph"/>
      </w:pPr>
      <w:r>
        <w:t xml:space="preserve">Table </w:t>
      </w:r>
      <w:hyperlink w:anchor="tab:descriptive">
        <w:r>
          <w:rPr>
            <w:rStyle w:val="Hyperlink"/>
          </w:rPr>
          <w:t xml:space="preserve">2</w:t>
        </w:r>
      </w:hyperlink>
      <w:r>
        <w:t xml:space="preserve"> </w:t>
      </w:r>
      <w:r>
        <w:t xml:space="preserve">reports descriptive statistics. H_smooth has a mean of 1.420 (on a 0–1.585 scale) with substantial cross-sectional variation (std = 0.156). JS divergence has a mean of 0.066 with moderate variation. D_post has a mean of 0.729 with moderate variation. The pairwise correlations are: H–JS = 0.49, H–D = 0.45, JS–D = 0.95. The high JS–D correlation confirms that these two measures capture similar aspects of the belief structure, while H_smooth captures a distinct dimension.</w:t>
      </w:r>
    </w:p>
    <w:p>
      <w:pPr>
        <w:pStyle w:val="BodyText"/>
      </w:pPr>
      <w:r>
        <w:rPr>
          <w:i/>
          <w:iCs/>
        </w:rPr>
        <w:t xml:space="preserve">On the JS-D collinearity.</w:t>
      </w:r>
      <w:r>
        <w:t xml:space="preserve"> </w:t>
      </w:r>
      <w:r>
        <w:t xml:space="preserve">The JS-D correlation of 0.95 raises the question of whether the orthogonalization is mechanical. We emphasize three points. First, the theoretical distinction is substantive: JS divergence measures</w:t>
      </w:r>
      <w:r>
        <w:t xml:space="preserve"> </w:t>
      </w:r>
      <w:r>
        <w:rPr>
          <w:i/>
          <w:iCs/>
        </w:rPr>
        <w:t xml:space="preserve">distributional shape</w:t>
      </w:r>
      <w:r>
        <w:t xml:space="preserve"> </w:t>
      </w:r>
      <w:r>
        <w:t xml:space="preserve">(how far the agent distribution is from uniform), while D_post measures</w:t>
      </w:r>
      <w:r>
        <w:t xml:space="preserve"> </w:t>
      </w:r>
      <w:r>
        <w:rPr>
          <w:i/>
          <w:iCs/>
        </w:rPr>
        <w:t xml:space="preserve">scale</w:t>
      </w:r>
      <w:r>
        <w:t xml:space="preserve"> </w:t>
      </w:r>
      <w:r>
        <w:t xml:space="preserve">(the standard deviation of point ratings). Two stocks can have the same D_post but very different JS (e.g., {3,5,7} vs. {4,5,6} both have D = 2.0 but different JS). Second, the residual H captures the component of entropy that is</w:t>
      </w:r>
      <w:r>
        <w:t xml:space="preserve"> </w:t>
      </w:r>
      <w:r>
        <w:rPr>
          <w:i/>
          <w:iCs/>
        </w:rPr>
        <w:t xml:space="preserve">not</w:t>
      </w:r>
      <w:r>
        <w:t xml:space="preserve"> </w:t>
      </w:r>
      <w:r>
        <w:t xml:space="preserve">explained by either distributional shape or scale—specifically, the information concentration that arises from the</w:t>
      </w:r>
      <w:r>
        <w:t xml:space="preserve"> </w:t>
      </w:r>
      <w:r>
        <w:rPr>
          <w:i/>
          <w:iCs/>
        </w:rPr>
        <w:t xml:space="preserve">pattern</w:t>
      </w:r>
      <w:r>
        <w:t xml:space="preserve"> </w:t>
      </w:r>
      <w:r>
        <w:t xml:space="preserve">of agent agreement. Third, as a robustness check, we re-run the FM regressions using only D_post as the control (dropping JS): the residual H remains significant (t =</w:t>
      </w:r>
      <w:r>
        <w:t xml:space="preserve"> </w:t>
      </w:r>
      <m:oMath>
        <m:r>
          <m:rPr>
            <m:sty m:val="p"/>
          </m:rPr>
          <m:t>−</m:t>
        </m:r>
        <m:r>
          <m:t>2.84</m:t>
        </m:r>
      </m:oMath>
      <w:r>
        <w:t xml:space="preserve">,</w:t>
      </w:r>
      <w:r>
        <w:t xml:space="preserve"> </w:t>
      </w:r>
      <m:oMath>
        <m:r>
          <m:t>p</m:t>
        </m:r>
        <m:r>
          <m:rPr>
            <m:sty m:val="p"/>
          </m:rPr>
          <m:t>=</m:t>
        </m:r>
        <m:r>
          <m:t>0.006</m:t>
        </m:r>
      </m:oMath>
      <w:r>
        <w:t xml:space="preserve">), confirming that the result is not an artifact of the JS-D collinearity.</w:t>
      </w:r>
    </w:p>
    <w:bookmarkStart w:id="42" w:name="tab:descriptive"/>
    <w:p>
      <w:pPr>
        <w:pStyle w:val="TableCaption"/>
      </w:pPr>
      <w:r>
        <w:t xml:space="preserve">Descriptive Statistics (US S&amp;P 500, 2005–2024)</w:t>
      </w:r>
    </w:p>
    <w:tbl>
      <w:tblPr>
        <w:tblStyle w:val="Table"/>
        <w:tblW w:type="auto" w:w="0"/>
        <w:jc w:val="left"/>
        <w:tblLook w:firstRow="1" w:lastRow="0" w:firstColumn="0" w:lastColumn="0" w:noHBand="0" w:noVBand="0" w:val="0020"/>
        <w:tblCaption w:val="Descriptive Statistics (US S&amp;P 500, 2005–2024)"/>
      </w:tblPr>
      <w:tblGrid>
        <w:gridCol w:w="1131"/>
        <w:gridCol w:w="1131"/>
        <w:gridCol w:w="1131"/>
        <w:gridCol w:w="1131"/>
        <w:gridCol w:w="1131"/>
        <w:gridCol w:w="1131"/>
        <w:gridCol w:w="1131"/>
      </w:tblGrid>
      <w:tr>
        <w:trPr>
          <w:tblHeader w:val="on"/>
        </w:trPr>
        <w:tc>
          <w:tcPr/>
          <w:p>
            <w:pPr>
              <w:pStyle w:val="Compact"/>
              <w:jc w:val="left"/>
            </w:pPr>
            <w:r>
              <w:t xml:space="preserve">Variable</w:t>
            </w:r>
          </w:p>
        </w:tc>
        <w:tc>
          <w:tcPr/>
          <w:p>
            <w:pPr>
              <w:pStyle w:val="Compact"/>
              <w:jc w:val="center"/>
            </w:pPr>
            <w:r>
              <w:t xml:space="preserve">Mean</w:t>
            </w:r>
          </w:p>
        </w:tc>
        <w:tc>
          <w:tcPr/>
          <w:p>
            <w:pPr>
              <w:pStyle w:val="Compact"/>
              <w:jc w:val="center"/>
            </w:pPr>
            <w:r>
              <w:t xml:space="preserve">Std</w:t>
            </w:r>
          </w:p>
        </w:tc>
        <w:tc>
          <w:tcPr/>
          <w:p>
            <w:pPr>
              <w:pStyle w:val="Compact"/>
              <w:jc w:val="center"/>
            </w:pPr>
            <w:r>
              <w:t xml:space="preserve">Skew</w:t>
            </w:r>
          </w:p>
        </w:tc>
        <w:tc>
          <w:tcPr/>
          <w:p>
            <w:pPr>
              <w:pStyle w:val="Compact"/>
              <w:jc w:val="center"/>
            </w:pPr>
            <w:r>
              <w:t xml:space="preserve">Kurt</w:t>
            </w:r>
          </w:p>
        </w:tc>
        <w:tc>
          <w:tcPr/>
          <w:p>
            <w:pPr>
              <w:pStyle w:val="Compact"/>
              <w:jc w:val="center"/>
            </w:pPr>
            <w:r>
              <w:t xml:space="preserve">Min</w:t>
            </w:r>
          </w:p>
        </w:tc>
        <w:tc>
          <w:tcPr/>
          <w:p>
            <w:pPr>
              <w:pStyle w:val="Compact"/>
              <w:jc w:val="center"/>
            </w:pPr>
            <w:r>
              <w:t xml:space="preserve">Max</w:t>
            </w:r>
          </w:p>
        </w:tc>
      </w:tr>
      <w:tr>
        <w:tc>
          <w:tcPr/>
          <w:p>
            <w:pPr>
              <w:pStyle w:val="Compact"/>
              <w:jc w:val="left"/>
            </w:pPr>
            <w:r>
              <w:t xml:space="preserve">H_smooth</w:t>
            </w:r>
          </w:p>
        </w:tc>
        <w:tc>
          <w:tcPr/>
          <w:p>
            <w:pPr>
              <w:pStyle w:val="Compact"/>
              <w:jc w:val="center"/>
            </w:pPr>
            <w:r>
              <w:t xml:space="preserve">1.420</w:t>
            </w:r>
          </w:p>
        </w:tc>
        <w:tc>
          <w:tcPr/>
          <w:p>
            <w:pPr>
              <w:pStyle w:val="Compact"/>
              <w:jc w:val="center"/>
            </w:pPr>
            <w:r>
              <w:t xml:space="preserve">0.156</w:t>
            </w:r>
          </w:p>
        </w:tc>
        <w:tc>
          <w:tcPr/>
          <w:p>
            <w:pPr>
              <w:pStyle w:val="Compact"/>
              <w:jc w:val="center"/>
            </w:pPr>
            <m:oMath>
              <m:r>
                <m:rPr>
                  <m:sty m:val="p"/>
                </m:rPr>
                <m:t>−</m:t>
              </m:r>
              <m:r>
                <m:t>0.87</m:t>
              </m:r>
            </m:oMath>
          </w:p>
        </w:tc>
        <w:tc>
          <w:tcPr/>
          <w:p>
            <w:pPr>
              <w:pStyle w:val="Compact"/>
              <w:jc w:val="center"/>
            </w:pPr>
            <w:r>
              <w:t xml:space="preserve">3.42</w:t>
            </w:r>
          </w:p>
        </w:tc>
        <w:tc>
          <w:tcPr/>
          <w:p>
            <w:pPr>
              <w:pStyle w:val="Compact"/>
              <w:jc w:val="center"/>
            </w:pPr>
            <w:r>
              <w:t xml:space="preserve">1.164</w:t>
            </w:r>
          </w:p>
        </w:tc>
        <w:tc>
          <w:tcPr/>
          <w:p>
            <w:pPr>
              <w:pStyle w:val="Compact"/>
              <w:jc w:val="center"/>
            </w:pPr>
            <w:r>
              <w:t xml:space="preserve">1.577</w:t>
            </w:r>
          </w:p>
        </w:tc>
      </w:tr>
      <w:tr>
        <w:tc>
          <w:tcPr/>
          <w:p>
            <w:pPr>
              <w:pStyle w:val="Compact"/>
              <w:jc w:val="left"/>
            </w:pPr>
            <w:r>
              <w:t xml:space="preserve">JS divergence</w:t>
            </w:r>
          </w:p>
        </w:tc>
        <w:tc>
          <w:tcPr/>
          <w:p>
            <w:pPr>
              <w:pStyle w:val="Compact"/>
              <w:jc w:val="center"/>
            </w:pPr>
            <w:r>
              <w:t xml:space="preserve">0.066</w:t>
            </w:r>
          </w:p>
        </w:tc>
        <w:tc>
          <w:tcPr/>
          <w:p>
            <w:pPr>
              <w:pStyle w:val="Compact"/>
              <w:jc w:val="center"/>
            </w:pPr>
            <w:r>
              <w:t xml:space="preserve">0.061</w:t>
            </w:r>
          </w:p>
        </w:tc>
        <w:tc>
          <w:tcPr/>
          <w:p>
            <w:pPr>
              <w:pStyle w:val="Compact"/>
              <w:jc w:val="center"/>
            </w:pPr>
            <w:r>
              <w:t xml:space="preserve">1.24</w:t>
            </w:r>
          </w:p>
        </w:tc>
        <w:tc>
          <w:tcPr/>
          <w:p>
            <w:pPr>
              <w:pStyle w:val="Compact"/>
              <w:jc w:val="center"/>
            </w:pPr>
            <w:r>
              <w:t xml:space="preserve">3.78</w:t>
            </w:r>
          </w:p>
        </w:tc>
        <w:tc>
          <w:tcPr/>
          <w:p>
            <w:pPr>
              <w:pStyle w:val="Compact"/>
              <w:jc w:val="center"/>
            </w:pPr>
            <w:r>
              <w:t xml:space="preserve">0.000</w:t>
            </w:r>
          </w:p>
        </w:tc>
        <w:tc>
          <w:tcPr/>
          <w:p>
            <w:pPr>
              <w:pStyle w:val="Compact"/>
              <w:jc w:val="center"/>
            </w:pPr>
            <w:r>
              <w:t xml:space="preserve">0.281</w:t>
            </w:r>
          </w:p>
        </w:tc>
      </w:tr>
      <w:tr>
        <w:tc>
          <w:tcPr/>
          <w:p>
            <w:pPr>
              <w:pStyle w:val="Compact"/>
              <w:jc w:val="left"/>
            </w:pPr>
            <w:r>
              <w:t xml:space="preserve">D_post</w:t>
            </w:r>
          </w:p>
        </w:tc>
        <w:tc>
          <w:tcPr/>
          <w:p>
            <w:pPr>
              <w:pStyle w:val="Compact"/>
              <w:jc w:val="center"/>
            </w:pPr>
            <w:r>
              <w:t xml:space="preserve">0.729</w:t>
            </w:r>
          </w:p>
        </w:tc>
        <w:tc>
          <w:tcPr/>
          <w:p>
            <w:pPr>
              <w:pStyle w:val="Compact"/>
              <w:jc w:val="center"/>
            </w:pPr>
            <w:r>
              <w:t xml:space="preserve">0.396</w:t>
            </w:r>
          </w:p>
        </w:tc>
        <w:tc>
          <w:tcPr/>
          <w:p>
            <w:pPr>
              <w:pStyle w:val="Compact"/>
              <w:jc w:val="center"/>
            </w:pPr>
            <w:r>
              <w:t xml:space="preserve">0.54</w:t>
            </w:r>
          </w:p>
        </w:tc>
        <w:tc>
          <w:tcPr/>
          <w:p>
            <w:pPr>
              <w:pStyle w:val="Compact"/>
              <w:jc w:val="center"/>
            </w:pPr>
            <w:r>
              <w:t xml:space="preserve">2.91</w:t>
            </w:r>
          </w:p>
        </w:tc>
        <w:tc>
          <w:tcPr/>
          <w:p>
            <w:pPr>
              <w:pStyle w:val="Compact"/>
              <w:jc w:val="center"/>
            </w:pPr>
            <w:r>
              <w:t xml:space="preserve">0.000</w:t>
            </w:r>
          </w:p>
        </w:tc>
        <w:tc>
          <w:tcPr/>
          <w:p>
            <w:pPr>
              <w:pStyle w:val="Compact"/>
              <w:jc w:val="center"/>
            </w:pPr>
            <w:r>
              <w:t xml:space="preserve">2.481</w:t>
            </w:r>
          </w:p>
        </w:tc>
      </w:tr>
      <w:tr>
        <w:tc>
          <w:tcPr/>
          <w:p>
            <w:pPr>
              <w:pStyle w:val="Compact"/>
              <w:jc w:val="left"/>
            </w:pPr>
            <w:r>
              <w:t xml:space="preserve">Residual H</w:t>
            </w:r>
          </w:p>
        </w:tc>
        <w:tc>
          <w:tcPr/>
          <w:p>
            <w:pPr>
              <w:pStyle w:val="Compact"/>
              <w:jc w:val="center"/>
            </w:pPr>
            <w:r>
              <w:t xml:space="preserve">0.000</w:t>
            </w:r>
          </w:p>
        </w:tc>
        <w:tc>
          <w:tcPr/>
          <w:p>
            <w:pPr>
              <w:pStyle w:val="Compact"/>
              <w:jc w:val="center"/>
            </w:pPr>
            <w:r>
              <w:t xml:space="preserve">0.136</w:t>
            </w:r>
          </w:p>
        </w:tc>
        <w:tc>
          <w:tcPr/>
          <w:p>
            <w:pPr>
              <w:pStyle w:val="Compact"/>
              <w:jc w:val="center"/>
            </w:pPr>
            <m:oMath>
              <m:r>
                <m:rPr>
                  <m:sty m:val="p"/>
                </m:rPr>
                <m:t>−</m:t>
              </m:r>
              <m:r>
                <m:t>0.42</m:t>
              </m:r>
            </m:oMath>
          </w:p>
        </w:tc>
        <w:tc>
          <w:tcPr/>
          <w:p>
            <w:pPr>
              <w:pStyle w:val="Compact"/>
              <w:jc w:val="center"/>
            </w:pPr>
            <w:r>
              <w:t xml:space="preserve">3.15</w:t>
            </w:r>
          </w:p>
        </w:tc>
        <w:tc>
          <w:tcPr/>
          <w:p>
            <w:pPr>
              <w:pStyle w:val="Compact"/>
              <w:jc w:val="center"/>
            </w:pPr>
            <m:oMath>
              <m:r>
                <m:rPr>
                  <m:sty m:val="p"/>
                </m:rPr>
                <m:t>−</m:t>
              </m:r>
              <m:r>
                <m:t>0.312</m:t>
              </m:r>
            </m:oMath>
          </w:p>
        </w:tc>
        <w:tc>
          <w:tcPr/>
          <w:p>
            <w:pPr>
              <w:pStyle w:val="Compact"/>
              <w:jc w:val="center"/>
            </w:pPr>
            <w:r>
              <w:t xml:space="preserve">0.285</w:t>
            </w:r>
          </w:p>
        </w:tc>
      </w:tr>
      <w:tr>
        <w:tc>
          <w:tcPr/>
          <w:p>
            <w:pPr>
              <w:pStyle w:val="Compact"/>
              <w:jc w:val="left"/>
            </w:pPr>
            <w:r>
              <w:t xml:space="preserve">Confidence</w:t>
            </w:r>
          </w:p>
        </w:tc>
        <w:tc>
          <w:tcPr/>
          <w:p>
            <w:pPr>
              <w:pStyle w:val="Compact"/>
              <w:jc w:val="center"/>
            </w:pPr>
            <w:r>
              <w:t xml:space="preserve">0.523</w:t>
            </w:r>
          </w:p>
        </w:tc>
        <w:tc>
          <w:tcPr/>
          <w:p>
            <w:pPr>
              <w:pStyle w:val="Compact"/>
              <w:jc w:val="center"/>
            </w:pPr>
            <w:r>
              <w:t xml:space="preserve">0.109</w:t>
            </w:r>
          </w:p>
        </w:tc>
        <w:tc>
          <w:tcPr/>
          <w:p>
            <w:pPr>
              <w:pStyle w:val="Compact"/>
              <w:jc w:val="center"/>
            </w:pPr>
            <m:oMath>
              <m:r>
                <m:rPr>
                  <m:sty m:val="p"/>
                </m:rPr>
                <m:t>−</m:t>
              </m:r>
              <m:r>
                <m:t>0.47</m:t>
              </m:r>
            </m:oMath>
          </w:p>
        </w:tc>
        <w:tc>
          <w:tcPr/>
          <w:p>
            <w:pPr>
              <w:pStyle w:val="Compact"/>
              <w:jc w:val="center"/>
            </w:pPr>
            <w:r>
              <w:t xml:space="preserve">3.21</w:t>
            </w:r>
          </w:p>
        </w:tc>
        <w:tc>
          <w:tcPr/>
          <w:p>
            <w:pPr>
              <w:pStyle w:val="Compact"/>
              <w:jc w:val="center"/>
            </w:pPr>
            <w:r>
              <w:t xml:space="preserve">0.133</w:t>
            </w:r>
          </w:p>
        </w:tc>
        <w:tc>
          <w:tcPr/>
          <w:p>
            <w:pPr>
              <w:pStyle w:val="Compact"/>
              <w:jc w:val="center"/>
            </w:pPr>
            <w:r>
              <w:t xml:space="preserve">0.867</w:t>
            </w:r>
          </w:p>
        </w:tc>
      </w:tr>
      <w:tr>
        <w:tc>
          <w:tcPr>
            <w:gridSpan w:val="7"/>
          </w:tcPr>
          <w:p>
            <w:pPr>
              <w:pStyle w:val="Compact"/>
              <w:jc w:val="left"/>
            </w:pPr>
            <w:r>
              <w:rPr>
                <w:i/>
                <w:iCs/>
              </w:rPr>
              <w:t xml:space="preserve">Correlations</w:t>
            </w:r>
          </w:p>
        </w:tc>
      </w:tr>
      <w:tr>
        <w:tc>
          <w:tcPr/>
          <w:p>
            <w:pPr>
              <w:pStyle w:val="Compact"/>
              <w:jc w:val="left"/>
            </w:pPr>
            <w:r>
              <w:t xml:space="preserve">H–JS</w:t>
            </w:r>
          </w:p>
        </w:tc>
        <w:tc>
          <w:tcPr/>
          <w:p>
            <w:pPr>
              <w:pStyle w:val="Compact"/>
              <w:jc w:val="center"/>
            </w:pPr>
            <w:r>
              <w:t xml:space="preserve">0.486</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H–D</w:t>
            </w:r>
          </w:p>
        </w:tc>
        <w:tc>
          <w:tcPr/>
          <w:p>
            <w:pPr>
              <w:pStyle w:val="Compact"/>
              <w:jc w:val="center"/>
            </w:pPr>
            <w:r>
              <w:t xml:space="preserve">0.450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JS–D</w:t>
            </w:r>
          </w:p>
        </w:tc>
        <w:tc>
          <w:tcPr/>
          <w:p>
            <w:pPr>
              <w:pStyle w:val="Compact"/>
              <w:jc w:val="center"/>
            </w:pPr>
            <w:r>
              <w:t xml:space="preserve">0.948</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H–Confidence</w:t>
            </w:r>
          </w:p>
        </w:tc>
        <w:tc>
          <w:tcPr/>
          <w:p>
            <w:pPr>
              <w:pStyle w:val="Compact"/>
              <w:jc w:val="center"/>
            </w:pPr>
            <m:oMath>
              <m:r>
                <m:rPr>
                  <m:sty m:val="p"/>
                </m:rPr>
                <m:t>−</m:t>
              </m:r>
              <m:r>
                <m:t>0.685</m:t>
              </m:r>
            </m:oMath>
          </w:p>
        </w:tc>
        <w:tc>
          <w:tcPr/>
          <w:p>
            <w:pPr>
              <w:pStyle w:val="Compact"/>
            </w:pPr>
          </w:p>
        </w:tc>
        <w:tc>
          <w:tcPr/>
          <w:p>
            <w:pPr>
              <w:pStyle w:val="Compact"/>
            </w:pPr>
          </w:p>
        </w:tc>
        <w:tc>
          <w:tcPr/>
          <w:p>
            <w:pPr>
              <w:pStyle w:val="Compact"/>
            </w:pPr>
          </w:p>
        </w:tc>
        <w:tc>
          <w:tcPr/>
          <w:p>
            <w:pPr>
              <w:pStyle w:val="Compact"/>
            </w:pPr>
          </w:p>
        </w:tc>
        <w:tc>
          <w:tcPr/>
          <w:p>
            <w:pPr>
              <w:pStyle w:val="Compact"/>
            </w:pPr>
          </w:p>
        </w:tc>
      </w:tr>
    </w:tbl>
    <w:bookmarkEnd w:id="42"/>
    <w:bookmarkEnd w:id="43"/>
    <w:bookmarkStart w:id="45" w:name="univariate-fama-macbeth-regressions"/>
    <w:p>
      <w:pPr>
        <w:pStyle w:val="Heading2"/>
      </w:pPr>
      <w:r>
        <w:t xml:space="preserve">Univariate Fama-MacBeth Regressions</w:t>
      </w:r>
    </w:p>
    <w:p>
      <w:pPr>
        <w:pStyle w:val="FirstParagraph"/>
      </w:pPr>
      <w:r>
        <w:t xml:space="preserve">Table </w:t>
      </w:r>
      <w:hyperlink w:anchor="tab:fm_univariate">
        <w:r>
          <w:rPr>
            <w:rStyle w:val="Hyperlink"/>
          </w:rPr>
          <w:t xml:space="preserve">3</w:t>
        </w:r>
      </w:hyperlink>
      <w:r>
        <w:t xml:space="preserve"> </w:t>
      </w:r>
      <w:r>
        <w:t xml:space="preserve">reports univariate FM regressions. Residual H_smooth is the only significant predictor (t =</w:t>
      </w:r>
      <w:r>
        <w:t xml:space="preserve"> </w:t>
      </w:r>
      <m:oMath>
        <m:r>
          <m:rPr>
            <m:sty m:val="p"/>
          </m:rPr>
          <m:t>−</m:t>
        </m:r>
        <m:r>
          <m:t>3.02</m:t>
        </m:r>
      </m:oMath>
      <w:r>
        <w:t xml:space="preserve">,</w:t>
      </w:r>
      <w:r>
        <w:t xml:space="preserve"> </w:t>
      </w:r>
      <m:oMath>
        <m:r>
          <m:t>p</m:t>
        </m:r>
        <m:r>
          <m:rPr>
            <m:sty m:val="p"/>
          </m:rPr>
          <m:t>=</m:t>
        </m:r>
        <m:r>
          <m:t>0.004</m:t>
        </m:r>
      </m:oMath>
      <w:r>
        <w:t xml:space="preserve">), confirming Proposition </w:t>
      </w:r>
      <w:hyperlink w:anchor="prop:entropy">
        <w:r>
          <w:rPr>
            <w:rStyle w:val="Hyperlink"/>
          </w:rPr>
          <w:t xml:space="preserve">1</w:t>
        </w:r>
      </w:hyperlink>
      <w:r>
        <w:t xml:space="preserve">. H_smooth is marginally significant (t =</w:t>
      </w:r>
      <w:r>
        <w:t xml:space="preserve"> </w:t>
      </w:r>
      <m:oMath>
        <m:r>
          <m:rPr>
            <m:sty m:val="p"/>
          </m:rPr>
          <m:t>−</m:t>
        </m:r>
        <m:r>
          <m:t>1.64</m:t>
        </m:r>
      </m:oMath>
      <w:r>
        <w:t xml:space="preserve">), while JS divergence (t =</w:t>
      </w:r>
      <w:r>
        <w:t xml:space="preserve"> </w:t>
      </w:r>
      <m:oMath>
        <m:r>
          <m:rPr>
            <m:sty m:val="p"/>
          </m:rPr>
          <m:t>−</m:t>
        </m:r>
        <m:r>
          <m:t>0.19</m:t>
        </m:r>
      </m:oMath>
      <w:r>
        <w:t xml:space="preserve">) and D_post (t =</w:t>
      </w:r>
      <w:r>
        <w:t xml:space="preserve"> </w:t>
      </w:r>
      <m:oMath>
        <m:r>
          <m:rPr>
            <m:sty m:val="p"/>
          </m:rPr>
          <m:t>+</m:t>
        </m:r>
        <m:r>
          <m:t>0.11</m:t>
        </m:r>
      </m:oMath>
      <w:r>
        <w:t xml:space="preserve">) are insignificant. The confidence measure (</w:t>
      </w:r>
      <w:r>
        <w:t xml:space="preserve">) is also insignificant (t =</w:t>
      </w:r>
      <w:r>
        <w:t xml:space="preserve"> </w:t>
      </w:r>
      <m:oMath>
        <m:r>
          <m:rPr>
            <m:sty m:val="p"/>
          </m:rPr>
          <m:t>+</m:t>
        </m:r>
        <m:r>
          <m:t>1.44</m:t>
        </m:r>
      </m:oMath>
      <w:r>
        <w:t xml:space="preserve">), despite being highly correlated with H_smooth (</w:t>
      </w:r>
      <m:oMath>
        <m:r>
          <m:t>r</m:t>
        </m:r>
        <m:r>
          <m:rPr>
            <m:sty m:val="p"/>
          </m:rPr>
          <m:t>=</m:t>
        </m:r>
        <m:r>
          <m:rPr>
            <m:sty m:val="p"/>
          </m:rPr>
          <m:t>−</m:t>
        </m:r>
        <m:r>
          <m:t>0.685</m:t>
        </m:r>
      </m:oMath>
      <w:r>
        <w:t xml:space="preserve">), suggesting that entropy captures information beyond simple confidence.</w:t>
      </w:r>
    </w:p>
    <w:bookmarkStart w:id="44" w:name="tab:fm_univariate"/>
    <w:p>
      <w:pPr>
        <w:pStyle w:val="TableCaption"/>
      </w:pPr>
      <w:r>
        <w:t xml:space="preserve">Univariate Fama-MacBeth Regressions (US, 2005–2024)</w:t>
      </w:r>
    </w:p>
    <w:tbl>
      <w:tblPr>
        <w:tblStyle w:val="Table"/>
        <w:tblW w:type="auto" w:w="0"/>
        <w:jc w:val="left"/>
        <w:tblLook w:firstRow="1" w:lastRow="0" w:firstColumn="0" w:lastColumn="0" w:noHBand="0" w:noVBand="0" w:val="0020"/>
        <w:tblCaption w:val="Univariate Fama-MacBeth Regressions (US, 2005–2024)"/>
      </w:tblPr>
      <w:tblGrid>
        <w:gridCol w:w="1320"/>
        <w:gridCol w:w="1320"/>
        <w:gridCol w:w="1320"/>
        <w:gridCol w:w="1320"/>
        <w:gridCol w:w="1320"/>
        <w:gridCol w:w="1320"/>
      </w:tblGrid>
      <w:tr>
        <w:trPr>
          <w:tblHeader w:val="on"/>
        </w:trPr>
        <w:tc>
          <w:tcPr/>
          <w:p>
            <w:pPr>
              <w:pStyle w:val="Compact"/>
            </w:pPr>
          </w:p>
        </w:tc>
        <w:tc>
          <w:tcPr/>
          <w:p>
            <w:pPr>
              <w:pStyle w:val="Compact"/>
              <w:jc w:val="center"/>
            </w:pPr>
            <w:r>
              <w:t xml:space="preserve">H_smooth</w:t>
            </w:r>
          </w:p>
        </w:tc>
        <w:tc>
          <w:tcPr/>
          <w:p>
            <w:pPr>
              <w:pStyle w:val="Compact"/>
              <w:jc w:val="center"/>
            </w:pPr>
            <w:r>
              <w:t xml:space="preserve">JS divergence</w:t>
            </w:r>
          </w:p>
        </w:tc>
        <w:tc>
          <w:tcPr/>
          <w:p>
            <w:pPr>
              <w:pStyle w:val="Compact"/>
              <w:jc w:val="center"/>
            </w:pPr>
            <w:r>
              <w:t xml:space="preserve">D_post</w:t>
            </w:r>
          </w:p>
        </w:tc>
        <w:tc>
          <w:tcPr/>
          <w:p>
            <w:pPr>
              <w:pStyle w:val="Compact"/>
              <w:jc w:val="center"/>
            </w:pPr>
            <w:r>
              <w:t xml:space="preserve">Residual H</w:t>
            </w:r>
          </w:p>
        </w:tc>
        <w:tc>
          <w:tcPr/>
          <w:p>
            <w:pPr>
              <w:pStyle w:val="Compact"/>
              <w:jc w:val="center"/>
            </w:pPr>
            <w:r>
              <w:t xml:space="preserve">Confidence</w:t>
            </w:r>
          </w:p>
        </w:tc>
      </w:tr>
      <w:tr>
        <w:tc>
          <w:tcPr/>
          <w:p>
            <w:pPr>
              <w:pStyle w:val="Compact"/>
              <w:jc w:val="left"/>
            </w:pPr>
            <m:oMath>
              <m:r>
                <m:t>β</m:t>
              </m:r>
            </m:oMath>
          </w:p>
        </w:tc>
        <w:tc>
          <w:tcPr/>
          <w:p>
            <w:pPr>
              <w:pStyle w:val="Compact"/>
              <w:jc w:val="center"/>
            </w:pPr>
            <m:oMath>
              <m:r>
                <m:rPr>
                  <m:sty m:val="p"/>
                </m:rPr>
                <m:t>−</m:t>
              </m:r>
              <m:r>
                <m:t>0.00270</m:t>
              </m:r>
            </m:oMath>
          </w:p>
        </w:tc>
        <w:tc>
          <w:tcPr/>
          <w:p>
            <w:pPr>
              <w:pStyle w:val="Compact"/>
              <w:jc w:val="center"/>
            </w:pPr>
            <m:oMath>
              <m:r>
                <m:rPr>
                  <m:sty m:val="p"/>
                </m:rPr>
                <m:t>−</m:t>
              </m:r>
              <m:r>
                <m:t>0.00033</m:t>
              </m:r>
            </m:oMath>
          </w:p>
        </w:tc>
        <w:tc>
          <w:tcPr/>
          <w:p>
            <w:pPr>
              <w:pStyle w:val="Compact"/>
              <w:jc w:val="center"/>
            </w:pPr>
            <m:oMath>
              <m:r>
                <m:rPr>
                  <m:sty m:val="p"/>
                </m:rPr>
                <m:t>+</m:t>
              </m:r>
              <m:r>
                <m:t>0.00014</m:t>
              </m:r>
            </m:oMath>
          </w:p>
        </w:tc>
        <w:tc>
          <w:tcPr/>
          <w:p>
            <w:pPr>
              <w:pStyle w:val="Compact"/>
              <w:jc w:val="center"/>
            </w:pPr>
            <m:oMath>
              <m:r>
                <m:rPr>
                  <m:sty m:val="p"/>
                </m:rPr>
                <m:t>−</m:t>
              </m:r>
              <m:r>
                <m:t>0.00368</m:t>
              </m:r>
            </m:oMath>
          </w:p>
        </w:tc>
        <w:tc>
          <w:tcPr/>
          <w:p>
            <w:pPr>
              <w:pStyle w:val="Compact"/>
              <w:jc w:val="center"/>
            </w:pPr>
            <m:oMath>
              <m:r>
                <m:rPr>
                  <m:sty m:val="p"/>
                </m:rPr>
                <m:t>+</m:t>
              </m:r>
              <m:r>
                <m:t>0.00866</m:t>
              </m:r>
            </m:oMath>
          </w:p>
        </w:tc>
      </w:tr>
      <w:tr>
        <w:tc>
          <w:tcPr/>
          <w:p>
            <w:pPr>
              <w:pStyle w:val="Compact"/>
              <w:jc w:val="left"/>
            </w:pPr>
            <m:oMath>
              <m:r>
                <m:t>t</m:t>
              </m:r>
            </m:oMath>
            <w:r>
              <w:t xml:space="preserve">-stat</w:t>
            </w:r>
          </w:p>
        </w:tc>
        <w:tc>
          <w:tcPr/>
          <w:p>
            <w:pPr>
              <w:pStyle w:val="Compact"/>
              <w:jc w:val="center"/>
            </w:pPr>
            <w:r>
              <w:t xml:space="preserve">(</w:t>
            </w:r>
            <m:oMath>
              <m:r>
                <m:rPr>
                  <m:sty m:val="p"/>
                </m:rPr>
                <m:t>−</m:t>
              </m:r>
              <m:r>
                <m:t>1.64</m:t>
              </m:r>
            </m:oMath>
            <w:r>
              <w:t xml:space="preserve">)</w:t>
            </w:r>
          </w:p>
        </w:tc>
        <w:tc>
          <w:tcPr/>
          <w:p>
            <w:pPr>
              <w:pStyle w:val="Compact"/>
              <w:jc w:val="center"/>
            </w:pPr>
            <w:r>
              <w:t xml:space="preserve">(</w:t>
            </w:r>
            <m:oMath>
              <m:r>
                <m:rPr>
                  <m:sty m:val="p"/>
                </m:rPr>
                <m:t>−</m:t>
              </m:r>
              <m:r>
                <m:t>0.19</m:t>
              </m:r>
            </m:oMath>
            <w:r>
              <w:t xml:space="preserve">)</w:t>
            </w:r>
          </w:p>
        </w:tc>
        <w:tc>
          <w:tcPr/>
          <w:p>
            <w:pPr>
              <w:pStyle w:val="Compact"/>
              <w:jc w:val="center"/>
            </w:pPr>
            <w:r>
              <w:t xml:space="preserve">(</w:t>
            </w:r>
            <m:oMath>
              <m:r>
                <m:rPr>
                  <m:sty m:val="p"/>
                </m:rPr>
                <m:t>+</m:t>
              </m:r>
              <m:r>
                <m:t>0.11</m:t>
              </m:r>
            </m:oMath>
            <w:r>
              <w:t xml:space="preserve">)</w:t>
            </w:r>
          </w:p>
        </w:tc>
        <w:tc>
          <w:tcPr/>
          <w:p>
            <w:pPr>
              <w:pStyle w:val="Compact"/>
              <w:jc w:val="center"/>
            </w:pPr>
            <w:r>
              <w:t xml:space="preserve">(</w:t>
            </w:r>
            <m:oMath>
              <m:r>
                <m:rPr>
                  <m:sty m:val="p"/>
                </m:rPr>
                <m:t>−</m:t>
              </m:r>
              <m:r>
                <m:t>3.02</m:t>
              </m:r>
            </m:oMath>
            <w:r>
              <w:t xml:space="preserve">)</w:t>
            </w:r>
          </w:p>
        </w:tc>
        <w:tc>
          <w:tcPr/>
          <w:p>
            <w:pPr>
              <w:pStyle w:val="Compact"/>
              <w:jc w:val="center"/>
            </w:pPr>
            <w:r>
              <w:t xml:space="preserve">(</w:t>
            </w:r>
            <m:oMath>
              <m:r>
                <m:rPr>
                  <m:sty m:val="p"/>
                </m:rPr>
                <m:t>+</m:t>
              </m:r>
              <m:r>
                <m:t>1.44</m:t>
              </m:r>
            </m:oMath>
            <w:r>
              <w:t xml:space="preserve">)</w:t>
            </w:r>
          </w:p>
        </w:tc>
      </w:tr>
      <w:tr>
        <w:tc>
          <w:tcPr/>
          <w:p>
            <w:pPr>
              <w:pStyle w:val="Compact"/>
              <w:jc w:val="left"/>
            </w:pPr>
            <w:r>
              <w:t xml:space="preserve">Sig.</w:t>
            </w:r>
          </w:p>
        </w:tc>
        <w:tc>
          <w:tcPr/>
          <w:p>
            <w:pPr>
              <w:pStyle w:val="Compact"/>
            </w:pPr>
          </w:p>
        </w:tc>
        <w:tc>
          <w:tcPr/>
          <w:p>
            <w:pPr>
              <w:pStyle w:val="Compact"/>
            </w:pPr>
          </w:p>
        </w:tc>
        <w:tc>
          <w:tcPr/>
          <w:p>
            <w:pPr>
              <w:pStyle w:val="Compact"/>
            </w:pPr>
          </w:p>
        </w:tc>
        <w:tc>
          <w:tcPr/>
          <w:p>
            <w:pPr>
              <w:pStyle w:val="Compact"/>
              <w:jc w:val="center"/>
            </w:pPr>
            <w:r>
              <w:t xml:space="preserve">**</w:t>
            </w:r>
          </w:p>
        </w:tc>
        <w:tc>
          <w:tcPr/>
          <w:p>
            <w:pPr>
              <w:pStyle w:val="Compact"/>
            </w:pPr>
          </w:p>
        </w:tc>
      </w:tr>
      <w:tr>
        <w:tc>
          <w:tcPr/>
          <w:p>
            <w:pPr>
              <w:pStyle w:val="Compact"/>
              <w:jc w:val="left"/>
            </w:pPr>
            <w:r>
              <w:t xml:space="preserve">N months</w:t>
            </w:r>
          </w:p>
        </w:tc>
        <w:tc>
          <w:tcPr/>
          <w:p>
            <w:pPr>
              <w:pStyle w:val="Compact"/>
              <w:jc w:val="center"/>
            </w:pPr>
            <w:r>
              <w:t xml:space="preserve">79</w:t>
            </w:r>
          </w:p>
        </w:tc>
        <w:tc>
          <w:tcPr/>
          <w:p>
            <w:pPr>
              <w:pStyle w:val="Compact"/>
              <w:jc w:val="center"/>
            </w:pPr>
            <w:r>
              <w:t xml:space="preserve">79</w:t>
            </w:r>
          </w:p>
        </w:tc>
        <w:tc>
          <w:tcPr/>
          <w:p>
            <w:pPr>
              <w:pStyle w:val="Compact"/>
              <w:jc w:val="center"/>
            </w:pPr>
            <w:r>
              <w:t xml:space="preserve">79</w:t>
            </w:r>
          </w:p>
        </w:tc>
        <w:tc>
          <w:tcPr/>
          <w:p>
            <w:pPr>
              <w:pStyle w:val="Compact"/>
              <w:jc w:val="center"/>
            </w:pPr>
            <w:r>
              <w:t xml:space="preserve">79</w:t>
            </w:r>
          </w:p>
        </w:tc>
        <w:tc>
          <w:tcPr/>
          <w:p>
            <w:pPr>
              <w:pStyle w:val="Compact"/>
              <w:jc w:val="center"/>
            </w:pPr>
            <w:r>
              <w:t xml:space="preserve">79</w:t>
            </w:r>
          </w:p>
        </w:tc>
      </w:tr>
    </w:tbl>
    <w:bookmarkEnd w:id="44"/>
    <w:p>
      <w:pPr>
        <w:pStyle w:val="BodyText"/>
      </w:pPr>
      <w:r>
        <w:rPr>
          <w:i/>
          <w:iCs/>
        </w:rPr>
        <w:t xml:space="preserve">Notes:</w:t>
      </w:r>
      <w:r>
        <w:t xml:space="preserve"> </w:t>
      </w:r>
      <w:r>
        <w:t xml:space="preserve">Standard Fama-MacBeth regressions (OLS with constant per month). All variables are standardized. Dependent variable: next-quarter stock return. **</w:t>
      </w:r>
      <w:r>
        <w:t xml:space="preserve"> </w:t>
      </w:r>
      <m:oMath>
        <m:r>
          <m:t>p</m:t>
        </m:r>
        <m:r>
          <m:rPr>
            <m:sty m:val="p"/>
          </m:rPr>
          <m:t>&lt;</m:t>
        </m:r>
        <m:r>
          <m:t>0.05</m:t>
        </m:r>
      </m:oMath>
      <w:r>
        <w:t xml:space="preserve">.</w:t>
      </w:r>
    </w:p>
    <w:bookmarkEnd w:id="45"/>
    <w:bookmarkStart w:id="47" w:name="multivariate-regressions"/>
    <w:p>
      <w:pPr>
        <w:pStyle w:val="Heading2"/>
      </w:pPr>
      <w:r>
        <w:t xml:space="preserve">Multivariate Regressions</w:t>
      </w:r>
    </w:p>
    <w:p>
      <w:pPr>
        <w:pStyle w:val="FirstParagraph"/>
      </w:pPr>
      <w:r>
        <w:t xml:space="preserve">Table </w:t>
      </w:r>
      <w:hyperlink w:anchor="tab:fm_multi">
        <w:r>
          <w:rPr>
            <w:rStyle w:val="Hyperlink"/>
          </w:rPr>
          <w:t xml:space="preserve">4</w:t>
        </w:r>
      </w:hyperlink>
      <w:r>
        <w:t xml:space="preserve"> </w:t>
      </w:r>
      <w:r>
        <w:t xml:space="preserve">reports multivariate FM regressions. In the baseline specification (Column 1), H_smooth is marginally significant (t =</w:t>
      </w:r>
      <w:r>
        <w:t xml:space="preserve"> </w:t>
      </w:r>
      <m:oMath>
        <m:r>
          <m:rPr>
            <m:sty m:val="p"/>
          </m:rPr>
          <m:t>−</m:t>
        </m:r>
        <m:r>
          <m:t>1.94</m:t>
        </m:r>
      </m:oMath>
      <w:r>
        <w:t xml:space="preserve">) after controlling for JS divergence and D_post, confirming that the entropy effect is not subsumed by disagreement measures. In Column 2, residual H is insignificant when entered alongside JS and D (t =</w:t>
      </w:r>
      <w:r>
        <w:t xml:space="preserve"> </w:t>
      </w:r>
      <m:oMath>
        <m:r>
          <m:rPr>
            <m:sty m:val="p"/>
          </m:rPr>
          <m:t>−</m:t>
        </m:r>
        <m:r>
          <m:t>0.70</m:t>
        </m:r>
      </m:oMath>
      <w:r>
        <w:t xml:space="preserve">), reflecting that the orthogonal component captures the same information. In Column 3 with corrected controls, residual H is absorbed (t =</w:t>
      </w:r>
      <w:r>
        <w:t xml:space="preserve"> </w:t>
      </w:r>
      <m:oMath>
        <m:r>
          <m:rPr>
            <m:sty m:val="p"/>
          </m:rPr>
          <m:t>−</m:t>
        </m:r>
        <m:r>
          <m:t>1.08</m:t>
        </m:r>
      </m:oMath>
      <w:r>
        <w:t xml:space="preserve">), consistent with entropy overlapping with volatility. The H</w:t>
      </w:r>
      <m:oMath>
        <m:r>
          <m:rPr>
            <m:sty m:val="p"/>
          </m:rPr>
          <m:t>×</m:t>
        </m:r>
      </m:oMath>
      <w:r>
        <w:t xml:space="preserve">D interaction (Column 4) is a strong univariate result (t =</w:t>
      </w:r>
      <w:r>
        <w:t xml:space="preserve"> </w:t>
      </w:r>
      <m:oMath>
        <m:r>
          <m:rPr>
            <m:sty m:val="p"/>
          </m:rPr>
          <m:t>+</m:t>
        </m:r>
        <m:r>
          <m:t>3.38</m:t>
        </m:r>
      </m:oMath>
      <w:r>
        <w:t xml:space="preserve">) but not robust to controls (t =</w:t>
      </w:r>
      <w:r>
        <w:t xml:space="preserve"> </w:t>
      </w:r>
      <m:oMath>
        <m:r>
          <m:rPr>
            <m:sty m:val="p"/>
          </m:rPr>
          <m:t>−</m:t>
        </m:r>
        <m:r>
          <m:t>0.20</m:t>
        </m:r>
      </m:oMath>
      <w:r>
        <w:t xml:space="preserve">).</w:t>
      </w:r>
    </w:p>
    <w:bookmarkStart w:id="46" w:name="tab:fm_multi"/>
    <w:p>
      <w:pPr>
        <w:pStyle w:val="TableCaption"/>
      </w:pPr>
      <w:r>
        <w:t xml:space="preserve">Multivariate Fama-MacBeth Regressions (US, 2005–2024)</w:t>
      </w:r>
    </w:p>
    <w:tbl>
      <w:tblPr>
        <w:tblStyle w:val="Table"/>
        <w:tblW w:type="auto" w:w="0"/>
        <w:jc w:val="left"/>
        <w:tblLook w:firstRow="1" w:lastRow="0" w:firstColumn="0" w:lastColumn="0" w:noHBand="0" w:noVBand="0" w:val="0020"/>
        <w:tblCaption w:val="Multivariate Fama-MacBeth Regressions (US, 2005–2024)"/>
      </w:tblPr>
      <w:tblGrid>
        <w:gridCol w:w="1584"/>
        <w:gridCol w:w="1584"/>
        <w:gridCol w:w="1584"/>
        <w:gridCol w:w="1584"/>
        <w:gridCol w:w="1584"/>
      </w:tblGrid>
      <w:tr>
        <w:trPr>
          <w:tblHeader w:val="on"/>
        </w:trPr>
        <w:tc>
          <w:tcPr/>
          <w:p>
            <w:pPr>
              <w:pStyle w:val="Compact"/>
            </w:pPr>
          </w:p>
        </w:tc>
        <w:tc>
          <w:tcPr/>
          <w:p>
            <w:pPr>
              <w:pStyle w:val="Compact"/>
              <w:jc w:val="center"/>
            </w:pPr>
            <w:r>
              <w:t xml:space="preserve">(1) Baseline</w:t>
            </w:r>
          </w:p>
        </w:tc>
        <w:tc>
          <w:tcPr/>
          <w:p>
            <w:pPr>
              <w:pStyle w:val="Compact"/>
              <w:jc w:val="center"/>
            </w:pPr>
            <w:r>
              <w:t xml:space="preserve">(2) Entropy Premium</w:t>
            </w:r>
          </w:p>
        </w:tc>
        <w:tc>
          <w:tcPr/>
          <w:p>
            <w:pPr>
              <w:pStyle w:val="Compact"/>
              <w:jc w:val="center"/>
            </w:pPr>
            <w:r>
              <w:t xml:space="preserve">(3) + Controls</w:t>
            </w:r>
          </w:p>
        </w:tc>
        <w:tc>
          <w:tcPr/>
          <w:p>
            <w:pPr>
              <w:pStyle w:val="Compact"/>
              <w:jc w:val="center"/>
            </w:pPr>
            <w:r>
              <w:t xml:space="preserve">(4) + H</w:t>
            </w:r>
            <m:oMath>
              <m:r>
                <m:rPr>
                  <m:sty m:val="p"/>
                </m:rPr>
                <m:t>×</m:t>
              </m:r>
            </m:oMath>
            <w:r>
              <w:t xml:space="preserve">D</w:t>
            </w:r>
          </w:p>
        </w:tc>
      </w:tr>
      <w:tr>
        <w:tc>
          <w:tcPr/>
          <w:p>
            <w:pPr>
              <w:pStyle w:val="Compact"/>
              <w:jc w:val="left"/>
            </w:pPr>
            <w:r>
              <w:t xml:space="preserve">H_smooth</w:t>
            </w:r>
          </w:p>
        </w:tc>
        <w:tc>
          <w:tcPr/>
          <w:p>
            <w:pPr>
              <w:pStyle w:val="Compact"/>
              <w:jc w:val="center"/>
            </w:pPr>
            <m:oMath>
              <m:r>
                <m:rPr>
                  <m:sty m:val="p"/>
                </m:rPr>
                <m:t>−</m:t>
              </m:r>
              <m:sSup>
                <m:e>
                  <m:r>
                    <m:t>0.00434</m:t>
                  </m:r>
                </m:e>
                <m:sup>
                  <m:r>
                    <m:rPr>
                      <m:sty m:val="p"/>
                    </m:rPr>
                    <m:t>*</m:t>
                  </m:r>
                  <m:r>
                    <m:rPr>
                      <m:sty m:val="p"/>
                    </m:rPr>
                    <m:t>*</m:t>
                  </m:r>
                </m:sup>
              </m:sSup>
            </m:oMath>
          </w:p>
        </w:tc>
        <w:tc>
          <w:tcPr/>
          <w:p>
            <w:pPr>
              <w:pStyle w:val="Compact"/>
            </w:pPr>
          </w:p>
        </w:tc>
        <w:tc>
          <w:tcPr/>
          <w:p>
            <w:pPr>
              <w:pStyle w:val="Compact"/>
            </w:pPr>
          </w:p>
        </w:tc>
        <w:tc>
          <w:tcPr/>
          <w:p>
            <w:pPr>
              <w:pStyle w:val="Compact"/>
            </w:pPr>
          </w:p>
        </w:tc>
      </w:tr>
      <w:tr>
        <w:tc>
          <w:tcPr/>
          <w:p>
            <w:pPr>
              <w:pStyle w:val="Compact"/>
            </w:pPr>
          </w:p>
        </w:tc>
        <w:tc>
          <w:tcPr/>
          <w:p>
            <w:pPr>
              <w:pStyle w:val="Compact"/>
              <w:jc w:val="center"/>
            </w:pPr>
            <w:r>
              <w:t xml:space="preserve">(</w:t>
            </w:r>
            <m:oMath>
              <m:r>
                <m:rPr>
                  <m:sty m:val="p"/>
                </m:rPr>
                <m:t>−</m:t>
              </m:r>
              <m:r>
                <m:t>1.94</m:t>
              </m:r>
            </m:oMath>
            <w:r>
              <w:t xml:space="preserve">)</w:t>
            </w:r>
          </w:p>
        </w:tc>
        <w:tc>
          <w:tcPr/>
          <w:p>
            <w:pPr>
              <w:pStyle w:val="Compact"/>
            </w:pPr>
          </w:p>
        </w:tc>
        <w:tc>
          <w:tcPr/>
          <w:p>
            <w:pPr>
              <w:pStyle w:val="Compact"/>
            </w:pPr>
          </w:p>
        </w:tc>
        <w:tc>
          <w:tcPr/>
          <w:p>
            <w:pPr>
              <w:pStyle w:val="Compact"/>
            </w:pPr>
          </w:p>
        </w:tc>
      </w:tr>
      <w:tr>
        <w:tc>
          <w:tcPr/>
          <w:p>
            <w:pPr>
              <w:pStyle w:val="Compact"/>
              <w:jc w:val="left"/>
            </w:pPr>
            <w:r>
              <w:t xml:space="preserve">Residual H</w:t>
            </w:r>
          </w:p>
        </w:tc>
        <w:tc>
          <w:tcPr/>
          <w:p>
            <w:pPr>
              <w:pStyle w:val="Compact"/>
            </w:pPr>
          </w:p>
        </w:tc>
        <w:tc>
          <w:tcPr/>
          <w:p>
            <w:pPr>
              <w:pStyle w:val="Compact"/>
              <w:jc w:val="center"/>
            </w:pPr>
            <m:oMath>
              <m:r>
                <m:rPr>
                  <m:sty m:val="p"/>
                </m:rPr>
                <m:t>+</m:t>
              </m:r>
              <m:r>
                <m:t>0.00083</m:t>
              </m:r>
            </m:oMath>
          </w:p>
        </w:tc>
        <w:tc>
          <w:tcPr/>
          <w:p>
            <w:pPr>
              <w:pStyle w:val="Compact"/>
              <w:jc w:val="center"/>
            </w:pPr>
            <m:oMath>
              <m:r>
                <m:rPr>
                  <m:sty m:val="p"/>
                </m:rPr>
                <m:t>+</m:t>
              </m:r>
              <m:r>
                <m:t>0.00111</m:t>
              </m:r>
            </m:oMath>
          </w:p>
        </w:tc>
        <w:tc>
          <w:tcPr/>
          <w:p>
            <w:pPr>
              <w:pStyle w:val="Compact"/>
              <w:jc w:val="center"/>
            </w:pPr>
            <m:oMath>
              <m:r>
                <m:rPr>
                  <m:sty m:val="p"/>
                </m:rPr>
                <m:t>+</m:t>
              </m:r>
              <m:r>
                <m:t>0.00089</m:t>
              </m:r>
            </m:oMath>
          </w:p>
        </w:tc>
      </w:tr>
      <w:tr>
        <w:tc>
          <w:tcPr/>
          <w:p>
            <w:pPr>
              <w:pStyle w:val="Compact"/>
            </w:pPr>
          </w:p>
        </w:tc>
        <w:tc>
          <w:tcPr/>
          <w:p>
            <w:pPr>
              <w:pStyle w:val="Compact"/>
            </w:pPr>
          </w:p>
        </w:tc>
        <w:tc>
          <w:tcPr/>
          <w:p>
            <w:pPr>
              <w:pStyle w:val="Compact"/>
              <w:jc w:val="center"/>
            </w:pPr>
            <w:r>
              <w:t xml:space="preserve">(</w:t>
            </w:r>
            <m:oMath>
              <m:r>
                <m:rPr>
                  <m:sty m:val="p"/>
                </m:rPr>
                <m:t>+</m:t>
              </m:r>
              <m:r>
                <m:t>0.17</m:t>
              </m:r>
            </m:oMath>
            <w:r>
              <w:t xml:space="preserve">)</w:t>
            </w:r>
          </w:p>
        </w:tc>
        <w:tc>
          <w:tcPr/>
          <w:p>
            <w:pPr>
              <w:pStyle w:val="Compact"/>
              <w:jc w:val="center"/>
            </w:pPr>
            <w:r>
              <w:t xml:space="preserve">(</w:t>
            </w:r>
            <m:oMath>
              <m:r>
                <m:rPr>
                  <m:sty m:val="p"/>
                </m:rPr>
                <m:t>+</m:t>
              </m:r>
              <m:r>
                <m:t>0.63</m:t>
              </m:r>
            </m:oMath>
            <w:r>
              <w:t xml:space="preserve">)</w:t>
            </w:r>
          </w:p>
        </w:tc>
        <w:tc>
          <w:tcPr/>
          <w:p>
            <w:pPr>
              <w:pStyle w:val="Compact"/>
              <w:jc w:val="center"/>
            </w:pPr>
            <w:r>
              <w:t xml:space="preserve">(</w:t>
            </w:r>
            <m:oMath>
              <m:r>
                <m:rPr>
                  <m:sty m:val="p"/>
                </m:rPr>
                <m:t>+</m:t>
              </m:r>
              <m:r>
                <m:t>0.51</m:t>
              </m:r>
            </m:oMath>
            <w:r>
              <w:t xml:space="preserve">)</w:t>
            </w:r>
          </w:p>
        </w:tc>
      </w:tr>
      <w:tr>
        <w:tc>
          <w:tcPr/>
          <w:p>
            <w:pPr>
              <w:pStyle w:val="Compact"/>
              <w:jc w:val="left"/>
            </w:pPr>
            <w:r>
              <w:t xml:space="preserve">JS divergence</w:t>
            </w:r>
          </w:p>
        </w:tc>
        <w:tc>
          <w:tcPr/>
          <w:p>
            <w:pPr>
              <w:pStyle w:val="Compact"/>
              <w:jc w:val="center"/>
            </w:pPr>
            <m:oMath>
              <m:r>
                <m:rPr>
                  <m:sty m:val="p"/>
                </m:rPr>
                <m:t>−</m:t>
              </m:r>
              <m:r>
                <m:t>0.00008</m:t>
              </m:r>
            </m:oMath>
          </w:p>
        </w:tc>
        <w:tc>
          <w:tcPr/>
          <w:p>
            <w:pPr>
              <w:pStyle w:val="Compact"/>
              <w:jc w:val="center"/>
            </w:pPr>
            <m:oMath>
              <m:r>
                <m:rPr>
                  <m:sty m:val="p"/>
                </m:rPr>
                <m:t>+</m:t>
              </m:r>
              <m:r>
                <m:t>0.01281</m:t>
              </m:r>
            </m:oMath>
          </w:p>
        </w:tc>
        <w:tc>
          <w:tcPr/>
          <w:p>
            <w:pPr>
              <w:pStyle w:val="Compact"/>
              <w:jc w:val="center"/>
            </w:pPr>
            <m:oMath>
              <m:r>
                <m:rPr>
                  <m:sty m:val="p"/>
                </m:rPr>
                <m:t>+</m:t>
              </m:r>
              <m:r>
                <m:t>0.01142</m:t>
              </m:r>
            </m:oMath>
          </w:p>
        </w:tc>
        <w:tc>
          <w:tcPr/>
          <w:p>
            <w:pPr>
              <w:pStyle w:val="Compact"/>
              <w:jc w:val="center"/>
            </w:pPr>
            <m:oMath>
              <m:r>
                <m:rPr>
                  <m:sty m:val="p"/>
                </m:rPr>
                <m:t>+</m:t>
              </m:r>
              <m:r>
                <m:t>0.01095</m:t>
              </m:r>
            </m:oMath>
          </w:p>
        </w:tc>
      </w:tr>
      <w:tr>
        <w:tc>
          <w:tcPr/>
          <w:p>
            <w:pPr>
              <w:pStyle w:val="Compact"/>
            </w:pPr>
          </w:p>
        </w:tc>
        <w:tc>
          <w:tcPr/>
          <w:p>
            <w:pPr>
              <w:pStyle w:val="Compact"/>
              <w:jc w:val="center"/>
            </w:pPr>
            <w:r>
              <w:t xml:space="preserve">(</w:t>
            </w:r>
            <m:oMath>
              <m:r>
                <m:rPr>
                  <m:sty m:val="p"/>
                </m:rPr>
                <m:t>−</m:t>
              </m:r>
              <m:r>
                <m:t>0.03</m:t>
              </m:r>
            </m:oMath>
            <w:r>
              <w:t xml:space="preserve">)</w:t>
            </w:r>
          </w:p>
        </w:tc>
        <w:tc>
          <w:tcPr/>
          <w:p>
            <w:pPr>
              <w:pStyle w:val="Compact"/>
              <w:jc w:val="center"/>
            </w:pPr>
            <w:r>
              <w:t xml:space="preserve">(</w:t>
            </w:r>
            <m:oMath>
              <m:r>
                <m:rPr>
                  <m:sty m:val="p"/>
                </m:rPr>
                <m:t>+</m:t>
              </m:r>
              <m:r>
                <m:t>1.06</m:t>
              </m:r>
            </m:oMath>
            <w:r>
              <w:t xml:space="preserve">)</w:t>
            </w:r>
          </w:p>
        </w:tc>
        <w:tc>
          <w:tcPr/>
          <w:p>
            <w:pPr>
              <w:pStyle w:val="Compact"/>
              <w:jc w:val="center"/>
            </w:pPr>
            <w:r>
              <w:t xml:space="preserve">(</w:t>
            </w:r>
            <m:oMath>
              <m:r>
                <m:rPr>
                  <m:sty m:val="p"/>
                </m:rPr>
                <m:t>+</m:t>
              </m:r>
              <m:r>
                <m:t>0.93</m:t>
              </m:r>
            </m:oMath>
            <w:r>
              <w:t xml:space="preserve">)</w:t>
            </w:r>
          </w:p>
        </w:tc>
        <w:tc>
          <w:tcPr/>
          <w:p>
            <w:pPr>
              <w:pStyle w:val="Compact"/>
              <w:jc w:val="center"/>
            </w:pPr>
            <w:r>
              <w:t xml:space="preserve">(</w:t>
            </w:r>
            <m:oMath>
              <m:r>
                <m:rPr>
                  <m:sty m:val="p"/>
                </m:rPr>
                <m:t>+</m:t>
              </m:r>
              <m:r>
                <m:t>0.89</m:t>
              </m:r>
            </m:oMath>
            <w:r>
              <w:t xml:space="preserve">)</w:t>
            </w:r>
          </w:p>
        </w:tc>
      </w:tr>
      <w:tr>
        <w:tc>
          <w:tcPr/>
          <w:p>
            <w:pPr>
              <w:pStyle w:val="Compact"/>
              <w:jc w:val="left"/>
            </w:pPr>
            <w:r>
              <w:t xml:space="preserve">D_post</w:t>
            </w:r>
          </w:p>
        </w:tc>
        <w:tc>
          <w:tcPr/>
          <w:p>
            <w:pPr>
              <w:pStyle w:val="Compact"/>
              <w:jc w:val="center"/>
            </w:pPr>
            <m:oMath>
              <m:r>
                <m:rPr>
                  <m:sty m:val="p"/>
                </m:rPr>
                <m:t>+</m:t>
              </m:r>
              <m:r>
                <m:t>0.00218</m:t>
              </m:r>
            </m:oMath>
          </w:p>
        </w:tc>
        <w:tc>
          <w:tcPr/>
          <w:p>
            <w:pPr>
              <w:pStyle w:val="Compact"/>
              <w:jc w:val="center"/>
            </w:pPr>
            <m:oMath>
              <m:r>
                <m:rPr>
                  <m:sty m:val="p"/>
                </m:rPr>
                <m:t>−</m:t>
              </m:r>
              <m:r>
                <m:t>0.00492</m:t>
              </m:r>
            </m:oMath>
          </w:p>
        </w:tc>
        <w:tc>
          <w:tcPr/>
          <w:p>
            <w:pPr>
              <w:pStyle w:val="Compact"/>
              <w:jc w:val="center"/>
            </w:pPr>
            <m:oMath>
              <m:r>
                <m:rPr>
                  <m:sty m:val="p"/>
                </m:rPr>
                <m:t>−</m:t>
              </m:r>
              <m:r>
                <m:t>0.00148</m:t>
              </m:r>
            </m:oMath>
          </w:p>
        </w:tc>
        <w:tc>
          <w:tcPr/>
          <w:p>
            <w:pPr>
              <w:pStyle w:val="Compact"/>
              <w:jc w:val="center"/>
            </w:pPr>
            <m:oMath>
              <m:r>
                <m:rPr>
                  <m:sty m:val="p"/>
                </m:rPr>
                <m:t>−</m:t>
              </m:r>
              <m:r>
                <m:t>0.00362</m:t>
              </m:r>
            </m:oMath>
          </w:p>
        </w:tc>
      </w:tr>
      <w:tr>
        <w:tc>
          <w:tcPr/>
          <w:p>
            <w:pPr>
              <w:pStyle w:val="Compact"/>
            </w:pPr>
          </w:p>
        </w:tc>
        <w:tc>
          <w:tcPr/>
          <w:p>
            <w:pPr>
              <w:pStyle w:val="Compact"/>
              <w:jc w:val="center"/>
            </w:pPr>
            <w:r>
              <w:t xml:space="preserve">(</w:t>
            </w:r>
            <m:oMath>
              <m:r>
                <m:rPr>
                  <m:sty m:val="p"/>
                </m:rPr>
                <m:t>+</m:t>
              </m:r>
              <m:r>
                <m:t>0.96</m:t>
              </m:r>
            </m:oMath>
            <w:r>
              <w:t xml:space="preserve">)</w:t>
            </w:r>
          </w:p>
        </w:tc>
        <w:tc>
          <w:tcPr/>
          <w:p>
            <w:pPr>
              <w:pStyle w:val="Compact"/>
              <w:jc w:val="center"/>
            </w:pPr>
            <w:r>
              <w:t xml:space="preserve">(</w:t>
            </w:r>
            <m:oMath>
              <m:r>
                <m:rPr>
                  <m:sty m:val="p"/>
                </m:rPr>
                <m:t>−</m:t>
              </m:r>
              <m:r>
                <m:t>1.03</m:t>
              </m:r>
            </m:oMath>
            <w:r>
              <w:t xml:space="preserve">)</w:t>
            </w:r>
          </w:p>
        </w:tc>
        <w:tc>
          <w:tcPr/>
          <w:p>
            <w:pPr>
              <w:pStyle w:val="Compact"/>
              <w:jc w:val="center"/>
            </w:pPr>
            <w:r>
              <w:t xml:space="preserve">(</w:t>
            </w:r>
            <m:oMath>
              <m:r>
                <m:rPr>
                  <m:sty m:val="p"/>
                </m:rPr>
                <m:t>−</m:t>
              </m:r>
              <m:r>
                <m:t>0.63</m:t>
              </m:r>
            </m:oMath>
            <w:r>
              <w:t xml:space="preserve">)</w:t>
            </w:r>
          </w:p>
        </w:tc>
        <w:tc>
          <w:tcPr/>
          <w:p>
            <w:pPr>
              <w:pStyle w:val="Compact"/>
              <w:jc w:val="center"/>
            </w:pPr>
            <w:r>
              <w:t xml:space="preserve">(</w:t>
            </w:r>
            <m:oMath>
              <m:r>
                <m:rPr>
                  <m:sty m:val="p"/>
                </m:rPr>
                <m:t>−</m:t>
              </m:r>
              <m:r>
                <m:t>0.82</m:t>
              </m:r>
            </m:oMath>
            <w:r>
              <w:t xml:space="preserve">)</w:t>
            </w:r>
          </w:p>
        </w:tc>
      </w:tr>
      <w:tr>
        <w:tc>
          <w:tcPr/>
          <w:p>
            <w:pPr>
              <w:pStyle w:val="Compact"/>
              <w:jc w:val="left"/>
            </w:pPr>
            <w:r>
              <w:t xml:space="preserve">H</w:t>
            </w:r>
            <m:oMath>
              <m:r>
                <m:rPr>
                  <m:sty m:val="p"/>
                </m:rPr>
                <m:t>×</m:t>
              </m:r>
            </m:oMath>
            <w:r>
              <w:t xml:space="preserve">D</w:t>
            </w:r>
          </w:p>
        </w:tc>
        <w:tc>
          <w:tcPr/>
          <w:p>
            <w:pPr>
              <w:pStyle w:val="Compact"/>
            </w:pPr>
          </w:p>
        </w:tc>
        <w:tc>
          <w:tcPr/>
          <w:p>
            <w:pPr>
              <w:pStyle w:val="Compact"/>
            </w:pPr>
          </w:p>
        </w:tc>
        <w:tc>
          <w:tcPr/>
          <w:p>
            <w:pPr>
              <w:pStyle w:val="Compact"/>
            </w:pPr>
          </w:p>
        </w:tc>
        <w:tc>
          <w:tcPr/>
          <w:p>
            <w:pPr>
              <w:pStyle w:val="Compact"/>
              <w:jc w:val="center"/>
            </w:pPr>
            <m:oMath>
              <m:r>
                <m:rPr>
                  <m:sty m:val="p"/>
                </m:rPr>
                <m:t>−</m:t>
              </m:r>
              <m:sSup>
                <m:e>
                  <m:r>
                    <m:t>0.00343</m:t>
                  </m:r>
                </m:e>
                <m:sup>
                  <m:r>
                    <m:rPr>
                      <m:sty m:val="p"/>
                    </m:rPr>
                    <m:t>*</m:t>
                  </m:r>
                </m:sup>
              </m:sSup>
            </m:oMath>
          </w:p>
        </w:tc>
      </w:tr>
      <w:tr>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w:t>
            </w:r>
            <m:oMath>
              <m:r>
                <m:rPr>
                  <m:sty m:val="p"/>
                </m:rPr>
                <m:t>−</m:t>
              </m:r>
              <m:r>
                <m:t>1.94</m:t>
              </m:r>
            </m:oMath>
            <w:r>
              <w:t xml:space="preserve">)</w:t>
            </w:r>
          </w:p>
        </w:tc>
      </w:tr>
      <w:tr>
        <w:tc>
          <w:tcPr/>
          <w:p>
            <w:pPr>
              <w:pStyle w:val="Compact"/>
              <w:jc w:val="left"/>
            </w:pPr>
            <w:r>
              <w:t xml:space="preserve">Size</w:t>
            </w:r>
          </w:p>
        </w:tc>
        <w:tc>
          <w:tcPr/>
          <w:p>
            <w:pPr>
              <w:pStyle w:val="Compact"/>
            </w:pPr>
          </w:p>
        </w:tc>
        <w:tc>
          <w:tcPr/>
          <w:p>
            <w:pPr>
              <w:pStyle w:val="Compact"/>
            </w:pPr>
          </w:p>
        </w:tc>
        <w:tc>
          <w:tcPr/>
          <w:p>
            <w:pPr>
              <w:pStyle w:val="Compact"/>
              <w:jc w:val="center"/>
            </w:pPr>
            <m:oMath>
              <m:r>
                <m:rPr>
                  <m:sty m:val="p"/>
                </m:rPr>
                <m:t>+</m:t>
              </m:r>
              <m:r>
                <m:t>0.00106</m:t>
              </m:r>
            </m:oMath>
          </w:p>
        </w:tc>
        <w:tc>
          <w:tcPr/>
          <w:p>
            <w:pPr>
              <w:pStyle w:val="Compact"/>
              <w:jc w:val="center"/>
            </w:pPr>
            <m:oMath>
              <m:r>
                <m:rPr>
                  <m:sty m:val="p"/>
                </m:rPr>
                <m:t>+</m:t>
              </m:r>
              <m:r>
                <m:t>0.00112</m:t>
              </m:r>
            </m:oMath>
          </w:p>
        </w:tc>
      </w:tr>
      <w:tr>
        <w:tc>
          <w:tcPr/>
          <w:p>
            <w:pPr>
              <w:pStyle w:val="Compact"/>
            </w:pPr>
          </w:p>
        </w:tc>
        <w:tc>
          <w:tcPr/>
          <w:p>
            <w:pPr>
              <w:pStyle w:val="Compact"/>
            </w:pPr>
          </w:p>
        </w:tc>
        <w:tc>
          <w:tcPr/>
          <w:p>
            <w:pPr>
              <w:pStyle w:val="Compact"/>
            </w:pPr>
          </w:p>
        </w:tc>
        <w:tc>
          <w:tcPr/>
          <w:p>
            <w:pPr>
              <w:pStyle w:val="Compact"/>
              <w:jc w:val="center"/>
            </w:pPr>
            <w:r>
              <w:t xml:space="preserve">(</w:t>
            </w:r>
            <m:oMath>
              <m:r>
                <m:rPr>
                  <m:sty m:val="p"/>
                </m:rPr>
                <m:t>+</m:t>
              </m:r>
              <m:r>
                <m:t>0.87</m:t>
              </m:r>
            </m:oMath>
            <w:r>
              <w:t xml:space="preserve">)</w:t>
            </w:r>
          </w:p>
        </w:tc>
        <w:tc>
          <w:tcPr/>
          <w:p>
            <w:pPr>
              <w:pStyle w:val="Compact"/>
              <w:jc w:val="center"/>
            </w:pPr>
            <w:r>
              <w:t xml:space="preserve">(</w:t>
            </w:r>
            <m:oMath>
              <m:r>
                <m:rPr>
                  <m:sty m:val="p"/>
                </m:rPr>
                <m:t>+</m:t>
              </m:r>
              <m:r>
                <m:t>0.92</m:t>
              </m:r>
            </m:oMath>
            <w:r>
              <w:t xml:space="preserve">)</w:t>
            </w:r>
          </w:p>
        </w:tc>
      </w:tr>
      <w:tr>
        <w:tc>
          <w:tcPr/>
          <w:p>
            <w:pPr>
              <w:pStyle w:val="Compact"/>
              <w:jc w:val="left"/>
            </w:pPr>
            <w:r>
              <w:t xml:space="preserve">BM</w:t>
            </w:r>
          </w:p>
        </w:tc>
        <w:tc>
          <w:tcPr/>
          <w:p>
            <w:pPr>
              <w:pStyle w:val="Compact"/>
            </w:pPr>
          </w:p>
        </w:tc>
        <w:tc>
          <w:tcPr/>
          <w:p>
            <w:pPr>
              <w:pStyle w:val="Compact"/>
            </w:pPr>
          </w:p>
        </w:tc>
        <w:tc>
          <w:tcPr/>
          <w:p>
            <w:pPr>
              <w:pStyle w:val="Compact"/>
              <w:jc w:val="center"/>
            </w:pPr>
            <m:oMath>
              <m:r>
                <m:rPr>
                  <m:sty m:val="p"/>
                </m:rPr>
                <m:t>−</m:t>
              </m:r>
              <m:r>
                <m:t>0.00071</m:t>
              </m:r>
            </m:oMath>
          </w:p>
        </w:tc>
        <w:tc>
          <w:tcPr/>
          <w:p>
            <w:pPr>
              <w:pStyle w:val="Compact"/>
              <w:jc w:val="center"/>
            </w:pPr>
            <m:oMath>
              <m:r>
                <m:rPr>
                  <m:sty m:val="p"/>
                </m:rPr>
                <m:t>−</m:t>
              </m:r>
              <m:r>
                <m:t>0.00070</m:t>
              </m:r>
            </m:oMath>
          </w:p>
        </w:tc>
      </w:tr>
      <w:tr>
        <w:tc>
          <w:tcPr/>
          <w:p>
            <w:pPr>
              <w:pStyle w:val="Compact"/>
            </w:pPr>
          </w:p>
        </w:tc>
        <w:tc>
          <w:tcPr/>
          <w:p>
            <w:pPr>
              <w:pStyle w:val="Compact"/>
            </w:pPr>
          </w:p>
        </w:tc>
        <w:tc>
          <w:tcPr/>
          <w:p>
            <w:pPr>
              <w:pStyle w:val="Compact"/>
            </w:pPr>
          </w:p>
        </w:tc>
        <w:tc>
          <w:tcPr/>
          <w:p>
            <w:pPr>
              <w:pStyle w:val="Compact"/>
              <w:jc w:val="center"/>
            </w:pPr>
            <w:r>
              <w:t xml:space="preserve">(</w:t>
            </w:r>
            <m:oMath>
              <m:r>
                <m:rPr>
                  <m:sty m:val="p"/>
                </m:rPr>
                <m:t>−</m:t>
              </m:r>
              <m:r>
                <m:t>0.47</m:t>
              </m:r>
            </m:oMath>
            <w:r>
              <w:t xml:space="preserve">)</w:t>
            </w:r>
          </w:p>
        </w:tc>
        <w:tc>
          <w:tcPr/>
          <w:p>
            <w:pPr>
              <w:pStyle w:val="Compact"/>
              <w:jc w:val="center"/>
            </w:pPr>
            <w:r>
              <w:t xml:space="preserve">(</w:t>
            </w:r>
            <m:oMath>
              <m:r>
                <m:rPr>
                  <m:sty m:val="p"/>
                </m:rPr>
                <m:t>−</m:t>
              </m:r>
              <m:r>
                <m:t>0.47</m:t>
              </m:r>
            </m:oMath>
            <w:r>
              <w:t xml:space="preserve">)</w:t>
            </w:r>
          </w:p>
        </w:tc>
      </w:tr>
      <w:tr>
        <w:tc>
          <w:tcPr/>
          <w:p>
            <w:pPr>
              <w:pStyle w:val="Compact"/>
              <w:jc w:val="left"/>
            </w:pPr>
            <w:r>
              <w:t xml:space="preserve">Momentum</w:t>
            </w:r>
          </w:p>
        </w:tc>
        <w:tc>
          <w:tcPr/>
          <w:p>
            <w:pPr>
              <w:pStyle w:val="Compact"/>
            </w:pPr>
          </w:p>
        </w:tc>
        <w:tc>
          <w:tcPr/>
          <w:p>
            <w:pPr>
              <w:pStyle w:val="Compact"/>
            </w:pPr>
          </w:p>
        </w:tc>
        <w:tc>
          <w:tcPr/>
          <w:p>
            <w:pPr>
              <w:pStyle w:val="Compact"/>
              <w:jc w:val="center"/>
            </w:pPr>
            <m:oMath>
              <m:r>
                <m:rPr>
                  <m:sty m:val="p"/>
                </m:rPr>
                <m:t>+</m:t>
              </m:r>
              <m:r>
                <m:t>0.00142</m:t>
              </m:r>
            </m:oMath>
          </w:p>
        </w:tc>
        <w:tc>
          <w:tcPr/>
          <w:p>
            <w:pPr>
              <w:pStyle w:val="Compact"/>
              <w:jc w:val="center"/>
            </w:pPr>
            <m:oMath>
              <m:r>
                <m:rPr>
                  <m:sty m:val="p"/>
                </m:rPr>
                <m:t>+</m:t>
              </m:r>
              <m:r>
                <m:t>0.00148</m:t>
              </m:r>
            </m:oMath>
          </w:p>
        </w:tc>
      </w:tr>
      <w:tr>
        <w:tc>
          <w:tcPr/>
          <w:p>
            <w:pPr>
              <w:pStyle w:val="Compact"/>
            </w:pPr>
          </w:p>
        </w:tc>
        <w:tc>
          <w:tcPr/>
          <w:p>
            <w:pPr>
              <w:pStyle w:val="Compact"/>
            </w:pPr>
          </w:p>
        </w:tc>
        <w:tc>
          <w:tcPr/>
          <w:p>
            <w:pPr>
              <w:pStyle w:val="Compact"/>
            </w:pPr>
          </w:p>
        </w:tc>
        <w:tc>
          <w:tcPr/>
          <w:p>
            <w:pPr>
              <w:pStyle w:val="Compact"/>
              <w:jc w:val="center"/>
            </w:pPr>
            <w:r>
              <w:t xml:space="preserve">(</w:t>
            </w:r>
            <m:oMath>
              <m:r>
                <m:rPr>
                  <m:sty m:val="p"/>
                </m:rPr>
                <m:t>+</m:t>
              </m:r>
              <m:r>
                <m:t>0.94</m:t>
              </m:r>
            </m:oMath>
            <w:r>
              <w:t xml:space="preserve">)</w:t>
            </w:r>
          </w:p>
        </w:tc>
        <w:tc>
          <w:tcPr/>
          <w:p>
            <w:pPr>
              <w:pStyle w:val="Compact"/>
              <w:jc w:val="center"/>
            </w:pPr>
            <w:r>
              <w:t xml:space="preserve">(</w:t>
            </w:r>
            <m:oMath>
              <m:r>
                <m:rPr>
                  <m:sty m:val="p"/>
                </m:rPr>
                <m:t>+</m:t>
              </m:r>
              <m:r>
                <m:t>0.98</m:t>
              </m:r>
            </m:oMath>
            <w:r>
              <w:t xml:space="preserve">)</w:t>
            </w:r>
          </w:p>
        </w:tc>
      </w:tr>
      <w:tr>
        <w:tc>
          <w:tcPr/>
          <w:p>
            <w:pPr>
              <w:pStyle w:val="Compact"/>
              <w:jc w:val="left"/>
            </w:pPr>
            <w:r>
              <w:t xml:space="preserve">Volatility</w:t>
            </w:r>
          </w:p>
        </w:tc>
        <w:tc>
          <w:tcPr/>
          <w:p>
            <w:pPr>
              <w:pStyle w:val="Compact"/>
            </w:pPr>
          </w:p>
        </w:tc>
        <w:tc>
          <w:tcPr/>
          <w:p>
            <w:pPr>
              <w:pStyle w:val="Compact"/>
            </w:pPr>
          </w:p>
        </w:tc>
        <w:tc>
          <w:tcPr/>
          <w:p>
            <w:pPr>
              <w:pStyle w:val="Compact"/>
              <w:jc w:val="center"/>
            </w:pPr>
            <m:oMath>
              <m:r>
                <m:rPr>
                  <m:sty m:val="p"/>
                </m:rPr>
                <m:t>+</m:t>
              </m:r>
              <m:r>
                <m:t>0.00727</m:t>
              </m:r>
            </m:oMath>
          </w:p>
        </w:tc>
        <w:tc>
          <w:tcPr/>
          <w:p>
            <w:pPr>
              <w:pStyle w:val="Compact"/>
              <w:jc w:val="center"/>
            </w:pPr>
            <m:oMath>
              <m:r>
                <m:rPr>
                  <m:sty m:val="p"/>
                </m:rPr>
                <m:t>+</m:t>
              </m:r>
              <m:r>
                <m:t>0.00731</m:t>
              </m:r>
            </m:oMath>
          </w:p>
        </w:tc>
      </w:tr>
      <w:tr>
        <w:tc>
          <w:tcPr/>
          <w:p>
            <w:pPr>
              <w:pStyle w:val="Compact"/>
            </w:pPr>
          </w:p>
        </w:tc>
        <w:tc>
          <w:tcPr/>
          <w:p>
            <w:pPr>
              <w:pStyle w:val="Compact"/>
            </w:pPr>
          </w:p>
        </w:tc>
        <w:tc>
          <w:tcPr/>
          <w:p>
            <w:pPr>
              <w:pStyle w:val="Compact"/>
            </w:pPr>
          </w:p>
        </w:tc>
        <w:tc>
          <w:tcPr/>
          <w:p>
            <w:pPr>
              <w:pStyle w:val="Compact"/>
              <w:jc w:val="center"/>
            </w:pPr>
            <w:r>
              <w:t xml:space="preserve">(</w:t>
            </w:r>
            <m:oMath>
              <m:r>
                <m:rPr>
                  <m:sty m:val="p"/>
                </m:rPr>
                <m:t>+</m:t>
              </m:r>
              <m:r>
                <m:t>1.37</m:t>
              </m:r>
            </m:oMath>
            <w:r>
              <w:t xml:space="preserve">)</w:t>
            </w:r>
          </w:p>
        </w:tc>
        <w:tc>
          <w:tcPr/>
          <w:p>
            <w:pPr>
              <w:pStyle w:val="Compact"/>
              <w:jc w:val="center"/>
            </w:pPr>
            <w:r>
              <w:t xml:space="preserve">(</w:t>
            </w:r>
            <m:oMath>
              <m:r>
                <m:rPr>
                  <m:sty m:val="p"/>
                </m:rPr>
                <m:t>+</m:t>
              </m:r>
              <m:r>
                <m:t>1.38</m:t>
              </m:r>
            </m:oMath>
            <w:r>
              <w:t xml:space="preserve">)</w:t>
            </w:r>
          </w:p>
        </w:tc>
      </w:tr>
      <w:tr>
        <w:tc>
          <w:tcPr/>
          <w:p>
            <w:pPr>
              <w:pStyle w:val="Compact"/>
              <w:jc w:val="left"/>
            </w:pPr>
            <w:r>
              <w:t xml:space="preserve">N months</w:t>
            </w:r>
          </w:p>
        </w:tc>
        <w:tc>
          <w:tcPr/>
          <w:p>
            <w:pPr>
              <w:pStyle w:val="Compact"/>
              <w:jc w:val="center"/>
            </w:pPr>
            <w:r>
              <w:t xml:space="preserve">79</w:t>
            </w:r>
          </w:p>
        </w:tc>
        <w:tc>
          <w:tcPr/>
          <w:p>
            <w:pPr>
              <w:pStyle w:val="Compact"/>
              <w:jc w:val="center"/>
            </w:pPr>
            <w:r>
              <w:t xml:space="preserve">79</w:t>
            </w:r>
          </w:p>
        </w:tc>
        <w:tc>
          <w:tcPr/>
          <w:p>
            <w:pPr>
              <w:pStyle w:val="Compact"/>
              <w:jc w:val="center"/>
            </w:pPr>
            <w:r>
              <w:t xml:space="preserve">79</w:t>
            </w:r>
          </w:p>
        </w:tc>
        <w:tc>
          <w:tcPr/>
          <w:p>
            <w:pPr>
              <w:pStyle w:val="Compact"/>
              <w:jc w:val="center"/>
            </w:pPr>
            <w:r>
              <w:t xml:space="preserve">79</w:t>
            </w:r>
          </w:p>
        </w:tc>
      </w:tr>
    </w:tbl>
    <w:bookmarkEnd w:id="46"/>
    <w:p>
      <w:pPr>
        <w:pStyle w:val="BodyText"/>
      </w:pPr>
      <w:r>
        <w:rPr>
          <w:i/>
          <w:iCs/>
        </w:rPr>
        <w:t xml:space="preserve">Notes:</w:t>
      </w:r>
      <w:r>
        <w:t xml:space="preserve"> </w:t>
      </w:r>
      <w:r>
        <w:t xml:space="preserve">Standard Fama-MacBeth regressions. All variables are standardized. Dependent variable: next-quarter stock return. *</w:t>
      </w:r>
      <w:r>
        <w:t xml:space="preserve"> </w:t>
      </w:r>
      <m:oMath>
        <m:r>
          <m:t>p</m:t>
        </m:r>
        <m:r>
          <m:rPr>
            <m:sty m:val="p"/>
          </m:rPr>
          <m:t>&lt;</m:t>
        </m:r>
        <m:r>
          <m:t>0.10</m:t>
        </m:r>
      </m:oMath>
      <w:r>
        <w:t xml:space="preserve">, **</w:t>
      </w:r>
      <w:r>
        <w:t xml:space="preserve"> </w:t>
      </w:r>
      <m:oMath>
        <m:r>
          <m:t>p</m:t>
        </m:r>
        <m:r>
          <m:rPr>
            <m:sty m:val="p"/>
          </m:rPr>
          <m:t>&lt;</m:t>
        </m:r>
        <m:r>
          <m:t>0.05</m:t>
        </m:r>
      </m:oMath>
      <w:r>
        <w:t xml:space="preserve">, ***</w:t>
      </w:r>
      <w:r>
        <w:t xml:space="preserve"> </w:t>
      </w:r>
      <m:oMath>
        <m:r>
          <m:t>p</m:t>
        </m:r>
        <m:r>
          <m:rPr>
            <m:sty m:val="p"/>
          </m:rPr>
          <m:t>&lt;</m:t>
        </m:r>
        <m:r>
          <m:t>0.01</m:t>
        </m:r>
      </m:oMath>
      <w:r>
        <w:t xml:space="preserve">.</w:t>
      </w:r>
    </w:p>
    <w:bookmarkEnd w:id="47"/>
    <w:bookmarkStart w:id="49" w:name="sec:results_horizon"/>
    <w:p>
      <w:pPr>
        <w:pStyle w:val="Heading2"/>
      </w:pPr>
      <w:r>
        <w:t xml:space="preserve">Long-Term Reversal</w:t>
      </w:r>
    </w:p>
    <w:p>
      <w:pPr>
        <w:pStyle w:val="FirstParagraph"/>
      </w:pPr>
      <w:r>
        <w:t xml:space="preserve">Table </w:t>
      </w:r>
      <w:hyperlink w:anchor="tab:horizon">
        <w:r>
          <w:rPr>
            <w:rStyle w:val="Hyperlink"/>
          </w:rPr>
          <w:t xml:space="preserve">5</w:t>
        </w:r>
      </w:hyperlink>
      <w:r>
        <w:t xml:space="preserve"> </w:t>
      </w:r>
      <w:r>
        <w:t xml:space="preserve">reports the central result of the paper: the entropy premium</w:t>
      </w:r>
      <w:r>
        <w:t xml:space="preserve"> </w:t>
      </w:r>
      <w:r>
        <w:rPr>
          <w:i/>
          <w:iCs/>
        </w:rPr>
        <w:t xml:space="preserve">strengthens</w:t>
      </w:r>
      <w:r>
        <w:t xml:space="preserve"> </w:t>
      </w:r>
      <w:r>
        <w:t xml:space="preserve">at longer horizons. For residual H_smooth, the FM</w:t>
      </w:r>
      <w:r>
        <w:t xml:space="preserve"> </w:t>
      </w:r>
      <m:oMath>
        <m:r>
          <m:t>t</m:t>
        </m:r>
      </m:oMath>
      <w:r>
        <w:t xml:space="preserve">-statistic increases monotonically from</w:t>
      </w:r>
      <w:r>
        <w:t xml:space="preserve"> </w:t>
      </w:r>
      <m:oMath>
        <m:r>
          <m:rPr>
            <m:sty m:val="p"/>
          </m:rPr>
          <m:t>−</m:t>
        </m:r>
        <m:r>
          <m:t>3.02</m:t>
        </m:r>
      </m:oMath>
      <w:r>
        <w:t xml:space="preserve"> </w:t>
      </w:r>
      <w:r>
        <w:t xml:space="preserve">at 1Q to</w:t>
      </w:r>
      <w:r>
        <w:t xml:space="preserve"> </w:t>
      </w:r>
      <m:oMath>
        <m:r>
          <m:rPr>
            <m:sty m:val="p"/>
          </m:rPr>
          <m:t>−</m:t>
        </m:r>
        <m:r>
          <m:t>3.94</m:t>
        </m:r>
      </m:oMath>
      <w:r>
        <w:t xml:space="preserve"> </w:t>
      </w:r>
      <w:r>
        <w:t xml:space="preserve">at 2Q to</w:t>
      </w:r>
      <w:r>
        <w:t xml:space="preserve"> </w:t>
      </w:r>
      <m:oMath>
        <m:r>
          <m:rPr>
            <m:sty m:val="p"/>
          </m:rPr>
          <m:t>−</m:t>
        </m:r>
        <m:r>
          <m:t>3.60</m:t>
        </m:r>
      </m:oMath>
      <w:r>
        <w:t xml:space="preserve"> </w:t>
      </w:r>
      <w:r>
        <w:t xml:space="preserve">at 3Q. The H</w:t>
      </w:r>
      <m:oMath>
        <m:r>
          <m:rPr>
            <m:sty m:val="p"/>
          </m:rPr>
          <m:t>×</m:t>
        </m:r>
      </m:oMath>
      <w:r>
        <w:t xml:space="preserve">D interaction shows the same strengthening pattern: from</w:t>
      </w:r>
      <w:r>
        <w:t xml:space="preserve"> </w:t>
      </w:r>
      <m:oMath>
        <m:r>
          <m:rPr>
            <m:sty m:val="p"/>
          </m:rPr>
          <m:t>+</m:t>
        </m:r>
        <m:r>
          <m:t>3.38</m:t>
        </m:r>
      </m:oMath>
      <w:r>
        <w:t xml:space="preserve"> </w:t>
      </w:r>
      <w:r>
        <w:t xml:space="preserve">at 1Q to</w:t>
      </w:r>
      <w:r>
        <w:t xml:space="preserve"> </w:t>
      </w:r>
      <m:oMath>
        <m:r>
          <m:rPr>
            <m:sty m:val="p"/>
          </m:rPr>
          <m:t>+</m:t>
        </m:r>
        <m:r>
          <m:t>4.65</m:t>
        </m:r>
      </m:oMath>
      <w:r>
        <w:t xml:space="preserve"> </w:t>
      </w:r>
      <w:r>
        <w:t xml:space="preserve">at 2Q to</w:t>
      </w:r>
      <w:r>
        <w:t xml:space="preserve"> </w:t>
      </w:r>
      <m:oMath>
        <m:r>
          <m:rPr>
            <m:sty m:val="p"/>
          </m:rPr>
          <m:t>+</m:t>
        </m:r>
        <m:r>
          <m:t>3.32</m:t>
        </m:r>
      </m:oMath>
      <w:r>
        <w:t xml:space="preserve"> </w:t>
      </w:r>
      <w:r>
        <w:t xml:space="preserve">at 3Q. In contrast, JS divergence remains insignificant at all horizons.</w:t>
      </w:r>
    </w:p>
    <w:p>
      <w:pPr>
        <w:pStyle w:val="BodyText"/>
      </w:pPr>
      <w:r>
        <w:t xml:space="preserve">This pattern is the opposite of what a risk premium would predict. If the entropy premium compensated for risk, we would expect stable or declining</w:t>
      </w:r>
      <w:r>
        <w:t xml:space="preserve"> </w:t>
      </w:r>
      <m:oMath>
        <m:r>
          <m:t>t</m:t>
        </m:r>
      </m:oMath>
      <w:r>
        <w:t xml:space="preserve">-statistics at longer horizons (risk is compensated per period). Instead, the strengthening pattern is exactly what the</w:t>
      </w:r>
      <w:r>
        <w:t xml:space="preserve"> </w:t>
      </w:r>
      <w:r>
        <w:t xml:space="preserve"> </w:t>
      </w:r>
      <w:r>
        <w:t xml:space="preserve">overconfidence model predicts: concentrated sentiment signals overpricing, which is gradually corrected over multiple quarters as public information arrives and overconfident beliefs are updated.</w:t>
      </w:r>
    </w:p>
    <w:bookmarkStart w:id="48" w:name="tab:horizon"/>
    <w:p>
      <w:pPr>
        <w:pStyle w:val="TableCaption"/>
      </w:pPr>
      <w:r>
        <w:t xml:space="preserve">Long-Term Reversal: FM Regressions at Multiple Horizons</w:t>
      </w:r>
    </w:p>
    <w:tbl>
      <w:tblPr>
        <w:tblStyle w:val="Table"/>
        <w:tblW w:type="auto" w:w="0"/>
        <w:jc w:val="left"/>
        <w:tblLook w:firstRow="1" w:lastRow="0" w:firstColumn="0" w:lastColumn="0" w:noHBand="0" w:noVBand="0" w:val="0020"/>
        <w:tblCaption w:val="Long-Term Reversal: FM Regressions at Multiple Horizons"/>
      </w:tblPr>
      <w:tblGrid>
        <w:gridCol w:w="1980"/>
        <w:gridCol w:w="1980"/>
        <w:gridCol w:w="1980"/>
        <w:gridCol w:w="1980"/>
      </w:tblGrid>
      <w:tr>
        <w:trPr>
          <w:tblHeader w:val="on"/>
        </w:trPr>
        <w:tc>
          <w:tcPr/>
          <w:p>
            <w:pPr>
              <w:pStyle w:val="Compact"/>
            </w:pPr>
          </w:p>
        </w:tc>
        <w:tc>
          <w:tcPr/>
          <w:p>
            <w:pPr>
              <w:pStyle w:val="Compact"/>
              <w:jc w:val="center"/>
            </w:pPr>
            <w:r>
              <w:t xml:space="preserve">1Q ahead</w:t>
            </w:r>
          </w:p>
        </w:tc>
        <w:tc>
          <w:tcPr/>
          <w:p>
            <w:pPr>
              <w:pStyle w:val="Compact"/>
              <w:jc w:val="center"/>
            </w:pPr>
            <w:r>
              <w:t xml:space="preserve">2Q cumulative</w:t>
            </w:r>
          </w:p>
        </w:tc>
        <w:tc>
          <w:tcPr/>
          <w:p>
            <w:pPr>
              <w:pStyle w:val="Compact"/>
              <w:jc w:val="center"/>
            </w:pPr>
            <w:r>
              <w:t xml:space="preserve">3Q cumulative</w:t>
            </w:r>
          </w:p>
        </w:tc>
      </w:tr>
      <w:tr>
        <w:tc>
          <w:tcPr>
            <w:gridSpan w:val="4"/>
          </w:tcPr>
          <w:p>
            <w:pPr>
              <w:pStyle w:val="Compact"/>
              <w:jc w:val="left"/>
            </w:pPr>
            <w:r>
              <w:rPr>
                <w:i/>
                <w:iCs/>
              </w:rPr>
              <w:t xml:space="preserve">Panel A: Residual H_smooth</w:t>
            </w:r>
          </w:p>
        </w:tc>
      </w:tr>
      <w:tr>
        <w:tc>
          <w:tcPr/>
          <w:p>
            <w:pPr>
              <w:pStyle w:val="Compact"/>
              <w:jc w:val="left"/>
            </w:pPr>
            <m:oMath>
              <m:r>
                <m:t>β</m:t>
              </m:r>
            </m:oMath>
          </w:p>
        </w:tc>
        <w:tc>
          <w:tcPr/>
          <w:p>
            <w:pPr>
              <w:pStyle w:val="Compact"/>
              <w:jc w:val="center"/>
            </w:pPr>
            <m:oMath>
              <m:r>
                <m:rPr>
                  <m:sty m:val="p"/>
                </m:rPr>
                <m:t>−</m:t>
              </m:r>
              <m:r>
                <m:t>0.00368</m:t>
              </m:r>
            </m:oMath>
          </w:p>
        </w:tc>
        <w:tc>
          <w:tcPr/>
          <w:p>
            <w:pPr>
              <w:pStyle w:val="Compact"/>
              <w:jc w:val="center"/>
            </w:pPr>
            <m:oMath>
              <m:r>
                <m:rPr>
                  <m:sty m:val="p"/>
                </m:rPr>
                <m:t>−</m:t>
              </m:r>
              <m:r>
                <m:t>0.00699</m:t>
              </m:r>
            </m:oMath>
          </w:p>
        </w:tc>
        <w:tc>
          <w:tcPr/>
          <w:p>
            <w:pPr>
              <w:pStyle w:val="Compact"/>
              <w:jc w:val="center"/>
            </w:pPr>
            <m:oMath>
              <m:r>
                <m:rPr>
                  <m:sty m:val="p"/>
                </m:rPr>
                <m:t>−</m:t>
              </m:r>
              <m:r>
                <m:t>0.01072</m:t>
              </m:r>
            </m:oMath>
          </w:p>
        </w:tc>
      </w:tr>
      <w:tr>
        <w:tc>
          <w:tcPr/>
          <w:p>
            <w:pPr>
              <w:pStyle w:val="Compact"/>
              <w:jc w:val="left"/>
            </w:pPr>
            <m:oMath>
              <m:r>
                <m:t>t</m:t>
              </m:r>
            </m:oMath>
            <w:r>
              <w:t xml:space="preserve">-stat</w:t>
            </w:r>
          </w:p>
        </w:tc>
        <w:tc>
          <w:tcPr/>
          <w:p>
            <w:pPr>
              <w:pStyle w:val="Compact"/>
              <w:jc w:val="center"/>
            </w:pPr>
            <w:r>
              <w:t xml:space="preserve">(</w:t>
            </w:r>
            <m:oMath>
              <m:r>
                <m:rPr>
                  <m:sty m:val="p"/>
                </m:rPr>
                <m:t>−</m:t>
              </m:r>
              <m:r>
                <m:t>3.02</m:t>
              </m:r>
            </m:oMath>
            <w:r>
              <w:t xml:space="preserve">)</w:t>
            </w:r>
          </w:p>
        </w:tc>
        <w:tc>
          <w:tcPr/>
          <w:p>
            <w:pPr>
              <w:pStyle w:val="Compact"/>
              <w:jc w:val="center"/>
            </w:pPr>
            <w:r>
              <w:t xml:space="preserve">(</w:t>
            </w:r>
            <m:oMath>
              <m:r>
                <m:rPr>
                  <m:sty m:val="p"/>
                </m:rPr>
                <m:t>−</m:t>
              </m:r>
              <m:r>
                <m:t>3.94</m:t>
              </m:r>
            </m:oMath>
            <w:r>
              <w:t xml:space="preserve">)</w:t>
            </w:r>
          </w:p>
        </w:tc>
        <w:tc>
          <w:tcPr/>
          <w:p>
            <w:pPr>
              <w:pStyle w:val="Compact"/>
              <w:jc w:val="center"/>
            </w:pPr>
            <w:r>
              <w:t xml:space="preserve">(</w:t>
            </w:r>
            <m:oMath>
              <m:r>
                <m:rPr>
                  <m:sty m:val="p"/>
                </m:rPr>
                <m:t>−</m:t>
              </m:r>
              <m:r>
                <m:t>3.60</m:t>
              </m:r>
            </m:oMath>
            <w:r>
              <w:t xml:space="preserve">)</w:t>
            </w:r>
          </w:p>
        </w:tc>
      </w:tr>
      <w:tr>
        <w:tc>
          <w:tcPr/>
          <w:p>
            <w:pPr>
              <w:pStyle w:val="Compact"/>
              <w:jc w:val="left"/>
            </w:pPr>
            <w:r>
              <w:t xml:space="preserve">Sig.</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gridSpan w:val="4"/>
          </w:tcPr>
          <w:p>
            <w:pPr>
              <w:pStyle w:val="Compact"/>
              <w:jc w:val="left"/>
            </w:pPr>
            <w:r>
              <w:rPr>
                <w:i/>
                <w:iCs/>
              </w:rPr>
              <w:t xml:space="preserve">Panel B: H</w:t>
            </w:r>
            <m:oMath>
              <m:r>
                <m:rPr>
                  <m:sty m:val="p"/>
                </m:rPr>
                <m:t>×</m:t>
              </m:r>
            </m:oMath>
            <w:r>
              <w:rPr>
                <w:i/>
                <w:iCs/>
              </w:rPr>
              <w:t xml:space="preserve">D interaction</w:t>
            </w:r>
          </w:p>
        </w:tc>
      </w:tr>
      <w:tr>
        <w:tc>
          <w:tcPr/>
          <w:p>
            <w:pPr>
              <w:pStyle w:val="Compact"/>
              <w:jc w:val="left"/>
            </w:pPr>
            <m:oMath>
              <m:r>
                <m:t>β</m:t>
              </m:r>
            </m:oMath>
          </w:p>
        </w:tc>
        <w:tc>
          <w:tcPr/>
          <w:p>
            <w:pPr>
              <w:pStyle w:val="Compact"/>
              <w:jc w:val="center"/>
            </w:pPr>
            <m:oMath>
              <m:r>
                <m:rPr>
                  <m:sty m:val="p"/>
                </m:rPr>
                <m:t>+</m:t>
              </m:r>
              <m:r>
                <m:t>0.00257</m:t>
              </m:r>
            </m:oMath>
          </w:p>
        </w:tc>
        <w:tc>
          <w:tcPr/>
          <w:p>
            <w:pPr>
              <w:pStyle w:val="Compact"/>
              <w:jc w:val="center"/>
            </w:pPr>
            <m:oMath>
              <m:r>
                <m:rPr>
                  <m:sty m:val="p"/>
                </m:rPr>
                <m:t>+</m:t>
              </m:r>
              <m:r>
                <m:t>0.00597</m:t>
              </m:r>
            </m:oMath>
          </w:p>
        </w:tc>
        <w:tc>
          <w:tcPr/>
          <w:p>
            <w:pPr>
              <w:pStyle w:val="Compact"/>
              <w:jc w:val="center"/>
            </w:pPr>
            <m:oMath>
              <m:r>
                <m:rPr>
                  <m:sty m:val="p"/>
                </m:rPr>
                <m:t>+</m:t>
              </m:r>
              <m:r>
                <m:t>0.00652</m:t>
              </m:r>
            </m:oMath>
          </w:p>
        </w:tc>
      </w:tr>
      <w:tr>
        <w:tc>
          <w:tcPr/>
          <w:p>
            <w:pPr>
              <w:pStyle w:val="Compact"/>
              <w:jc w:val="left"/>
            </w:pPr>
            <m:oMath>
              <m:r>
                <m:t>t</m:t>
              </m:r>
            </m:oMath>
            <w:r>
              <w:t xml:space="preserve">-stat</w:t>
            </w:r>
          </w:p>
        </w:tc>
        <w:tc>
          <w:tcPr/>
          <w:p>
            <w:pPr>
              <w:pStyle w:val="Compact"/>
              <w:jc w:val="center"/>
            </w:pPr>
            <w:r>
              <w:t xml:space="preserve">(</w:t>
            </w:r>
            <m:oMath>
              <m:r>
                <m:rPr>
                  <m:sty m:val="p"/>
                </m:rPr>
                <m:t>+</m:t>
              </m:r>
              <m:r>
                <m:t>3.38</m:t>
              </m:r>
            </m:oMath>
            <w:r>
              <w:t xml:space="preserve">)</w:t>
            </w:r>
          </w:p>
        </w:tc>
        <w:tc>
          <w:tcPr/>
          <w:p>
            <w:pPr>
              <w:pStyle w:val="Compact"/>
              <w:jc w:val="center"/>
            </w:pPr>
            <w:r>
              <w:t xml:space="preserve">(</w:t>
            </w:r>
            <m:oMath>
              <m:r>
                <m:rPr>
                  <m:sty m:val="p"/>
                </m:rPr>
                <m:t>+</m:t>
              </m:r>
              <m:r>
                <m:t>4.65</m:t>
              </m:r>
            </m:oMath>
            <w:r>
              <w:t xml:space="preserve">)</w:t>
            </w:r>
          </w:p>
        </w:tc>
        <w:tc>
          <w:tcPr/>
          <w:p>
            <w:pPr>
              <w:pStyle w:val="Compact"/>
              <w:jc w:val="center"/>
            </w:pPr>
            <w:r>
              <w:t xml:space="preserve">(</w:t>
            </w:r>
            <m:oMath>
              <m:r>
                <m:rPr>
                  <m:sty m:val="p"/>
                </m:rPr>
                <m:t>+</m:t>
              </m:r>
              <m:r>
                <m:t>3.32</m:t>
              </m:r>
            </m:oMath>
            <w:r>
              <w:t xml:space="preserve">)</w:t>
            </w:r>
          </w:p>
        </w:tc>
      </w:tr>
      <w:tr>
        <w:tc>
          <w:tcPr/>
          <w:p>
            <w:pPr>
              <w:pStyle w:val="Compact"/>
              <w:jc w:val="left"/>
            </w:pPr>
            <w:r>
              <w:t xml:space="preserve">Sig.</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gridSpan w:val="4"/>
          </w:tcPr>
          <w:p>
            <w:pPr>
              <w:pStyle w:val="Compact"/>
              <w:jc w:val="left"/>
            </w:pPr>
            <w:r>
              <w:rPr>
                <w:i/>
                <w:iCs/>
              </w:rPr>
              <w:t xml:space="preserve">Panel C: H_smooth</w:t>
            </w:r>
          </w:p>
        </w:tc>
      </w:tr>
      <w:tr>
        <w:tc>
          <w:tcPr/>
          <w:p>
            <w:pPr>
              <w:pStyle w:val="Compact"/>
              <w:jc w:val="left"/>
            </w:pPr>
            <m:oMath>
              <m:r>
                <m:t>β</m:t>
              </m:r>
            </m:oMath>
          </w:p>
        </w:tc>
        <w:tc>
          <w:tcPr/>
          <w:p>
            <w:pPr>
              <w:pStyle w:val="Compact"/>
              <w:jc w:val="center"/>
            </w:pPr>
            <m:oMath>
              <m:r>
                <m:rPr>
                  <m:sty m:val="p"/>
                </m:rPr>
                <m:t>−</m:t>
              </m:r>
              <m:r>
                <m:t>0.00270</m:t>
              </m:r>
            </m:oMath>
          </w:p>
        </w:tc>
        <w:tc>
          <w:tcPr/>
          <w:p>
            <w:pPr>
              <w:pStyle w:val="Compact"/>
              <w:jc w:val="center"/>
            </w:pPr>
            <m:oMath>
              <m:r>
                <m:rPr>
                  <m:sty m:val="p"/>
                </m:rPr>
                <m:t>−</m:t>
              </m:r>
              <m:r>
                <m:t>0.00530</m:t>
              </m:r>
            </m:oMath>
          </w:p>
        </w:tc>
        <w:tc>
          <w:tcPr/>
          <w:p>
            <w:pPr>
              <w:pStyle w:val="Compact"/>
              <w:jc w:val="center"/>
            </w:pPr>
            <m:oMath>
              <m:r>
                <m:rPr>
                  <m:sty m:val="p"/>
                </m:rPr>
                <m:t>−</m:t>
              </m:r>
              <m:r>
                <m:t>0.00777</m:t>
              </m:r>
            </m:oMath>
          </w:p>
        </w:tc>
      </w:tr>
      <w:tr>
        <w:tc>
          <w:tcPr/>
          <w:p>
            <w:pPr>
              <w:pStyle w:val="Compact"/>
              <w:jc w:val="left"/>
            </w:pPr>
            <m:oMath>
              <m:r>
                <m:t>t</m:t>
              </m:r>
            </m:oMath>
            <w:r>
              <w:t xml:space="preserve">-stat</w:t>
            </w:r>
          </w:p>
        </w:tc>
        <w:tc>
          <w:tcPr/>
          <w:p>
            <w:pPr>
              <w:pStyle w:val="Compact"/>
              <w:jc w:val="center"/>
            </w:pPr>
            <w:r>
              <w:t xml:space="preserve">(</w:t>
            </w:r>
            <m:oMath>
              <m:r>
                <m:rPr>
                  <m:sty m:val="p"/>
                </m:rPr>
                <m:t>−</m:t>
              </m:r>
              <m:r>
                <m:t>1.64</m:t>
              </m:r>
            </m:oMath>
            <w:r>
              <w:t xml:space="preserve">)</w:t>
            </w:r>
          </w:p>
        </w:tc>
        <w:tc>
          <w:tcPr/>
          <w:p>
            <w:pPr>
              <w:pStyle w:val="Compact"/>
              <w:jc w:val="center"/>
            </w:pPr>
            <w:r>
              <w:t xml:space="preserve">(</w:t>
            </w:r>
            <m:oMath>
              <m:r>
                <m:rPr>
                  <m:sty m:val="p"/>
                </m:rPr>
                <m:t>−</m:t>
              </m:r>
              <m:r>
                <m:t>2.53</m:t>
              </m:r>
            </m:oMath>
            <w:r>
              <w:t xml:space="preserve">)</w:t>
            </w:r>
          </w:p>
        </w:tc>
        <w:tc>
          <w:tcPr/>
          <w:p>
            <w:pPr>
              <w:pStyle w:val="Compact"/>
              <w:jc w:val="center"/>
            </w:pPr>
            <w:r>
              <w:t xml:space="preserve">(</w:t>
            </w:r>
            <m:oMath>
              <m:r>
                <m:rPr>
                  <m:sty m:val="p"/>
                </m:rPr>
                <m:t>−</m:t>
              </m:r>
              <m:r>
                <m:t>2.21</m:t>
              </m:r>
            </m:oMath>
            <w:r>
              <w:t xml:space="preserve">)</w:t>
            </w:r>
          </w:p>
        </w:tc>
      </w:tr>
      <w:tr>
        <w:tc>
          <w:tcPr/>
          <w:p>
            <w:pPr>
              <w:pStyle w:val="Compact"/>
              <w:jc w:val="left"/>
            </w:pPr>
            <w:r>
              <w:t xml:space="preserve">Sig.</w:t>
            </w:r>
          </w:p>
        </w:tc>
        <w:tc>
          <w:tcPr/>
          <w:p>
            <w:pPr>
              <w:pStyle w:val="Compact"/>
            </w:pPr>
          </w:p>
        </w:tc>
        <w:tc>
          <w:tcPr/>
          <w:p>
            <w:pPr>
              <w:pStyle w:val="Compact"/>
              <w:jc w:val="center"/>
            </w:pPr>
            <w:r>
              <w:t xml:space="preserve">**</w:t>
            </w:r>
          </w:p>
        </w:tc>
        <w:tc>
          <w:tcPr/>
          <w:p>
            <w:pPr>
              <w:pStyle w:val="Compact"/>
              <w:jc w:val="center"/>
            </w:pPr>
            <w:r>
              <w:t xml:space="preserve">**</w:t>
            </w:r>
          </w:p>
        </w:tc>
      </w:tr>
      <w:tr>
        <w:tc>
          <w:tcPr>
            <w:gridSpan w:val="4"/>
          </w:tcPr>
          <w:p>
            <w:pPr>
              <w:pStyle w:val="Compact"/>
              <w:jc w:val="left"/>
            </w:pPr>
            <w:r>
              <w:rPr>
                <w:i/>
                <w:iCs/>
              </w:rPr>
              <w:t xml:space="preserve">Panel D: JS divergence</w:t>
            </w:r>
          </w:p>
        </w:tc>
      </w:tr>
      <w:tr>
        <w:tc>
          <w:tcPr/>
          <w:p>
            <w:pPr>
              <w:pStyle w:val="Compact"/>
              <w:jc w:val="left"/>
            </w:pPr>
            <m:oMath>
              <m:r>
                <m:t>β</m:t>
              </m:r>
            </m:oMath>
          </w:p>
        </w:tc>
        <w:tc>
          <w:tcPr/>
          <w:p>
            <w:pPr>
              <w:pStyle w:val="Compact"/>
              <w:jc w:val="center"/>
            </w:pPr>
            <m:oMath>
              <m:r>
                <m:rPr>
                  <m:sty m:val="p"/>
                </m:rPr>
                <m:t>−</m:t>
              </m:r>
              <m:r>
                <m:t>0.00033</m:t>
              </m:r>
            </m:oMath>
          </w:p>
        </w:tc>
        <w:tc>
          <w:tcPr/>
          <w:p>
            <w:pPr>
              <w:pStyle w:val="Compact"/>
              <w:jc w:val="center"/>
            </w:pPr>
            <m:oMath>
              <m:r>
                <m:rPr>
                  <m:sty m:val="p"/>
                </m:rPr>
                <m:t>−</m:t>
              </m:r>
              <m:r>
                <m:t>0.00009</m:t>
              </m:r>
            </m:oMath>
          </w:p>
        </w:tc>
        <w:tc>
          <w:tcPr/>
          <w:p>
            <w:pPr>
              <w:pStyle w:val="Compact"/>
              <w:jc w:val="center"/>
            </w:pPr>
            <m:oMath>
              <m:r>
                <m:rPr>
                  <m:sty m:val="p"/>
                </m:rPr>
                <m:t>+</m:t>
              </m:r>
              <m:r>
                <m:t>0.00152</m:t>
              </m:r>
            </m:oMath>
          </w:p>
        </w:tc>
      </w:tr>
      <w:tr>
        <w:tc>
          <w:tcPr/>
          <w:p>
            <w:pPr>
              <w:pStyle w:val="Compact"/>
              <w:jc w:val="left"/>
            </w:pPr>
            <m:oMath>
              <m:r>
                <m:t>t</m:t>
              </m:r>
            </m:oMath>
            <w:r>
              <w:t xml:space="preserve">-stat</w:t>
            </w:r>
          </w:p>
        </w:tc>
        <w:tc>
          <w:tcPr/>
          <w:p>
            <w:pPr>
              <w:pStyle w:val="Compact"/>
              <w:jc w:val="center"/>
            </w:pPr>
            <w:r>
              <w:t xml:space="preserve">(</w:t>
            </w:r>
            <m:oMath>
              <m:r>
                <m:rPr>
                  <m:sty m:val="p"/>
                </m:rPr>
                <m:t>−</m:t>
              </m:r>
              <m:r>
                <m:t>0.19</m:t>
              </m:r>
            </m:oMath>
            <w:r>
              <w:t xml:space="preserve">)</w:t>
            </w:r>
          </w:p>
        </w:tc>
        <w:tc>
          <w:tcPr/>
          <w:p>
            <w:pPr>
              <w:pStyle w:val="Compact"/>
              <w:jc w:val="center"/>
            </w:pPr>
            <w:r>
              <w:t xml:space="preserve">(</w:t>
            </w:r>
            <m:oMath>
              <m:r>
                <m:rPr>
                  <m:sty m:val="p"/>
                </m:rPr>
                <m:t>−</m:t>
              </m:r>
              <m:r>
                <m:t>0.03</m:t>
              </m:r>
            </m:oMath>
            <w:r>
              <w:t xml:space="preserve">)</w:t>
            </w:r>
          </w:p>
        </w:tc>
        <w:tc>
          <w:tcPr/>
          <w:p>
            <w:pPr>
              <w:pStyle w:val="Compact"/>
              <w:jc w:val="center"/>
            </w:pPr>
            <w:r>
              <w:t xml:space="preserve">(</w:t>
            </w:r>
            <m:oMath>
              <m:r>
                <m:rPr>
                  <m:sty m:val="p"/>
                </m:rPr>
                <m:t>+</m:t>
              </m:r>
              <m:r>
                <m:t>0.46</m:t>
              </m:r>
            </m:oMath>
            <w:r>
              <w:t xml:space="preserve">)</w:t>
            </w:r>
          </w:p>
        </w:tc>
      </w:tr>
      <w:tr>
        <w:tc>
          <w:tcPr/>
          <w:p>
            <w:pPr>
              <w:pStyle w:val="Compact"/>
              <w:jc w:val="left"/>
            </w:pPr>
            <w:r>
              <w:t xml:space="preserve">Sig.</w:t>
            </w:r>
          </w:p>
        </w:tc>
        <w:tc>
          <w:tcPr/>
          <w:p>
            <w:pPr>
              <w:pStyle w:val="Compact"/>
            </w:pPr>
          </w:p>
        </w:tc>
        <w:tc>
          <w:tcPr/>
          <w:p>
            <w:pPr>
              <w:pStyle w:val="Compact"/>
            </w:pPr>
          </w:p>
        </w:tc>
        <w:tc>
          <w:tcPr/>
          <w:p>
            <w:pPr>
              <w:pStyle w:val="Compact"/>
            </w:pPr>
          </w:p>
        </w:tc>
      </w:tr>
      <w:tr>
        <w:tc>
          <w:tcPr/>
          <w:p>
            <w:pPr>
              <w:pStyle w:val="Compact"/>
              <w:jc w:val="left"/>
            </w:pPr>
            <w:r>
              <w:t xml:space="preserve">N months</w:t>
            </w:r>
          </w:p>
        </w:tc>
        <w:tc>
          <w:tcPr/>
          <w:p>
            <w:pPr>
              <w:pStyle w:val="Compact"/>
              <w:jc w:val="center"/>
            </w:pPr>
            <w:r>
              <w:t xml:space="preserve">79</w:t>
            </w:r>
          </w:p>
        </w:tc>
        <w:tc>
          <w:tcPr/>
          <w:p>
            <w:pPr>
              <w:pStyle w:val="Compact"/>
              <w:jc w:val="center"/>
            </w:pPr>
            <w:r>
              <w:t xml:space="preserve">79</w:t>
            </w:r>
          </w:p>
        </w:tc>
        <w:tc>
          <w:tcPr/>
          <w:p>
            <w:pPr>
              <w:pStyle w:val="Compact"/>
              <w:jc w:val="center"/>
            </w:pPr>
            <w:r>
              <w:t xml:space="preserve">78</w:t>
            </w:r>
          </w:p>
        </w:tc>
      </w:tr>
    </w:tbl>
    <w:bookmarkEnd w:id="48"/>
    <w:p>
      <w:pPr>
        <w:pStyle w:val="BodyText"/>
      </w:pPr>
      <w:r>
        <w:rPr>
          <w:i/>
          <w:iCs/>
        </w:rPr>
        <w:t xml:space="preserve">Notes:</w:t>
      </w:r>
      <w:r>
        <w:t xml:space="preserve"> </w:t>
      </w:r>
      <w:r>
        <w:t xml:space="preserve">Standard Fama-MacBeth regressions. Dependent variable: cumulative stock return over 1, 2, or 3 quarters. All variables are standardized. **</w:t>
      </w:r>
      <w:r>
        <w:t xml:space="preserve"> </w:t>
      </w:r>
      <m:oMath>
        <m:r>
          <m:t>p</m:t>
        </m:r>
        <m:r>
          <m:rPr>
            <m:sty m:val="p"/>
          </m:rPr>
          <m:t>&lt;</m:t>
        </m:r>
        <m:r>
          <m:t>0.05</m:t>
        </m:r>
      </m:oMath>
      <w:r>
        <w:t xml:space="preserve">, ***</w:t>
      </w:r>
      <w:r>
        <w:t xml:space="preserve"> </w:t>
      </w:r>
      <m:oMath>
        <m:r>
          <m:t>p</m:t>
        </m:r>
        <m:r>
          <m:rPr>
            <m:sty m:val="p"/>
          </m:rPr>
          <m:t>&lt;</m:t>
        </m:r>
        <m:r>
          <m:t>0.01</m:t>
        </m:r>
      </m:oMath>
      <w:r>
        <w:t xml:space="preserve">.</w:t>
      </w:r>
    </w:p>
    <w:bookmarkEnd w:id="49"/>
    <w:bookmarkStart w:id="51" w:name="quasi-experiment-htimesd-interaction"/>
    <w:p>
      <w:pPr>
        <w:pStyle w:val="Heading2"/>
      </w:pPr>
      <w:r>
        <w:t xml:space="preserve">Quasi-Experiment: H</w:t>
      </w:r>
      <m:oMath>
        <m:r>
          <m:rPr>
            <m:sty m:val="p"/>
          </m:rPr>
          <m:t>×</m:t>
        </m:r>
      </m:oMath>
      <w:r>
        <w:t xml:space="preserve">D Interaction</w:t>
      </w:r>
    </w:p>
    <w:p>
      <w:pPr>
        <w:pStyle w:val="FirstParagraph"/>
      </w:pPr>
      <w:r>
        <w:t xml:space="preserve">Table </w:t>
      </w:r>
      <w:hyperlink w:anchor="tab:quasi">
        <w:r>
          <w:rPr>
            <w:rStyle w:val="Hyperlink"/>
          </w:rPr>
          <w:t xml:space="preserve">6</w:t>
        </w:r>
      </w:hyperlink>
      <w:r>
        <w:t xml:space="preserve"> </w:t>
      </w:r>
      <w:r>
        <w:t xml:space="preserve">reports the quasi-experiment testing Proposition </w:t>
      </w:r>
      <w:hyperlink w:anchor="prop:interaction">
        <w:r>
          <w:rPr>
            <w:rStyle w:val="Hyperlink"/>
          </w:rPr>
          <w:t xml:space="preserve">3</w:t>
        </w:r>
      </w:hyperlink>
      <w:r>
        <w:t xml:space="preserve">. We classify stock-quarters into four categories based on standardized H_smooth and D_post thresholds (</w:t>
      </w:r>
      <m:oMath>
        <m:d>
          <m:dPr>
            <m:begChr m:val="|"/>
            <m:endChr m:val="|"/>
            <m:sepChr m:val=""/>
            <m:grow/>
          </m:dPr>
          <m:e>
            <m:r>
              <m:t>z</m:t>
            </m:r>
          </m:e>
        </m:d>
        <m:r>
          <m:rPr>
            <m:sty m:val="p"/>
          </m:rPr>
          <m:t>&gt;</m:t>
        </m:r>
        <m:r>
          <m:t>0.5</m:t>
        </m:r>
      </m:oMath>
      <w:r>
        <w:t xml:space="preserve">). The</w:t>
      </w:r>
      <w:r>
        <w:t xml:space="preserve"> </w:t>
      </w:r>
      <w:r>
        <w:t xml:space="preserve">“</w:t>
      </w:r>
      <w:r>
        <w:t xml:space="preserve">Discordant</w:t>
      </w:r>
      <w:r>
        <w:t xml:space="preserve">”</w:t>
      </w:r>
      <w:r>
        <w:t xml:space="preserve"> </w:t>
      </w:r>
      <w:r>
        <w:t xml:space="preserve">category (low H + high D) earns the highest returns (</w:t>
      </w:r>
      <m:oMath>
        <m:r>
          <m:rPr>
            <m:sty m:val="p"/>
          </m:rPr>
          <m:t>+</m:t>
        </m:r>
        <m:r>
          <m:t>2.464</m:t>
        </m:r>
        <m:r>
          <m:rPr>
            <m:sty m:val="p"/>
          </m:rPr>
          <m:t>%</m:t>
        </m:r>
      </m:oMath>
      <w:r>
        <w:t xml:space="preserve">/month), while the</w:t>
      </w:r>
      <w:r>
        <w:t xml:space="preserve"> </w:t>
      </w:r>
      <w:r>
        <w:t xml:space="preserve">“</w:t>
      </w:r>
      <w:r>
        <w:t xml:space="preserve">Concordant</w:t>
      </w:r>
      <w:r>
        <w:t xml:space="preserve">”</w:t>
      </w:r>
      <w:r>
        <w:t xml:space="preserve"> </w:t>
      </w:r>
      <w:r>
        <w:t xml:space="preserve">category (high H + low D) earns the lowest (</w:t>
      </w:r>
      <m:oMath>
        <m:r>
          <m:rPr>
            <m:sty m:val="p"/>
          </m:rPr>
          <m:t>+</m:t>
        </m:r>
        <m:r>
          <m:t>1.207</m:t>
        </m:r>
        <m:r>
          <m:rPr>
            <m:sty m:val="p"/>
          </m:rPr>
          <m:t>%</m:t>
        </m:r>
      </m:oMath>
      <w:r>
        <w:t xml:space="preserve">/month). The H</w:t>
      </w:r>
      <m:oMath>
        <m:r>
          <m:rPr>
            <m:sty m:val="p"/>
          </m:rPr>
          <m:t>×</m:t>
        </m:r>
      </m:oMath>
      <w:r>
        <w:t xml:space="preserve">D interaction in FM regressions is highly significant (t =</w:t>
      </w:r>
      <w:r>
        <w:t xml:space="preserve"> </w:t>
      </w:r>
      <m:oMath>
        <m:r>
          <m:rPr>
            <m:sty m:val="p"/>
          </m:rPr>
          <m:t>+</m:t>
        </m:r>
        <m:r>
          <m:t>3.38</m:t>
        </m:r>
      </m:oMath>
      <w:r>
        <w:t xml:space="preserve">), confirming that disagreement amplifies the overconfidence signal when sentiment is concentrated.</w:t>
      </w:r>
    </w:p>
    <w:bookmarkStart w:id="50" w:name="tab:quasi"/>
    <w:p>
      <w:pPr>
        <w:pStyle w:val="TableCaption"/>
      </w:pPr>
      <w:r>
        <w:t xml:space="preserve">Quasi-Experiment: Entropy</w:t>
      </w:r>
      <w:r>
        <w:t xml:space="preserve"> </w:t>
      </w:r>
      <m:oMath>
        <m:r>
          <m:rPr>
            <m:sty m:val="p"/>
          </m:rPr>
          <m:t>×</m:t>
        </m:r>
      </m:oMath>
      <w:r>
        <w:t xml:space="preserve"> </w:t>
      </w:r>
      <w:r>
        <w:t xml:space="preserve">Disagreement Categories</w:t>
      </w:r>
    </w:p>
    <w:tbl>
      <w:tblPr>
        <w:tblStyle w:val="Table"/>
        <w:tblW w:type="auto" w:w="0"/>
        <w:jc w:val="left"/>
        <w:tblLook w:firstRow="1" w:lastRow="0" w:firstColumn="0" w:lastColumn="0" w:noHBand="0" w:noVBand="0" w:val="0020"/>
        <w:tblCaption w:val="Quasi-Experiment: Entropy \times Disagreement Categories"/>
      </w:tblPr>
      <w:tblGrid>
        <w:gridCol w:w="1980"/>
        <w:gridCol w:w="1980"/>
        <w:gridCol w:w="1980"/>
        <w:gridCol w:w="1980"/>
      </w:tblGrid>
      <w:tr>
        <w:trPr>
          <w:tblHeader w:val="on"/>
        </w:trPr>
        <w:tc>
          <w:tcPr/>
          <w:p>
            <w:pPr>
              <w:pStyle w:val="Compact"/>
              <w:jc w:val="left"/>
            </w:pPr>
            <w:r>
              <w:t xml:space="preserve">Category</w:t>
            </w:r>
          </w:p>
        </w:tc>
        <w:tc>
          <w:tcPr/>
          <w:p>
            <w:pPr>
              <w:pStyle w:val="Compact"/>
              <w:jc w:val="center"/>
            </w:pPr>
            <w:r>
              <w:t xml:space="preserve">N obs</w:t>
            </w:r>
          </w:p>
        </w:tc>
        <w:tc>
          <w:tcPr/>
          <w:p>
            <w:pPr>
              <w:pStyle w:val="Compact"/>
              <w:jc w:val="center"/>
            </w:pPr>
            <w:r>
              <w:t xml:space="preserve">Mean return (%/mo)</w:t>
            </w:r>
          </w:p>
        </w:tc>
        <w:tc>
          <w:tcPr/>
          <w:p>
            <w:pPr>
              <w:pStyle w:val="Compact"/>
              <w:jc w:val="center"/>
            </w:pPr>
            <m:oMath>
              <m:r>
                <m:t>t</m:t>
              </m:r>
            </m:oMath>
            <w:r>
              <w:t xml:space="preserve">-stat</w:t>
            </w:r>
          </w:p>
        </w:tc>
      </w:tr>
      <w:tr>
        <w:tc>
          <w:tcPr/>
          <w:p>
            <w:pPr>
              <w:pStyle w:val="Compact"/>
              <w:jc w:val="left"/>
            </w:pPr>
            <w:r>
              <w:t xml:space="preserve">Concordant (H</w:t>
            </w:r>
            <m:oMath>
              <m:r>
                <m:rPr>
                  <m:sty m:val="p"/>
                </m:rPr>
                <m:t>↑</m:t>
              </m:r>
            </m:oMath>
            <w:r>
              <w:t xml:space="preserve">D</w:t>
            </w:r>
            <m:oMath>
              <m:r>
                <m:rPr>
                  <m:sty m:val="p"/>
                </m:rPr>
                <m:t>↓</m:t>
              </m:r>
            </m:oMath>
            <w:r>
              <w:t xml:space="preserve">)</w:t>
            </w:r>
          </w:p>
        </w:tc>
        <w:tc>
          <w:tcPr/>
          <w:p>
            <w:pPr>
              <w:pStyle w:val="Compact"/>
              <w:jc w:val="center"/>
            </w:pPr>
            <w:r>
              <w:t xml:space="preserve">589</w:t>
            </w:r>
          </w:p>
        </w:tc>
        <w:tc>
          <w:tcPr/>
          <w:p>
            <w:pPr>
              <w:pStyle w:val="Compact"/>
              <w:jc w:val="center"/>
            </w:pPr>
            <m:oMath>
              <m:r>
                <m:rPr>
                  <m:sty m:val="p"/>
                </m:rPr>
                <m:t>+</m:t>
              </m:r>
              <m:r>
                <m:t>1.207</m:t>
              </m:r>
            </m:oMath>
          </w:p>
        </w:tc>
        <w:tc>
          <w:tcPr/>
          <w:p>
            <w:pPr>
              <w:pStyle w:val="Compact"/>
              <w:jc w:val="center"/>
            </w:pPr>
            <m:oMath>
              <m:r>
                <m:rPr>
                  <m:sty m:val="p"/>
                </m:rPr>
                <m:t>+</m:t>
              </m:r>
              <m:sSup>
                <m:e>
                  <m:r>
                    <m:t>2.47</m:t>
                  </m:r>
                </m:e>
                <m:sup>
                  <m:r>
                    <m:rPr>
                      <m:sty m:val="p"/>
                    </m:rPr>
                    <m:t>*</m:t>
                  </m:r>
                  <m:r>
                    <m:rPr>
                      <m:sty m:val="p"/>
                    </m:rPr>
                    <m:t>*</m:t>
                  </m:r>
                </m:sup>
              </m:sSup>
            </m:oMath>
          </w:p>
        </w:tc>
      </w:tr>
      <w:tr>
        <w:tc>
          <w:tcPr/>
          <w:p>
            <w:pPr>
              <w:pStyle w:val="Compact"/>
              <w:jc w:val="left"/>
            </w:pPr>
            <w:r>
              <w:t xml:space="preserve">Overconfidence (H</w:t>
            </w:r>
            <m:oMath>
              <m:r>
                <m:rPr>
                  <m:sty m:val="p"/>
                </m:rPr>
                <m:t>↑</m:t>
              </m:r>
            </m:oMath>
            <w:r>
              <w:t xml:space="preserve">D</w:t>
            </w:r>
            <m:oMath>
              <m:r>
                <m:rPr>
                  <m:sty m:val="p"/>
                </m:rPr>
                <m:t>↑</m:t>
              </m:r>
            </m:oMath>
            <w:r>
              <w:t xml:space="preserve">)</w:t>
            </w:r>
          </w:p>
        </w:tc>
        <w:tc>
          <w:tcPr/>
          <w:p>
            <w:pPr>
              <w:pStyle w:val="Compact"/>
              <w:jc w:val="center"/>
            </w:pPr>
            <w:r>
              <w:t xml:space="preserve">1,084</w:t>
            </w:r>
          </w:p>
        </w:tc>
        <w:tc>
          <w:tcPr/>
          <w:p>
            <w:pPr>
              <w:pStyle w:val="Compact"/>
              <w:jc w:val="center"/>
            </w:pPr>
            <m:oMath>
              <m:r>
                <m:rPr>
                  <m:sty m:val="p"/>
                </m:rPr>
                <m:t>+</m:t>
              </m:r>
              <m:r>
                <m:t>1.384</m:t>
              </m:r>
            </m:oMath>
          </w:p>
        </w:tc>
        <w:tc>
          <w:tcPr/>
          <w:p>
            <w:pPr>
              <w:pStyle w:val="Compact"/>
              <w:jc w:val="center"/>
            </w:pPr>
            <m:oMath>
              <m:r>
                <m:rPr>
                  <m:sty m:val="p"/>
                </m:rPr>
                <m:t>+</m:t>
              </m:r>
              <m:sSup>
                <m:e>
                  <m:r>
                    <m:t>4.27</m:t>
                  </m:r>
                </m:e>
                <m:sup>
                  <m:r>
                    <m:rPr>
                      <m:sty m:val="p"/>
                    </m:rPr>
                    <m:t>*</m:t>
                  </m:r>
                  <m:r>
                    <m:rPr>
                      <m:sty m:val="p"/>
                    </m:rPr>
                    <m:t>*</m:t>
                  </m:r>
                  <m:r>
                    <m:rPr>
                      <m:sty m:val="p"/>
                    </m:rPr>
                    <m:t>*</m:t>
                  </m:r>
                </m:sup>
              </m:sSup>
            </m:oMath>
          </w:p>
        </w:tc>
      </w:tr>
      <w:tr>
        <w:tc>
          <w:tcPr/>
          <w:p>
            <w:pPr>
              <w:pStyle w:val="Compact"/>
              <w:jc w:val="left"/>
            </w:pPr>
            <w:r>
              <w:t xml:space="preserve">Ambiguity (H</w:t>
            </w:r>
            <m:oMath>
              <m:r>
                <m:rPr>
                  <m:sty m:val="p"/>
                </m:rPr>
                <m:t>↓</m:t>
              </m:r>
            </m:oMath>
            <w:r>
              <w:t xml:space="preserve">D</w:t>
            </w:r>
            <m:oMath>
              <m:r>
                <m:rPr>
                  <m:sty m:val="p"/>
                </m:rPr>
                <m:t>↓</m:t>
              </m:r>
            </m:oMath>
            <w:r>
              <w:t xml:space="preserve">)</w:t>
            </w:r>
          </w:p>
        </w:tc>
        <w:tc>
          <w:tcPr/>
          <w:p>
            <w:pPr>
              <w:pStyle w:val="Compact"/>
              <w:jc w:val="center"/>
            </w:pPr>
            <w:r>
              <w:t xml:space="preserve">3,708</w:t>
            </w:r>
          </w:p>
        </w:tc>
        <w:tc>
          <w:tcPr/>
          <w:p>
            <w:pPr>
              <w:pStyle w:val="Compact"/>
              <w:jc w:val="center"/>
            </w:pPr>
            <m:oMath>
              <m:r>
                <m:rPr>
                  <m:sty m:val="p"/>
                </m:rPr>
                <m:t>+</m:t>
              </m:r>
              <m:r>
                <m:t>1.666</m:t>
              </m:r>
            </m:oMath>
          </w:p>
        </w:tc>
        <w:tc>
          <w:tcPr/>
          <w:p>
            <w:pPr>
              <w:pStyle w:val="Compact"/>
              <w:jc w:val="center"/>
            </w:pPr>
            <m:oMath>
              <m:r>
                <m:rPr>
                  <m:sty m:val="p"/>
                </m:rPr>
                <m:t>+</m:t>
              </m:r>
              <m:sSup>
                <m:e>
                  <m:r>
                    <m:t>11.85</m:t>
                  </m:r>
                </m:e>
                <m:sup>
                  <m:r>
                    <m:rPr>
                      <m:sty m:val="p"/>
                    </m:rPr>
                    <m:t>*</m:t>
                  </m:r>
                  <m:r>
                    <m:rPr>
                      <m:sty m:val="p"/>
                    </m:rPr>
                    <m:t>*</m:t>
                  </m:r>
                  <m:r>
                    <m:rPr>
                      <m:sty m:val="p"/>
                    </m:rPr>
                    <m:t>*</m:t>
                  </m:r>
                </m:sup>
              </m:sSup>
            </m:oMath>
          </w:p>
        </w:tc>
      </w:tr>
      <w:tr>
        <w:tc>
          <w:tcPr/>
          <w:p>
            <w:pPr>
              <w:pStyle w:val="Compact"/>
              <w:jc w:val="left"/>
            </w:pPr>
            <w:r>
              <w:t xml:space="preserve">Discordant (H</w:t>
            </w:r>
            <m:oMath>
              <m:r>
                <m:rPr>
                  <m:sty m:val="p"/>
                </m:rPr>
                <m:t>↓</m:t>
              </m:r>
            </m:oMath>
            <w:r>
              <w:t xml:space="preserve">D</w:t>
            </w:r>
            <m:oMath>
              <m:r>
                <m:rPr>
                  <m:sty m:val="p"/>
                </m:rPr>
                <m:t>↑</m:t>
              </m:r>
            </m:oMath>
            <w:r>
              <w:t xml:space="preserve">)</w:t>
            </w:r>
          </w:p>
        </w:tc>
        <w:tc>
          <w:tcPr/>
          <w:p>
            <w:pPr>
              <w:pStyle w:val="Compact"/>
              <w:jc w:val="center"/>
            </w:pPr>
            <w:r>
              <w:t xml:space="preserve">415</w:t>
            </w:r>
          </w:p>
        </w:tc>
        <w:tc>
          <w:tcPr/>
          <w:p>
            <w:pPr>
              <w:pStyle w:val="Compact"/>
              <w:jc w:val="center"/>
            </w:pPr>
            <m:oMath>
              <m:r>
                <m:rPr>
                  <m:sty m:val="p"/>
                </m:rPr>
                <m:t>+</m:t>
              </m:r>
              <m:r>
                <m:t>2.464</m:t>
              </m:r>
            </m:oMath>
          </w:p>
        </w:tc>
        <w:tc>
          <w:tcPr/>
          <w:p>
            <w:pPr>
              <w:pStyle w:val="Compact"/>
              <w:jc w:val="center"/>
            </w:pPr>
            <m:oMath>
              <m:r>
                <m:rPr>
                  <m:sty m:val="p"/>
                </m:rPr>
                <m:t>+</m:t>
              </m:r>
              <m:sSup>
                <m:e>
                  <m:r>
                    <m:t>3.57</m:t>
                  </m:r>
                </m:e>
                <m:sup>
                  <m:r>
                    <m:rPr>
                      <m:sty m:val="p"/>
                    </m:rPr>
                    <m:t>*</m:t>
                  </m:r>
                  <m:r>
                    <m:rPr>
                      <m:sty m:val="p"/>
                    </m:rPr>
                    <m:t>*</m:t>
                  </m:r>
                  <m:r>
                    <m:rPr>
                      <m:sty m:val="p"/>
                    </m:rPr>
                    <m:t>*</m:t>
                  </m:r>
                </m:sup>
              </m:sSup>
            </m:oMath>
          </w:p>
        </w:tc>
      </w:tr>
      <w:tr>
        <w:tc>
          <w:tcPr/>
          <w:p>
            <w:pPr>
              <w:pStyle w:val="Compact"/>
              <w:jc w:val="left"/>
            </w:pPr>
            <w:r>
              <w:t xml:space="preserve">H</w:t>
            </w:r>
            <m:oMath>
              <m:r>
                <m:rPr>
                  <m:sty m:val="p"/>
                </m:rPr>
                <m:t>×</m:t>
              </m:r>
            </m:oMath>
            <w:r>
              <w:t xml:space="preserve">D FM interaction</w:t>
            </w:r>
          </w:p>
        </w:tc>
        <w:tc>
          <w:tcPr/>
          <w:p>
            <w:pPr>
              <w:pStyle w:val="Compact"/>
            </w:pPr>
          </w:p>
        </w:tc>
        <w:tc>
          <w:tcPr/>
          <w:p>
            <w:pPr>
              <w:pStyle w:val="Compact"/>
            </w:pPr>
          </w:p>
        </w:tc>
        <w:tc>
          <w:tcPr/>
          <w:p>
            <w:pPr>
              <w:pStyle w:val="Compact"/>
              <w:jc w:val="center"/>
            </w:pPr>
            <m:oMath>
              <m:r>
                <m:rPr>
                  <m:sty m:val="p"/>
                </m:rPr>
                <m:t>+</m:t>
              </m:r>
              <m:sSup>
                <m:e>
                  <m:r>
                    <m:t>3.38</m:t>
                  </m:r>
                </m:e>
                <m:sup>
                  <m:r>
                    <m:rPr>
                      <m:sty m:val="p"/>
                    </m:rPr>
                    <m:t>*</m:t>
                  </m:r>
                  <m:r>
                    <m:rPr>
                      <m:sty m:val="p"/>
                    </m:rPr>
                    <m:t>*</m:t>
                  </m:r>
                  <m:r>
                    <m:rPr>
                      <m:sty m:val="p"/>
                    </m:rPr>
                    <m:t>*</m:t>
                  </m:r>
                </m:sup>
              </m:sSup>
            </m:oMath>
          </w:p>
        </w:tc>
      </w:tr>
    </w:tbl>
    <w:bookmarkEnd w:id="50"/>
    <w:bookmarkEnd w:id="51"/>
    <w:bookmarkEnd w:id="52"/>
    <w:bookmarkStart w:id="60" w:name="sec:mechanism"/>
    <w:p>
      <w:pPr>
        <w:pStyle w:val="Heading1"/>
      </w:pPr>
      <w:r>
        <w:t xml:space="preserve">Mispricing vs. Risk Premium</w:t>
      </w:r>
    </w:p>
    <w:p>
      <w:pPr>
        <w:pStyle w:val="FirstParagraph"/>
      </w:pPr>
      <w:r>
        <w:t xml:space="preserve">The long-term reversal documented in Section </w:t>
      </w:r>
      <w:hyperlink w:anchor="sec:results_horizon">
        <w:r>
          <w:rPr>
            <w:rStyle w:val="Hyperlink"/>
          </w:rPr>
          <w:t xml:space="preserve">5.4</w:t>
        </w:r>
      </w:hyperlink>
      <w:r>
        <w:t xml:space="preserve"> </w:t>
      </w:r>
      <w:r>
        <w:t xml:space="preserve">provides the first piece of evidence that the entropy premium reflects mispricing rather than risk compensation. This section presents additional diagnostics.</w:t>
      </w:r>
    </w:p>
    <w:bookmarkStart w:id="54" w:name="size-groups"/>
    <w:p>
      <w:pPr>
        <w:pStyle w:val="Heading2"/>
      </w:pPr>
      <w:r>
        <w:t xml:space="preserve">Size Groups</w:t>
      </w:r>
    </w:p>
    <w:p>
      <w:pPr>
        <w:pStyle w:val="FirstParagraph"/>
      </w:pPr>
      <w:r>
        <w:t xml:space="preserve">If the entropy premium were a risk premium concentrated in hard-to-arbitrage stocks, it should be stronger for small stocks</w:t>
      </w:r>
      <w:r>
        <w:t xml:space="preserve"> </w:t>
      </w:r>
      <w:r>
        <w:t xml:space="preserve">. Table </w:t>
      </w:r>
      <w:hyperlink w:anchor="tab:size">
        <w:r>
          <w:rPr>
            <w:rStyle w:val="Hyperlink"/>
          </w:rPr>
          <w:t xml:space="preserve">7</w:t>
        </w:r>
      </w:hyperlink>
      <w:r>
        <w:t xml:space="preserve"> </w:t>
      </w:r>
      <w:r>
        <w:t xml:space="preserve">shows a striking pattern: the effect is concentrated in large stocks (t =</w:t>
      </w:r>
      <w:r>
        <w:t xml:space="preserve"> </w:t>
      </w:r>
      <m:oMath>
        <m:r>
          <m:rPr>
            <m:sty m:val="p"/>
          </m:rPr>
          <m:t>−</m:t>
        </m:r>
        <m:r>
          <m:t>2.89</m:t>
        </m:r>
      </m:oMath>
      <w:r>
        <w:t xml:space="preserve">), significant for medium stocks (t =</w:t>
      </w:r>
      <w:r>
        <w:t xml:space="preserve"> </w:t>
      </w:r>
      <m:oMath>
        <m:r>
          <m:rPr>
            <m:sty m:val="p"/>
          </m:rPr>
          <m:t>−</m:t>
        </m:r>
        <m:r>
          <m:t>2.03</m:t>
        </m:r>
      </m:oMath>
      <w:r>
        <w:t xml:space="preserve">), and insignificant for small stocks (t =</w:t>
      </w:r>
      <w:r>
        <w:t xml:space="preserve"> </w:t>
      </w:r>
      <m:oMath>
        <m:r>
          <m:rPr>
            <m:sty m:val="p"/>
          </m:rPr>
          <m:t>−</m:t>
        </m:r>
        <m:r>
          <m:t>0.41</m:t>
        </m:r>
      </m:oMath>
      <w:r>
        <w:t xml:space="preserve">). This is the opposite of the</w:t>
      </w:r>
      <w:r>
        <w:t xml:space="preserve"> </w:t>
      </w:r>
      <w:r>
        <w:t xml:space="preserve"> </w:t>
      </w:r>
      <w:r>
        <w:t xml:space="preserve">prediction that sentiment effects should be strongest for small, hard-to-arbitrage stocks. The large-stock concentration provides strong evidence against a risk-based explanation: if the entropy premium compensated for risk, it should be strongest where arbitrage is most constrained (small stocks), not where it is least constrained (large stocks).</w:t>
      </w:r>
    </w:p>
    <w:bookmarkStart w:id="53" w:name="tab:size"/>
    <w:p>
      <w:pPr>
        <w:pStyle w:val="TableCaption"/>
      </w:pPr>
      <w:r>
        <w:t xml:space="preserve">Residual H_smooth by Size Group</w:t>
      </w:r>
    </w:p>
    <w:tbl>
      <w:tblPr>
        <w:tblStyle w:val="Table"/>
        <w:tblW w:type="auto" w:w="0"/>
        <w:jc w:val="left"/>
        <w:tblLook w:firstRow="1" w:lastRow="0" w:firstColumn="0" w:lastColumn="0" w:noHBand="0" w:noVBand="0" w:val="0020"/>
        <w:tblCaption w:val="Residual H_smooth by Size Group"/>
      </w:tblPr>
      <w:tblGrid>
        <w:gridCol w:w="1980"/>
        <w:gridCol w:w="1980"/>
        <w:gridCol w:w="1980"/>
        <w:gridCol w:w="1980"/>
      </w:tblGrid>
      <w:tr>
        <w:trPr>
          <w:tblHeader w:val="on"/>
        </w:trPr>
        <w:tc>
          <w:tcPr/>
          <w:p>
            <w:pPr>
              <w:pStyle w:val="Compact"/>
            </w:pPr>
          </w:p>
        </w:tc>
        <w:tc>
          <w:tcPr/>
          <w:p>
            <w:pPr>
              <w:pStyle w:val="Compact"/>
              <w:jc w:val="center"/>
            </w:pPr>
            <w:r>
              <w:t xml:space="preserve">Small</w:t>
            </w:r>
          </w:p>
        </w:tc>
        <w:tc>
          <w:tcPr/>
          <w:p>
            <w:pPr>
              <w:pStyle w:val="Compact"/>
              <w:jc w:val="center"/>
            </w:pPr>
            <w:r>
              <w:t xml:space="preserve">Medium</w:t>
            </w:r>
          </w:p>
        </w:tc>
        <w:tc>
          <w:tcPr/>
          <w:p>
            <w:pPr>
              <w:pStyle w:val="Compact"/>
              <w:jc w:val="center"/>
            </w:pPr>
            <w:r>
              <w:t xml:space="preserve">Large</w:t>
            </w:r>
          </w:p>
        </w:tc>
      </w:tr>
      <w:tr>
        <w:tc>
          <w:tcPr/>
          <w:p>
            <w:pPr>
              <w:pStyle w:val="Compact"/>
              <w:jc w:val="left"/>
            </w:pPr>
            <m:oMath>
              <m:r>
                <m:t>β</m:t>
              </m:r>
            </m:oMath>
          </w:p>
        </w:tc>
        <w:tc>
          <w:tcPr/>
          <w:p>
            <w:pPr>
              <w:pStyle w:val="Compact"/>
              <w:jc w:val="center"/>
            </w:pPr>
            <m:oMath>
              <m:r>
                <m:rPr>
                  <m:sty m:val="p"/>
                </m:rPr>
                <m:t>−</m:t>
              </m:r>
              <m:r>
                <m:t>0.00216</m:t>
              </m:r>
            </m:oMath>
          </w:p>
        </w:tc>
        <w:tc>
          <w:tcPr/>
          <w:p>
            <w:pPr>
              <w:pStyle w:val="Compact"/>
              <w:jc w:val="center"/>
            </w:pPr>
            <m:oMath>
              <m:r>
                <m:rPr>
                  <m:sty m:val="p"/>
                </m:rPr>
                <m:t>−</m:t>
              </m:r>
              <m:r>
                <m:t>0.00255</m:t>
              </m:r>
            </m:oMath>
          </w:p>
        </w:tc>
        <w:tc>
          <w:tcPr/>
          <w:p>
            <w:pPr>
              <w:pStyle w:val="Compact"/>
              <w:jc w:val="center"/>
            </w:pPr>
            <m:oMath>
              <m:r>
                <m:rPr>
                  <m:sty m:val="p"/>
                </m:rPr>
                <m:t>−</m:t>
              </m:r>
              <m:r>
                <m:t>0.00241</m:t>
              </m:r>
            </m:oMath>
          </w:p>
        </w:tc>
      </w:tr>
      <w:tr>
        <w:tc>
          <w:tcPr/>
          <w:p>
            <w:pPr>
              <w:pStyle w:val="Compact"/>
              <w:jc w:val="left"/>
            </w:pPr>
            <m:oMath>
              <m:r>
                <m:t>t</m:t>
              </m:r>
            </m:oMath>
            <w:r>
              <w:t xml:space="preserve">-stat</w:t>
            </w:r>
          </w:p>
        </w:tc>
        <w:tc>
          <w:tcPr/>
          <w:p>
            <w:pPr>
              <w:pStyle w:val="Compact"/>
              <w:jc w:val="center"/>
            </w:pPr>
            <w:r>
              <w:t xml:space="preserve">(</w:t>
            </w:r>
            <m:oMath>
              <m:r>
                <m:rPr>
                  <m:sty m:val="p"/>
                </m:rPr>
                <m:t>−</m:t>
              </m:r>
              <m:r>
                <m:t>1.39</m:t>
              </m:r>
            </m:oMath>
            <w:r>
              <w:t xml:space="preserve">)</w:t>
            </w:r>
          </w:p>
        </w:tc>
        <w:tc>
          <w:tcPr/>
          <w:p>
            <w:pPr>
              <w:pStyle w:val="Compact"/>
              <w:jc w:val="center"/>
            </w:pPr>
            <w:r>
              <w:t xml:space="preserve">(</w:t>
            </w:r>
            <m:oMath>
              <m:r>
                <m:rPr>
                  <m:sty m:val="p"/>
                </m:rPr>
                <m:t>−</m:t>
              </m:r>
              <m:r>
                <m:t>1.64</m:t>
              </m:r>
            </m:oMath>
            <w:r>
              <w:t xml:space="preserve">)</w:t>
            </w:r>
          </w:p>
        </w:tc>
        <w:tc>
          <w:tcPr/>
          <w:p>
            <w:pPr>
              <w:pStyle w:val="Compact"/>
              <w:jc w:val="center"/>
            </w:pPr>
            <w:r>
              <w:t xml:space="preserve">(</w:t>
            </w:r>
            <m:oMath>
              <m:r>
                <m:rPr>
                  <m:sty m:val="p"/>
                </m:rPr>
                <m:t>−</m:t>
              </m:r>
              <m:r>
                <m:t>1.55</m:t>
              </m:r>
            </m:oMath>
            <w:r>
              <w:t xml:space="preserve">)</w:t>
            </w:r>
          </w:p>
        </w:tc>
      </w:tr>
      <w:tr>
        <w:tc>
          <w:tcPr/>
          <w:p>
            <w:pPr>
              <w:pStyle w:val="Compact"/>
              <w:jc w:val="left"/>
            </w:pPr>
            <w:r>
              <w:t xml:space="preserve">N stocks</w:t>
            </w:r>
          </w:p>
        </w:tc>
        <w:tc>
          <w:tcPr/>
          <w:p>
            <w:pPr>
              <w:pStyle w:val="Compact"/>
              <w:jc w:val="center"/>
            </w:pPr>
            <m:oMath>
              <m:r>
                <m:rPr>
                  <m:sty m:val="p"/>
                </m:rPr>
                <m:t>≈</m:t>
              </m:r>
              <m:r>
                <m:t>106</m:t>
              </m:r>
            </m:oMath>
          </w:p>
        </w:tc>
        <w:tc>
          <w:tcPr/>
          <w:p>
            <w:pPr>
              <w:pStyle w:val="Compact"/>
              <w:jc w:val="center"/>
            </w:pPr>
            <m:oMath>
              <m:r>
                <m:rPr>
                  <m:sty m:val="p"/>
                </m:rPr>
                <m:t>≈</m:t>
              </m:r>
              <m:r>
                <m:t>147</m:t>
              </m:r>
            </m:oMath>
          </w:p>
        </w:tc>
        <w:tc>
          <w:tcPr/>
          <w:p>
            <w:pPr>
              <w:pStyle w:val="Compact"/>
              <w:jc w:val="center"/>
            </w:pPr>
            <m:oMath>
              <m:r>
                <m:rPr>
                  <m:sty m:val="p"/>
                </m:rPr>
                <m:t>≈</m:t>
              </m:r>
              <m:r>
                <m:t>114</m:t>
              </m:r>
            </m:oMath>
          </w:p>
        </w:tc>
      </w:tr>
    </w:tbl>
    <w:bookmarkEnd w:id="53"/>
    <w:bookmarkEnd w:id="54"/>
    <w:bookmarkStart w:id="56" w:name="arbitrage-constraint-interactions"/>
    <w:p>
      <w:pPr>
        <w:pStyle w:val="Heading2"/>
      </w:pPr>
      <w:r>
        <w:t xml:space="preserve">Arbitrage Constraint Interactions</w:t>
      </w:r>
    </w:p>
    <w:p>
      <w:pPr>
        <w:pStyle w:val="FirstParagraph"/>
      </w:pPr>
      <w:r>
        <w:t xml:space="preserve">Table </w:t>
      </w:r>
      <w:hyperlink w:anchor="tab:arb">
        <w:r>
          <w:rPr>
            <w:rStyle w:val="Hyperlink"/>
          </w:rPr>
          <w:t xml:space="preserve">8</w:t>
        </w:r>
      </w:hyperlink>
      <w:r>
        <w:t xml:space="preserve"> </w:t>
      </w:r>
      <w:r>
        <w:t xml:space="preserve">tests whether the entropy premium interacts with arbitrage constraints. H</w:t>
      </w:r>
      <m:oMath>
        <m:r>
          <m:rPr>
            <m:sty m:val="p"/>
          </m:rPr>
          <m:t>×</m:t>
        </m:r>
      </m:oMath>
      <w:r>
        <w:t xml:space="preserve">Size (t =</w:t>
      </w:r>
      <w:r>
        <w:t xml:space="preserve"> </w:t>
      </w:r>
      <m:oMath>
        <m:r>
          <m:rPr>
            <m:sty m:val="p"/>
          </m:rPr>
          <m:t>−</m:t>
        </m:r>
        <m:r>
          <m:t>1.63</m:t>
        </m:r>
      </m:oMath>
      <w:r>
        <w:t xml:space="preserve">) and H</w:t>
      </w:r>
      <m:oMath>
        <m:r>
          <m:rPr>
            <m:sty m:val="p"/>
          </m:rPr>
          <m:t>×</m:t>
        </m:r>
      </m:oMath>
      <w:r>
        <w:t xml:space="preserve">Volatility (t =</w:t>
      </w:r>
      <w:r>
        <w:t xml:space="preserve"> </w:t>
      </w:r>
      <m:oMath>
        <m:r>
          <m:rPr>
            <m:sty m:val="p"/>
          </m:rPr>
          <m:t>−</m:t>
        </m:r>
        <m:r>
          <m:t>1.09</m:t>
        </m:r>
      </m:oMath>
      <w:r>
        <w:t xml:space="preserve">) are insignificant, ruling out the standard risk premium interpretation. However, H</w:t>
      </w:r>
      <m:oMath>
        <m:r>
          <m:rPr>
            <m:sty m:val="p"/>
          </m:rPr>
          <m:t>×</m:t>
        </m:r>
      </m:oMath>
      <w:r>
        <w:t xml:space="preserve">BM is significant (t =</w:t>
      </w:r>
      <w:r>
        <w:t xml:space="preserve"> </w:t>
      </w:r>
      <m:oMath>
        <m:r>
          <m:rPr>
            <m:sty m:val="p"/>
          </m:rPr>
          <m:t>+</m:t>
        </m:r>
        <m:r>
          <m:t>2.57</m:t>
        </m:r>
      </m:oMath>
      <w:r>
        <w:t xml:space="preserve">), indicating that the entropy premium is amplified for value stocks (high BM), consistent with the overconfidence channel: value stocks are more likely to be mispriced when sentiment is concentrated.</w:t>
      </w:r>
    </w:p>
    <w:bookmarkStart w:id="55" w:name="tab:arb"/>
    <w:p>
      <w:pPr>
        <w:pStyle w:val="TableCaption"/>
      </w:pPr>
      <w:r>
        <w:t xml:space="preserve">Arbitrage Constraint Interactions</w:t>
      </w:r>
    </w:p>
    <w:tbl>
      <w:tblPr>
        <w:tblStyle w:val="Table"/>
        <w:tblW w:type="auto" w:w="0"/>
        <w:jc w:val="left"/>
        <w:tblLook w:firstRow="1" w:lastRow="0" w:firstColumn="0" w:lastColumn="0" w:noHBand="0" w:noVBand="0" w:val="0020"/>
        <w:tblCaption w:val="Arbitrage Constraint Interactions"/>
      </w:tblPr>
      <w:tblGrid>
        <w:gridCol w:w="2640"/>
        <w:gridCol w:w="2640"/>
        <w:gridCol w:w="2640"/>
      </w:tblGrid>
      <w:tr>
        <w:trPr>
          <w:tblHeader w:val="on"/>
        </w:trPr>
        <w:tc>
          <w:tcPr/>
          <w:p>
            <w:pPr>
              <w:pStyle w:val="Compact"/>
              <w:jc w:val="left"/>
            </w:pPr>
            <w:r>
              <w:t xml:space="preserve">Interaction</w:t>
            </w:r>
          </w:p>
        </w:tc>
        <w:tc>
          <w:tcPr/>
          <w:p>
            <w:pPr>
              <w:pStyle w:val="Compact"/>
              <w:jc w:val="center"/>
            </w:pPr>
            <m:oMath>
              <m:r>
                <m:t>t</m:t>
              </m:r>
            </m:oMath>
            <w:r>
              <w:t xml:space="preserve">-stat</w:t>
            </w:r>
          </w:p>
        </w:tc>
        <w:tc>
          <w:tcPr/>
          <w:p>
            <w:pPr>
              <w:pStyle w:val="Compact"/>
              <w:jc w:val="center"/>
            </w:pPr>
            <w:r>
              <w:t xml:space="preserve">Sig.</w:t>
            </w:r>
          </w:p>
        </w:tc>
      </w:tr>
      <w:tr>
        <w:tc>
          <w:tcPr/>
          <w:p>
            <w:pPr>
              <w:pStyle w:val="Compact"/>
              <w:jc w:val="left"/>
            </w:pPr>
            <w:r>
              <w:t xml:space="preserve">H</w:t>
            </w:r>
            <m:oMath>
              <m:r>
                <m:rPr>
                  <m:sty m:val="p"/>
                </m:rPr>
                <m:t>×</m:t>
              </m:r>
            </m:oMath>
            <w:r>
              <w:t xml:space="preserve">Size</w:t>
            </w:r>
          </w:p>
        </w:tc>
        <w:tc>
          <w:tcPr/>
          <w:p>
            <w:pPr>
              <w:pStyle w:val="Compact"/>
              <w:jc w:val="center"/>
            </w:pPr>
            <m:oMath>
              <m:r>
                <m:rPr>
                  <m:sty m:val="p"/>
                </m:rPr>
                <m:t>−</m:t>
              </m:r>
              <m:r>
                <m:t>0.15</m:t>
              </m:r>
            </m:oMath>
          </w:p>
        </w:tc>
        <w:tc>
          <w:tcPr/>
          <w:p>
            <w:pPr>
              <w:pStyle w:val="Compact"/>
            </w:pPr>
          </w:p>
        </w:tc>
      </w:tr>
      <w:tr>
        <w:tc>
          <w:tcPr/>
          <w:p>
            <w:pPr>
              <w:pStyle w:val="Compact"/>
              <w:jc w:val="left"/>
            </w:pPr>
            <w:r>
              <w:t xml:space="preserve">H</w:t>
            </w:r>
            <m:oMath>
              <m:r>
                <m:rPr>
                  <m:sty m:val="p"/>
                </m:rPr>
                <m:t>×</m:t>
              </m:r>
            </m:oMath>
            <w:r>
              <w:t xml:space="preserve">Volatility</w:t>
            </w:r>
          </w:p>
        </w:tc>
        <w:tc>
          <w:tcPr/>
          <w:p>
            <w:pPr>
              <w:pStyle w:val="Compact"/>
              <w:jc w:val="center"/>
            </w:pPr>
            <m:oMath>
              <m:r>
                <m:rPr>
                  <m:sty m:val="p"/>
                </m:rPr>
                <m:t>−</m:t>
              </m:r>
              <m:r>
                <m:t>0.54</m:t>
              </m:r>
            </m:oMath>
          </w:p>
        </w:tc>
        <w:tc>
          <w:tcPr/>
          <w:p>
            <w:pPr>
              <w:pStyle w:val="Compact"/>
            </w:pPr>
          </w:p>
        </w:tc>
      </w:tr>
      <w:tr>
        <w:tc>
          <w:tcPr/>
          <w:p>
            <w:pPr>
              <w:pStyle w:val="Compact"/>
              <w:jc w:val="left"/>
            </w:pPr>
            <w:r>
              <w:t xml:space="preserve">H</w:t>
            </w:r>
            <m:oMath>
              <m:r>
                <m:rPr>
                  <m:sty m:val="p"/>
                </m:rPr>
                <m:t>×</m:t>
              </m:r>
            </m:oMath>
            <w:r>
              <w:t xml:space="preserve">BM</w:t>
            </w:r>
          </w:p>
        </w:tc>
        <w:tc>
          <w:tcPr/>
          <w:p>
            <w:pPr>
              <w:pStyle w:val="Compact"/>
              <w:jc w:val="center"/>
            </w:pPr>
            <m:oMath>
              <m:r>
                <m:rPr>
                  <m:sty m:val="p"/>
                </m:rPr>
                <m:t>+</m:t>
              </m:r>
              <m:r>
                <m:t>0.10</m:t>
              </m:r>
            </m:oMath>
          </w:p>
        </w:tc>
        <w:tc>
          <w:tcPr/>
          <w:p>
            <w:pPr>
              <w:pStyle w:val="Compact"/>
            </w:pPr>
          </w:p>
        </w:tc>
      </w:tr>
      <w:tr>
        <w:tc>
          <w:tcPr/>
          <w:p>
            <w:pPr>
              <w:pStyle w:val="Compact"/>
              <w:jc w:val="left"/>
            </w:pPr>
            <w:r>
              <w:t xml:space="preserve">H</w:t>
            </w:r>
            <m:oMath>
              <m:r>
                <m:rPr>
                  <m:sty m:val="p"/>
                </m:rPr>
                <m:t>×</m:t>
              </m:r>
            </m:oMath>
            <w:r>
              <w:t xml:space="preserve">Hard-to-Short</w:t>
            </w:r>
          </w:p>
        </w:tc>
        <w:tc>
          <w:tcPr/>
          <w:p>
            <w:pPr>
              <w:pStyle w:val="Compact"/>
              <w:jc w:val="center"/>
            </w:pPr>
            <m:oMath>
              <m:r>
                <m:rPr>
                  <m:sty m:val="p"/>
                </m:rPr>
                <m:t>−</m:t>
              </m:r>
              <m:r>
                <m:t>1.68</m:t>
              </m:r>
            </m:oMath>
          </w:p>
        </w:tc>
        <w:tc>
          <w:tcPr/>
          <w:p>
            <w:pPr>
              <w:pStyle w:val="Compact"/>
              <w:jc w:val="center"/>
            </w:pPr>
            <w:r>
              <w:t xml:space="preserve">*</w:t>
            </w:r>
          </w:p>
        </w:tc>
      </w:tr>
    </w:tbl>
    <w:bookmarkEnd w:id="55"/>
    <w:p>
      <w:pPr>
        <w:pStyle w:val="BodyText"/>
      </w:pPr>
      <w:r>
        <w:rPr>
          <w:i/>
          <w:iCs/>
        </w:rPr>
        <w:t xml:space="preserve">Notes:</w:t>
      </w:r>
      <w:r>
        <w:t xml:space="preserve"> </w:t>
      </w:r>
      <w:r>
        <w:t xml:space="preserve">FM regressions including residual H and the interaction term. Hard-to-Short = high volatility + low BM. *</w:t>
      </w:r>
      <w:r>
        <w:t xml:space="preserve"> </w:t>
      </w:r>
      <m:oMath>
        <m:r>
          <m:t>p</m:t>
        </m:r>
        <m:r>
          <m:rPr>
            <m:sty m:val="p"/>
          </m:rPr>
          <m:t>&lt;</m:t>
        </m:r>
        <m:r>
          <m:t>0.10</m:t>
        </m:r>
      </m:oMath>
      <w:r>
        <w:t xml:space="preserve">.</w:t>
      </w:r>
    </w:p>
    <w:p>
      <w:pPr>
        <w:pStyle w:val="BodyText"/>
      </w:pPr>
      <w:r>
        <w:t xml:space="preserve">The marginally significant H</w:t>
      </w:r>
      <m:oMath>
        <m:r>
          <m:rPr>
            <m:sty m:val="p"/>
          </m:rPr>
          <m:t>×</m:t>
        </m:r>
      </m:oMath>
      <w:r>
        <w:t xml:space="preserve">Hard-to-Short interaction (t =</w:t>
      </w:r>
      <w:r>
        <w:t xml:space="preserve"> </w:t>
      </w:r>
      <m:oMath>
        <m:r>
          <m:rPr>
            <m:sty m:val="p"/>
          </m:rPr>
          <m:t>−</m:t>
        </m:r>
        <m:r>
          <m:t>1.68</m:t>
        </m:r>
      </m:oMath>
      <w:r>
        <w:t xml:space="preserve">) provides weak evidence for the</w:t>
      </w:r>
      <w:r>
        <w:t xml:space="preserve"> </w:t>
      </w:r>
      <w:r>
        <w:t xml:space="preserve"> </w:t>
      </w:r>
      <w:r>
        <w:t xml:space="preserve">short-sale constraint channel, but the effect is too weak to be a primary explanation.</w:t>
      </w:r>
    </w:p>
    <w:bookmarkEnd w:id="56"/>
    <w:bookmarkStart w:id="57" w:name="reverse-causality"/>
    <w:p>
      <w:pPr>
        <w:pStyle w:val="Heading2"/>
      </w:pPr>
      <w:r>
        <w:t xml:space="preserve">Reverse Causality</w:t>
      </w:r>
    </w:p>
    <w:p>
      <w:pPr>
        <w:pStyle w:val="FirstParagraph"/>
      </w:pPr>
      <w:r>
        <w:t xml:space="preserve">A potential concern is that past returns affect LLM agent entropy, creating a reverse causality problem. We address this concern in three ways.</w:t>
      </w:r>
    </w:p>
    <w:p>
      <w:pPr>
        <w:pStyle w:val="BodyText"/>
      </w:pPr>
      <w:r>
        <w:t xml:space="preserve">First, past returns strongly predict H_smooth (t =</w:t>
      </w:r>
      <w:r>
        <w:t xml:space="preserve"> </w:t>
      </w:r>
      <m:oMath>
        <m:r>
          <m:rPr>
            <m:sty m:val="p"/>
          </m:rPr>
          <m:t>−</m:t>
        </m:r>
        <m:r>
          <m:t>8.75</m:t>
        </m:r>
      </m:oMath>
      <w:r>
        <w:t xml:space="preserve">): good past returns lead to more concentrated sentiment (lower entropy), consistent with momentum in sentiment. However, the predictive power of residual H_smooth</w:t>
      </w:r>
      <w:r>
        <w:t xml:space="preserve"> </w:t>
      </w:r>
      <w:r>
        <w:rPr>
          <w:i/>
          <w:iCs/>
        </w:rPr>
        <w:t xml:space="preserve">survives</w:t>
      </w:r>
      <w:r>
        <w:t xml:space="preserve"> </w:t>
      </w:r>
      <w:r>
        <w:t xml:space="preserve">after controlling for past returns (t =</w:t>
      </w:r>
      <w:r>
        <w:t xml:space="preserve"> </w:t>
      </w:r>
      <m:oMath>
        <m:r>
          <m:rPr>
            <m:sty m:val="p"/>
          </m:rPr>
          <m:t>−</m:t>
        </m:r>
        <m:r>
          <m:t>2.84</m:t>
        </m:r>
      </m:oMath>
      <w:r>
        <w:t xml:space="preserve">), and the component of H_smooth orthogonal to past returns remains significant (t =</w:t>
      </w:r>
      <w:r>
        <w:t xml:space="preserve"> </w:t>
      </w:r>
      <m:oMath>
        <m:r>
          <m:rPr>
            <m:sty m:val="p"/>
          </m:rPr>
          <m:t>−</m:t>
        </m:r>
        <m:r>
          <m:t>2.28</m:t>
        </m:r>
      </m:oMath>
      <w:r>
        <w:t xml:space="preserve">).</w:t>
      </w:r>
    </w:p>
    <w:p>
      <w:pPr>
        <w:pStyle w:val="BodyText"/>
      </w:pPr>
      <w:r>
        <w:t xml:space="preserve">Second, lagged residual H_smooth (1-quarter lag) is significant (t =</w:t>
      </w:r>
      <w:r>
        <w:t xml:space="preserve"> </w:t>
      </w:r>
      <m:oMath>
        <m:r>
          <m:rPr>
            <m:sty m:val="p"/>
          </m:rPr>
          <m:t>−</m:t>
        </m:r>
        <m:r>
          <m:t>2.18</m:t>
        </m:r>
      </m:oMath>
      <w:r>
        <w:t xml:space="preserve">), providing more exogenous timing.</w:t>
      </w:r>
    </w:p>
    <w:p>
      <w:pPr>
        <w:pStyle w:val="BodyText"/>
      </w:pPr>
      <w:r>
        <w:t xml:space="preserve">Third, the change in entropy (</w:t>
      </w:r>
      <m:oMath>
        <m:r>
          <m:t>Δ</m:t>
        </m:r>
      </m:oMath>
      <w:r>
        <w:t xml:space="preserve">H) is marginally significant (t =</w:t>
      </w:r>
      <w:r>
        <w:t xml:space="preserve"> </w:t>
      </w:r>
      <m:oMath>
        <m:r>
          <m:rPr>
            <m:sty m:val="p"/>
          </m:rPr>
          <m:t>+</m:t>
        </m:r>
        <m:r>
          <m:t>1.86</m:t>
        </m:r>
      </m:oMath>
      <w:r>
        <w:t xml:space="preserve">), while the level of residual H remains highly significant (t =</w:t>
      </w:r>
      <w:r>
        <w:t xml:space="preserve"> </w:t>
      </w:r>
      <m:oMath>
        <m:r>
          <m:rPr>
            <m:sty m:val="p"/>
          </m:rPr>
          <m:t>−</m:t>
        </m:r>
        <m:r>
          <m:t>2.89</m:t>
        </m:r>
      </m:oMath>
      <w:r>
        <w:t xml:space="preserve">) when both are included, suggesting that both the level and change in entropy carry predictive information.</w:t>
      </w:r>
    </w:p>
    <w:p>
      <w:pPr>
        <w:pStyle w:val="BodyText"/>
      </w:pPr>
      <w:r>
        <w:t xml:space="preserve">We note that the absorption of residual H by momentum controls (t =</w:t>
      </w:r>
      <w:r>
        <w:t xml:space="preserve"> </w:t>
      </w:r>
      <m:oMath>
        <m:r>
          <m:rPr>
            <m:sty m:val="p"/>
          </m:rPr>
          <m:t>−</m:t>
        </m:r>
        <m:r>
          <m:t>0.89</m:t>
        </m:r>
      </m:oMath>
      <w:r>
        <w:t xml:space="preserve"> </w:t>
      </w:r>
      <w:r>
        <w:t xml:space="preserve">when past returns and momentum are included) is expected on theoretical grounds: if entropy captures overconfidence, and overconfidence is a driver of momentum, then controlling for momentum removes the channel through which entropy affects returns. This is not evidence against the entropy premium, but rather evidence that entropy and momentum share a common behavioral root.</w:t>
      </w:r>
    </w:p>
    <w:bookmarkEnd w:id="57"/>
    <w:bookmarkStart w:id="59" w:name="quantitative-model-placebo"/>
    <w:p>
      <w:pPr>
        <w:pStyle w:val="Heading2"/>
      </w:pPr>
      <w:r>
        <w:t xml:space="preserve">Quantitative Model Placebo</w:t>
      </w:r>
    </w:p>
    <w:p>
      <w:pPr>
        <w:pStyle w:val="FirstParagraph"/>
      </w:pPr>
      <w:r>
        <w:t xml:space="preserve">Table </w:t>
      </w:r>
      <w:hyperlink w:anchor="tab:quant">
        <w:r>
          <w:rPr>
            <w:rStyle w:val="Hyperlink"/>
          </w:rPr>
          <w:t xml:space="preserve">9</w:t>
        </w:r>
      </w:hyperlink>
      <w:r>
        <w:t xml:space="preserve"> </w:t>
      </w:r>
      <w:r>
        <w:t xml:space="preserve">compares the entropy premium from LLM agents vs. rule-based quantitative agents. The quantitative model produces entropy in the same direction (t =</w:t>
      </w:r>
      <w:r>
        <w:t xml:space="preserve"> </w:t>
      </w:r>
      <m:oMath>
        <m:r>
          <m:rPr>
            <m:sty m:val="p"/>
          </m:rPr>
          <m:t>−</m:t>
        </m:r>
        <m:r>
          <m:t>1.75</m:t>
        </m:r>
      </m:oMath>
      <w:r>
        <w:t xml:space="preserve">) but weaker than the LLM model (t =</w:t>
      </w:r>
      <w:r>
        <w:t xml:space="preserve"> </w:t>
      </w:r>
      <m:oMath>
        <m:r>
          <m:rPr>
            <m:sty m:val="p"/>
          </m:rPr>
          <m:t>−</m:t>
        </m:r>
        <m:r>
          <m:t>3.02</m:t>
        </m:r>
      </m:oMath>
      <w:r>
        <w:t xml:space="preserve">). Critically, the quantitative model’s entropy</w:t>
      </w:r>
      <w:r>
        <w:t xml:space="preserve"> </w:t>
      </w:r>
      <w:r>
        <w:rPr>
          <w:i/>
          <w:iCs/>
        </w:rPr>
        <w:t xml:space="preserve">decays</w:t>
      </w:r>
      <w:r>
        <w:t xml:space="preserve"> </w:t>
      </w:r>
      <w:r>
        <w:t xml:space="preserve">at the 2-quarter horizon (t =</w:t>
      </w:r>
      <w:r>
        <w:t xml:space="preserve"> </w:t>
      </w:r>
      <m:oMath>
        <m:r>
          <m:rPr>
            <m:sty m:val="p"/>
          </m:rPr>
          <m:t>−</m:t>
        </m:r>
        <m:r>
          <m:t>1.09</m:t>
        </m:r>
      </m:oMath>
      <w:r>
        <w:t xml:space="preserve">), while the LLM model’s entropy</w:t>
      </w:r>
      <w:r>
        <w:t xml:space="preserve"> </w:t>
      </w:r>
      <w:r>
        <w:rPr>
          <w:i/>
          <w:iCs/>
        </w:rPr>
        <w:t xml:space="preserve">strengthens</w:t>
      </w:r>
      <w:r>
        <w:t xml:space="preserve"> </w:t>
      </w:r>
      <w:r>
        <w:t xml:space="preserve">(t =</w:t>
      </w:r>
      <w:r>
        <w:t xml:space="preserve"> </w:t>
      </w:r>
      <m:oMath>
        <m:r>
          <m:rPr>
            <m:sty m:val="p"/>
          </m:rPr>
          <m:t>−</m:t>
        </m:r>
        <m:r>
          <m:t>3.11</m:t>
        </m:r>
      </m:oMath>
      <w:r>
        <w:t xml:space="preserve">).</w:t>
      </w:r>
    </w:p>
    <w:bookmarkStart w:id="58" w:name="tab:quant"/>
    <w:p>
      <w:pPr>
        <w:pStyle w:val="TableCaption"/>
      </w:pPr>
      <w:r>
        <w:t xml:space="preserve">Quantitative Model vs. LLM Model Comparison</w:t>
      </w:r>
    </w:p>
    <w:tbl>
      <w:tblPr>
        <w:tblStyle w:val="Table"/>
        <w:tblW w:type="auto" w:w="0"/>
        <w:jc w:val="left"/>
        <w:tblLook w:firstRow="1" w:lastRow="0" w:firstColumn="0" w:lastColumn="0" w:noHBand="0" w:noVBand="0" w:val="0020"/>
        <w:tblCaption w:val="Quantitative Model vs. LLM Model Comparison"/>
      </w:tblPr>
      <w:tblGrid>
        <w:gridCol w:w="1980"/>
        <w:gridCol w:w="1980"/>
        <w:gridCol w:w="1980"/>
        <w:gridCol w:w="1980"/>
      </w:tblGrid>
      <w:tr>
        <w:trPr>
          <w:tblHeader w:val="on"/>
        </w:trPr>
        <w:tc>
          <w:tcPr/>
          <w:p>
            <w:pPr>
              <w:pStyle w:val="Compact"/>
            </w:pPr>
          </w:p>
        </w:tc>
        <w:tc>
          <w:tcPr/>
          <w:p>
            <w:pPr>
              <w:pStyle w:val="Compact"/>
              <w:jc w:val="center"/>
            </w:pPr>
            <w:r>
              <w:t xml:space="preserve">Quant t-stat</w:t>
            </w:r>
          </w:p>
        </w:tc>
        <w:tc>
          <w:tcPr/>
          <w:p>
            <w:pPr>
              <w:pStyle w:val="Compact"/>
              <w:jc w:val="center"/>
            </w:pPr>
            <w:r>
              <w:t xml:space="preserve">LLM t-stat</w:t>
            </w:r>
          </w:p>
        </w:tc>
        <w:tc>
          <w:tcPr/>
          <w:p>
            <w:pPr>
              <w:pStyle w:val="Compact"/>
              <w:jc w:val="center"/>
            </w:pPr>
            <w:r>
              <w:t xml:space="preserve">Difference</w:t>
            </w:r>
          </w:p>
        </w:tc>
      </w:tr>
      <w:tr>
        <w:tc>
          <w:tcPr>
            <w:gridSpan w:val="4"/>
          </w:tcPr>
          <w:p>
            <w:pPr>
              <w:pStyle w:val="Compact"/>
              <w:jc w:val="left"/>
            </w:pPr>
            <w:r>
              <w:rPr>
                <w:i/>
                <w:iCs/>
              </w:rPr>
              <w:t xml:space="preserve">Panel A: Univariate FM</w:t>
            </w:r>
          </w:p>
        </w:tc>
      </w:tr>
      <w:tr>
        <w:tc>
          <w:tcPr/>
          <w:p>
            <w:pPr>
              <w:pStyle w:val="Compact"/>
              <w:jc w:val="left"/>
            </w:pPr>
            <w:r>
              <w:t xml:space="preserve">H_smooth</w:t>
            </w:r>
          </w:p>
        </w:tc>
        <w:tc>
          <w:tcPr/>
          <w:p>
            <w:pPr>
              <w:pStyle w:val="Compact"/>
              <w:jc w:val="center"/>
            </w:pPr>
            <m:oMath>
              <m:r>
                <m:rPr>
                  <m:sty m:val="p"/>
                </m:rPr>
                <m:t>+</m:t>
              </m:r>
              <m:r>
                <m:t>0.90</m:t>
              </m:r>
            </m:oMath>
          </w:p>
        </w:tc>
        <w:tc>
          <w:tcPr/>
          <w:p>
            <w:pPr>
              <w:pStyle w:val="Compact"/>
              <w:jc w:val="center"/>
            </w:pPr>
            <m:oMath>
              <m:r>
                <m:rPr>
                  <m:sty m:val="p"/>
                </m:rPr>
                <m:t>−</m:t>
              </m:r>
              <m:r>
                <m:t>1.64</m:t>
              </m:r>
            </m:oMath>
          </w:p>
        </w:tc>
        <w:tc>
          <w:tcPr/>
          <w:p>
            <w:pPr>
              <w:pStyle w:val="Compact"/>
            </w:pPr>
          </w:p>
        </w:tc>
      </w:tr>
      <w:tr>
        <w:tc>
          <w:tcPr/>
          <w:p>
            <w:pPr>
              <w:pStyle w:val="Compact"/>
              <w:jc w:val="left"/>
            </w:pPr>
            <w:r>
              <w:t xml:space="preserve">Residual H</w:t>
            </w:r>
          </w:p>
        </w:tc>
        <w:tc>
          <w:tcPr/>
          <w:p>
            <w:pPr>
              <w:pStyle w:val="Compact"/>
              <w:jc w:val="center"/>
            </w:pPr>
            <m:oMath>
              <m:r>
                <m:rPr>
                  <m:sty m:val="p"/>
                </m:rPr>
                <m:t>−</m:t>
              </m:r>
              <m:sSup>
                <m:e>
                  <m:r>
                    <m:t>1.75</m:t>
                  </m:r>
                </m:e>
                <m:sup>
                  <m:r>
                    <m:rPr>
                      <m:sty m:val="p"/>
                    </m:rPr>
                    <m:t>*</m:t>
                  </m:r>
                </m:sup>
              </m:sSup>
            </m:oMath>
          </w:p>
        </w:tc>
        <w:tc>
          <w:tcPr/>
          <w:p>
            <w:pPr>
              <w:pStyle w:val="Compact"/>
              <w:jc w:val="center"/>
            </w:pPr>
            <m:oMath>
              <m:r>
                <m:rPr>
                  <m:sty m:val="p"/>
                </m:rPr>
                <m:t>−</m:t>
              </m:r>
              <m:sSup>
                <m:e>
                  <m:r>
                    <m:t>3.02</m:t>
                  </m:r>
                </m:e>
                <m:sup>
                  <m:r>
                    <m:rPr>
                      <m:sty m:val="p"/>
                    </m:rPr>
                    <m:t>*</m:t>
                  </m:r>
                  <m:r>
                    <m:rPr>
                      <m:sty m:val="p"/>
                    </m:rPr>
                    <m:t>*</m:t>
                  </m:r>
                  <m:r>
                    <m:rPr>
                      <m:sty m:val="p"/>
                    </m:rPr>
                    <m:t>*</m:t>
                  </m:r>
                </m:sup>
              </m:sSup>
            </m:oMath>
          </w:p>
        </w:tc>
        <w:tc>
          <w:tcPr/>
          <w:p>
            <w:pPr>
              <w:pStyle w:val="Compact"/>
            </w:pPr>
          </w:p>
        </w:tc>
      </w:tr>
      <w:tr>
        <w:tc>
          <w:tcPr/>
          <w:p>
            <w:pPr>
              <w:pStyle w:val="Compact"/>
              <w:jc w:val="left"/>
            </w:pPr>
            <w:r>
              <w:t xml:space="preserve">JS divergence</w:t>
            </w:r>
          </w:p>
        </w:tc>
        <w:tc>
          <w:tcPr/>
          <w:p>
            <w:pPr>
              <w:pStyle w:val="Compact"/>
              <w:jc w:val="center"/>
            </w:pPr>
            <m:oMath>
              <m:r>
                <m:rPr>
                  <m:sty m:val="p"/>
                </m:rPr>
                <m:t>+</m:t>
              </m:r>
              <m:r>
                <m:t>0.90</m:t>
              </m:r>
            </m:oMath>
          </w:p>
        </w:tc>
        <w:tc>
          <w:tcPr/>
          <w:p>
            <w:pPr>
              <w:pStyle w:val="Compact"/>
              <w:jc w:val="center"/>
            </w:pPr>
            <m:oMath>
              <m:r>
                <m:rPr>
                  <m:sty m:val="p"/>
                </m:rPr>
                <m:t>−</m:t>
              </m:r>
              <m:r>
                <m:t>0.19</m:t>
              </m:r>
            </m:oMath>
          </w:p>
        </w:tc>
        <w:tc>
          <w:tcPr/>
          <w:p>
            <w:pPr>
              <w:pStyle w:val="Compact"/>
            </w:pPr>
          </w:p>
        </w:tc>
      </w:tr>
      <w:tr>
        <w:tc>
          <w:tcPr/>
          <w:p>
            <w:pPr>
              <w:pStyle w:val="Compact"/>
              <w:jc w:val="left"/>
            </w:pPr>
            <w:r>
              <w:t xml:space="preserve">D_post</w:t>
            </w:r>
          </w:p>
        </w:tc>
        <w:tc>
          <w:tcPr/>
          <w:p>
            <w:pPr>
              <w:pStyle w:val="Compact"/>
              <w:jc w:val="center"/>
            </w:pPr>
            <m:oMath>
              <m:r>
                <m:rPr>
                  <m:sty m:val="p"/>
                </m:rPr>
                <m:t>+</m:t>
              </m:r>
              <m:r>
                <m:t>1.26</m:t>
              </m:r>
            </m:oMath>
          </w:p>
        </w:tc>
        <w:tc>
          <w:tcPr/>
          <w:p>
            <w:pPr>
              <w:pStyle w:val="Compact"/>
              <w:jc w:val="center"/>
            </w:pPr>
            <m:oMath>
              <m:r>
                <m:rPr>
                  <m:sty m:val="p"/>
                </m:rPr>
                <m:t>+</m:t>
              </m:r>
              <m:r>
                <m:t>0.11</m:t>
              </m:r>
            </m:oMath>
          </w:p>
        </w:tc>
        <w:tc>
          <w:tcPr/>
          <w:p>
            <w:pPr>
              <w:pStyle w:val="Compact"/>
            </w:pPr>
          </w:p>
        </w:tc>
      </w:tr>
      <w:tr>
        <w:tc>
          <w:tcPr>
            <w:gridSpan w:val="4"/>
          </w:tcPr>
          <w:p>
            <w:pPr>
              <w:pStyle w:val="Compact"/>
              <w:jc w:val="left"/>
            </w:pPr>
            <w:r>
              <w:rPr>
                <w:i/>
                <w:iCs/>
              </w:rPr>
              <w:t xml:space="preserve">Panel B: Horizon analysis (Residual H)</w:t>
            </w:r>
          </w:p>
        </w:tc>
      </w:tr>
      <w:tr>
        <w:tc>
          <w:tcPr/>
          <w:p>
            <w:pPr>
              <w:pStyle w:val="Compact"/>
              <w:jc w:val="left"/>
            </w:pPr>
            <w:r>
              <w:t xml:space="preserve">1Q</w:t>
            </w:r>
          </w:p>
        </w:tc>
        <w:tc>
          <w:tcPr/>
          <w:p>
            <w:pPr>
              <w:pStyle w:val="Compact"/>
              <w:jc w:val="center"/>
            </w:pPr>
            <m:oMath>
              <m:r>
                <m:rPr>
                  <m:sty m:val="p"/>
                </m:rPr>
                <m:t>−</m:t>
              </m:r>
              <m:sSup>
                <m:e>
                  <m:r>
                    <m:t>1.75</m:t>
                  </m:r>
                </m:e>
                <m:sup>
                  <m:r>
                    <m:rPr>
                      <m:sty m:val="p"/>
                    </m:rPr>
                    <m:t>*</m:t>
                  </m:r>
                </m:sup>
              </m:sSup>
            </m:oMath>
          </w:p>
        </w:tc>
        <w:tc>
          <w:tcPr/>
          <w:p>
            <w:pPr>
              <w:pStyle w:val="Compact"/>
              <w:jc w:val="center"/>
            </w:pPr>
            <m:oMath>
              <m:r>
                <m:rPr>
                  <m:sty m:val="p"/>
                </m:rPr>
                <m:t>−</m:t>
              </m:r>
              <m:sSup>
                <m:e>
                  <m:r>
                    <m:t>3.02</m:t>
                  </m:r>
                </m:e>
                <m:sup>
                  <m:r>
                    <m:rPr>
                      <m:sty m:val="p"/>
                    </m:rPr>
                    <m:t>*</m:t>
                  </m:r>
                  <m:r>
                    <m:rPr>
                      <m:sty m:val="p"/>
                    </m:rPr>
                    <m:t>*</m:t>
                  </m:r>
                  <m:r>
                    <m:rPr>
                      <m:sty m:val="p"/>
                    </m:rPr>
                    <m:t>*</m:t>
                  </m:r>
                </m:sup>
              </m:sSup>
            </m:oMath>
          </w:p>
        </w:tc>
        <w:tc>
          <w:tcPr/>
          <w:p>
            <w:pPr>
              <w:pStyle w:val="Compact"/>
            </w:pPr>
          </w:p>
        </w:tc>
      </w:tr>
      <w:tr>
        <w:tc>
          <w:tcPr/>
          <w:p>
            <w:pPr>
              <w:pStyle w:val="Compact"/>
              <w:jc w:val="left"/>
            </w:pPr>
            <w:r>
              <w:t xml:space="preserve">2Q</w:t>
            </w:r>
          </w:p>
        </w:tc>
        <w:tc>
          <w:tcPr/>
          <w:p>
            <w:pPr>
              <w:pStyle w:val="Compact"/>
              <w:jc w:val="center"/>
            </w:pPr>
            <m:oMath>
              <m:r>
                <m:rPr>
                  <m:sty m:val="p"/>
                </m:rPr>
                <m:t>−</m:t>
              </m:r>
              <m:r>
                <m:t>1.09</m:t>
              </m:r>
            </m:oMath>
          </w:p>
        </w:tc>
        <w:tc>
          <w:tcPr/>
          <w:p>
            <w:pPr>
              <w:pStyle w:val="Compact"/>
              <w:jc w:val="center"/>
            </w:pPr>
            <m:oMath>
              <m:r>
                <m:rPr>
                  <m:sty m:val="p"/>
                </m:rPr>
                <m:t>−</m:t>
              </m:r>
              <m:sSup>
                <m:e>
                  <m:r>
                    <m:t>3.94</m:t>
                  </m:r>
                </m:e>
                <m:sup>
                  <m:r>
                    <m:rPr>
                      <m:sty m:val="p"/>
                    </m:rPr>
                    <m:t>*</m:t>
                  </m:r>
                  <m:r>
                    <m:rPr>
                      <m:sty m:val="p"/>
                    </m:rPr>
                    <m:t>*</m:t>
                  </m:r>
                  <m:r>
                    <m:rPr>
                      <m:sty m:val="p"/>
                    </m:rPr>
                    <m:t>*</m:t>
                  </m:r>
                </m:sup>
              </m:sSup>
            </m:oMath>
          </w:p>
        </w:tc>
        <w:tc>
          <w:tcPr/>
          <w:p>
            <w:pPr>
              <w:pStyle w:val="Compact"/>
            </w:pPr>
          </w:p>
        </w:tc>
      </w:tr>
      <w:tr>
        <w:tc>
          <w:tcPr>
            <w:gridSpan w:val="4"/>
          </w:tcPr>
          <w:p>
            <w:pPr>
              <w:pStyle w:val="Compact"/>
              <w:jc w:val="left"/>
            </w:pPr>
            <w:r>
              <w:rPr>
                <w:i/>
                <w:iCs/>
              </w:rPr>
              <w:t xml:space="preserve">Panel C: Horse race (both in same FM)</w:t>
            </w:r>
          </w:p>
        </w:tc>
      </w:tr>
      <w:tr>
        <w:tc>
          <w:tcPr/>
          <w:p>
            <w:pPr>
              <w:pStyle w:val="Compact"/>
              <w:jc w:val="left"/>
            </w:pPr>
            <w:r>
              <w:t xml:space="preserve">Residual H (Quant)</w:t>
            </w:r>
          </w:p>
        </w:tc>
        <w:tc>
          <w:tcPr/>
          <w:p>
            <w:pPr>
              <w:pStyle w:val="Compact"/>
              <w:jc w:val="center"/>
            </w:pPr>
            <m:oMath>
              <m:r>
                <m:rPr>
                  <m:sty m:val="p"/>
                </m:rPr>
                <m:t>−</m:t>
              </m:r>
              <m:r>
                <m:t>1.58</m:t>
              </m:r>
            </m:oMath>
          </w:p>
        </w:tc>
        <w:tc>
          <w:tcPr/>
          <w:p>
            <w:pPr>
              <w:pStyle w:val="Compact"/>
            </w:pPr>
          </w:p>
        </w:tc>
        <w:tc>
          <w:tcPr/>
          <w:p>
            <w:pPr>
              <w:pStyle w:val="Compact"/>
            </w:pPr>
          </w:p>
        </w:tc>
      </w:tr>
      <w:tr>
        <w:tc>
          <w:tcPr/>
          <w:p>
            <w:pPr>
              <w:pStyle w:val="Compact"/>
              <w:jc w:val="left"/>
            </w:pPr>
            <w:r>
              <w:t xml:space="preserve">Residual H (LLM)</w:t>
            </w:r>
          </w:p>
        </w:tc>
        <w:tc>
          <w:tcPr/>
          <w:p>
            <w:pPr>
              <w:pStyle w:val="Compact"/>
            </w:pPr>
          </w:p>
        </w:tc>
        <w:tc>
          <w:tcPr/>
          <w:p>
            <w:pPr>
              <w:pStyle w:val="Compact"/>
              <w:jc w:val="center"/>
            </w:pPr>
            <m:oMath>
              <m:r>
                <m:rPr>
                  <m:sty m:val="p"/>
                </m:rPr>
                <m:t>−</m:t>
              </m:r>
              <m:r>
                <m:t>0.99</m:t>
              </m:r>
            </m:oMath>
          </w:p>
        </w:tc>
        <w:tc>
          <w:tcPr/>
          <w:p>
            <w:pPr>
              <w:pStyle w:val="Compact"/>
            </w:pPr>
          </w:p>
        </w:tc>
      </w:tr>
    </w:tbl>
    <w:bookmarkEnd w:id="58"/>
    <w:p>
      <w:pPr>
        <w:pStyle w:val="BodyText"/>
      </w:pPr>
      <w:r>
        <w:t xml:space="preserve">The key insight is that both models capture overconfidence through the distribution of agent ratings, but the LLM model captures</w:t>
      </w:r>
      <w:r>
        <w:t xml:space="preserve"> </w:t>
      </w:r>
      <w:r>
        <w:rPr>
          <w:i/>
          <w:iCs/>
        </w:rPr>
        <w:t xml:space="preserve">additional</w:t>
      </w:r>
      <w:r>
        <w:t xml:space="preserve"> </w:t>
      </w:r>
      <w:r>
        <w:t xml:space="preserve">overconfidence through semantic understanding of textual information. This additional component is what drives the long-term reversal, consistent with the</w:t>
      </w:r>
      <w:r>
        <w:t xml:space="preserve"> </w:t>
      </w:r>
      <w:r>
        <w:t xml:space="preserve"> </w:t>
      </w:r>
      <w:r>
        <w:t xml:space="preserve">prediction that overconfidence about</w:t>
      </w:r>
      <w:r>
        <w:t xml:space="preserve"> </w:t>
      </w:r>
      <w:r>
        <w:rPr>
          <w:i/>
          <w:iCs/>
        </w:rPr>
        <w:t xml:space="preserve">qualitative</w:t>
      </w:r>
      <w:r>
        <w:t xml:space="preserve"> </w:t>
      </w:r>
      <w:r>
        <w:t xml:space="preserve">information (e.g., management quality, competitive positioning) takes longer to correct than overconfidence about quantitative signals (e.g., P/E ratios, momentum).</w:t>
      </w:r>
    </w:p>
    <w:bookmarkEnd w:id="59"/>
    <w:bookmarkEnd w:id="60"/>
    <w:bookmarkStart w:id="71" w:name="sec:robust"/>
    <w:p>
      <w:pPr>
        <w:pStyle w:val="Heading1"/>
      </w:pPr>
      <w:r>
        <w:t xml:space="preserve">Robustness</w:t>
      </w:r>
    </w:p>
    <w:bookmarkStart w:id="62" w:name="llm-training-cutoff-and-look-ahead-bias"/>
    <w:p>
      <w:pPr>
        <w:pStyle w:val="Heading2"/>
      </w:pPr>
      <w:r>
        <w:t xml:space="preserve">LLM Training Cutoff and Look-Ahead Bias</w:t>
      </w:r>
    </w:p>
    <w:p>
      <w:pPr>
        <w:pStyle w:val="FirstParagraph"/>
      </w:pPr>
      <w:r>
        <w:t xml:space="preserve">A critical concern for any LLM-based measure is look-ahead bias: modern LLMs are trained on data with cutoffs in 2023–2024, so when rating a stock in 2005, the model may</w:t>
      </w:r>
      <w:r>
        <w:t xml:space="preserve"> </w:t>
      </w:r>
      <w:r>
        <w:t xml:space="preserve">“</w:t>
      </w:r>
      <w:r>
        <w:t xml:space="preserve">know</w:t>
      </w:r>
      <w:r>
        <w:t xml:space="preserve">”</w:t>
      </w:r>
      <w:r>
        <w:t xml:space="preserve"> </w:t>
      </w:r>
      <w:r>
        <w:t xml:space="preserve">that stock’s subsequent performance. We address this concern through four tests.</w:t>
      </w:r>
    </w:p>
    <w:p>
      <w:pPr>
        <w:pStyle w:val="BodyText"/>
      </w:pPr>
      <w:r>
        <w:rPr>
          <w:i/>
          <w:iCs/>
        </w:rPr>
        <w:t xml:space="preserve">First, input features contain no future information.</w:t>
      </w:r>
      <w:r>
        <w:t xml:space="preserve"> </w:t>
      </w:r>
      <w:r>
        <w:t xml:space="preserve">Each LLM agent receives only historical returns (1M, 3M, 6M, 12M), volume ratio, volatility, and max drawdown—all computed from data available at time</w:t>
      </w:r>
      <w:r>
        <w:t xml:space="preserve"> </w:t>
      </w:r>
      <m:oMath>
        <m:r>
          <m:t>t</m:t>
        </m:r>
      </m:oMath>
      <w:r>
        <w:t xml:space="preserve">. No textual data (10-K filings, news) is provided. The LLM’s parametric knowledge of future events is the only potential source of look-ahead.</w:t>
      </w:r>
    </w:p>
    <w:p>
      <w:pPr>
        <w:pStyle w:val="BodyText"/>
      </w:pPr>
      <w:r>
        <w:rPr>
          <w:i/>
          <w:iCs/>
        </w:rPr>
        <w:t xml:space="preserve">Second, average ratings do not predict future returns.</w:t>
      </w:r>
      <w:r>
        <w:t xml:space="preserve"> </w:t>
      </w:r>
      <w:r>
        <w:t xml:space="preserve">If the LLM is regurgitating post-hoc information, the average rating across agents should strongly predict next-quarter returns. In Fama-MacBeth regressions, the average rating yields</w:t>
      </w:r>
      <w:r>
        <w:t xml:space="preserve"> </w:t>
      </w:r>
      <m:oMath>
        <m:r>
          <m:t>t</m:t>
        </m:r>
        <m:r>
          <m:rPr>
            <m:sty m:val="p"/>
          </m:rPr>
          <m:t>=</m:t>
        </m:r>
        <m:r>
          <m:rPr>
            <m:sty m:val="p"/>
          </m:rPr>
          <m:t>+</m:t>
        </m:r>
        <m:r>
          <m:t>0.98</m:t>
        </m:r>
      </m:oMath>
      <w:r>
        <w:t xml:space="preserve"> </w:t>
      </w:r>
      <w:r>
        <w:t xml:space="preserve">(insignificant) over the full sample,</w:t>
      </w:r>
      <w:r>
        <w:t xml:space="preserve"> </w:t>
      </w:r>
      <m:oMath>
        <m:r>
          <m:t>t</m:t>
        </m:r>
        <m:r>
          <m:rPr>
            <m:sty m:val="p"/>
          </m:rPr>
          <m:t>=</m:t>
        </m:r>
        <m:r>
          <m:rPr>
            <m:sty m:val="p"/>
          </m:rPr>
          <m:t>+</m:t>
        </m:r>
        <m:r>
          <m:t>0.48</m:t>
        </m:r>
      </m:oMath>
      <w:r>
        <w:t xml:space="preserve"> </w:t>
      </w:r>
      <w:r>
        <w:t xml:space="preserve">in 2005–2019, and</w:t>
      </w:r>
      <w:r>
        <w:t xml:space="preserve"> </w:t>
      </w:r>
      <m:oMath>
        <m:r>
          <m:t>t</m:t>
        </m:r>
        <m:r>
          <m:rPr>
            <m:sty m:val="p"/>
          </m:rPr>
          <m:t>=</m:t>
        </m:r>
        <m:r>
          <m:rPr>
            <m:sty m:val="p"/>
          </m:rPr>
          <m:t>+</m:t>
        </m:r>
        <m:r>
          <m:t>0.99</m:t>
        </m:r>
      </m:oMath>
      <w:r>
        <w:t xml:space="preserve"> </w:t>
      </w:r>
      <w:r>
        <w:t xml:space="preserve">in 2020–2024. The LLM does not appear to use its parametric knowledge to make directional predictions.</w:t>
      </w:r>
    </w:p>
    <w:p>
      <w:pPr>
        <w:pStyle w:val="BodyText"/>
      </w:pPr>
      <w:r>
        <w:rPr>
          <w:i/>
          <w:iCs/>
        </w:rPr>
        <w:t xml:space="preserve">Third, the entropy effect is inconsistent with look-ahead bias.</w:t>
      </w:r>
      <w:r>
        <w:t xml:space="preserve"> </w:t>
      </w:r>
      <w:r>
        <w:t xml:space="preserve">If look-ahead bias drives the result, the effect should be</w:t>
      </w:r>
      <w:r>
        <w:t xml:space="preserve"> </w:t>
      </w:r>
      <w:r>
        <w:rPr>
          <w:i/>
          <w:iCs/>
        </w:rPr>
        <w:t xml:space="preserve">stronger</w:t>
      </w:r>
      <w:r>
        <w:t xml:space="preserve"> </w:t>
      </w:r>
      <w:r>
        <w:t xml:space="preserve">in the pre-2020 period (where the LLM has more</w:t>
      </w:r>
      <w:r>
        <w:t xml:space="preserve"> </w:t>
      </w:r>
      <w:r>
        <w:t xml:space="preserve">“</w:t>
      </w:r>
      <w:r>
        <w:t xml:space="preserve">future knowledge</w:t>
      </w:r>
      <w:r>
        <w:t xml:space="preserve">”</w:t>
      </w:r>
      <w:r>
        <w:t xml:space="preserve"> </w:t>
      </w:r>
      <w:r>
        <w:t xml:space="preserve">about each stock). In fact, the effect is</w:t>
      </w:r>
      <w:r>
        <w:t xml:space="preserve"> </w:t>
      </w:r>
      <w:r>
        <w:rPr>
          <w:i/>
          <w:iCs/>
        </w:rPr>
        <w:t xml:space="preserve">weaker</w:t>
      </w:r>
      <w:r>
        <w:t xml:space="preserve"> </w:t>
      </w:r>
      <w:r>
        <w:t xml:space="preserve">pre-2020 (t =</w:t>
      </w:r>
      <w:r>
        <w:t xml:space="preserve"> </w:t>
      </w:r>
      <m:oMath>
        <m:r>
          <m:rPr>
            <m:sty m:val="p"/>
          </m:rPr>
          <m:t>−</m:t>
        </m:r>
        <m:r>
          <m:t>1.21</m:t>
        </m:r>
      </m:oMath>
      <w:r>
        <w:t xml:space="preserve">) and stronger post-2020 (t =</w:t>
      </w:r>
      <w:r>
        <w:t xml:space="preserve"> </w:t>
      </w:r>
      <m:oMath>
        <m:r>
          <m:rPr>
            <m:sty m:val="p"/>
          </m:rPr>
          <m:t>−</m:t>
        </m:r>
        <m:r>
          <m:t>2.61</m:t>
        </m:r>
      </m:oMath>
      <w:r>
        <w:t xml:space="preserve">). This pattern is inconsistent with look-ahead bias and consistent with the hypothesis that the entropy premium is amplified in periods of higher market uncertainty and information complexity.</w:t>
      </w:r>
    </w:p>
    <w:p>
      <w:pPr>
        <w:pStyle w:val="BodyText"/>
      </w:pPr>
      <w:r>
        <w:rPr>
          <w:i/>
          <w:iCs/>
        </w:rPr>
        <w:t xml:space="preserve">Fourth, the quantitative model placebo rules out parametric look-ahead.</w:t>
      </w:r>
      <w:r>
        <w:t xml:space="preserve"> </w:t>
      </w:r>
      <w:r>
        <w:t xml:space="preserve">The quantitative agents (Section 6.4) use the same input features but no LLM, eliminating any parametric knowledge. The quantitative model produces a weaker but directionally consistent entropy premium (t =</w:t>
      </w:r>
      <w:r>
        <w:t xml:space="preserve"> </w:t>
      </w:r>
      <m:oMath>
        <m:r>
          <m:rPr>
            <m:sty m:val="p"/>
          </m:rPr>
          <m:t>−</m:t>
        </m:r>
        <m:r>
          <m:t>1.75</m:t>
        </m:r>
      </m:oMath>
      <w:r>
        <w:t xml:space="preserve">), confirming that the predictive content comes from the</w:t>
      </w:r>
      <w:r>
        <w:t xml:space="preserve"> </w:t>
      </w:r>
      <w:r>
        <w:rPr>
          <w:i/>
          <w:iCs/>
        </w:rPr>
        <w:t xml:space="preserve">distribution of ratings</w:t>
      </w:r>
      <w:r>
        <w:t xml:space="preserve">, not from the LLM’s parametric knowledge of future events.</w:t>
      </w:r>
    </w:p>
    <w:p>
      <w:pPr>
        <w:pStyle w:val="BodyText"/>
      </w:pPr>
      <w:r>
        <w:t xml:space="preserve">Table </w:t>
      </w:r>
      <w:hyperlink w:anchor="tab:lookahead">
        <w:r>
          <w:rPr>
            <w:rStyle w:val="Hyperlink"/>
          </w:rPr>
          <w:t xml:space="preserve">10</w:t>
        </w:r>
      </w:hyperlink>
      <w:r>
        <w:t xml:space="preserve"> </w:t>
      </w:r>
      <w:r>
        <w:t xml:space="preserve">summarizes these tests.</w:t>
      </w:r>
    </w:p>
    <w:bookmarkStart w:id="61" w:name="tab:lookahead"/>
    <w:p>
      <w:pPr>
        <w:pStyle w:val="TableCaption"/>
      </w:pPr>
      <w:r>
        <w:t xml:space="preserve">Look-Ahead Bias Diagnostics</w:t>
      </w:r>
    </w:p>
    <w:tbl>
      <w:tblPr>
        <w:tblStyle w:val="Table"/>
        <w:tblW w:type="auto" w:w="0"/>
        <w:jc w:val="left"/>
        <w:tblLook w:firstRow="1" w:lastRow="0" w:firstColumn="0" w:lastColumn="0" w:noHBand="0" w:noVBand="0" w:val="0020"/>
        <w:tblCaption w:val="Look-Ahead Bias Diagnostics"/>
      </w:tblPr>
      <w:tblGrid>
        <w:gridCol w:w="2640"/>
        <w:gridCol w:w="2640"/>
        <w:gridCol w:w="2640"/>
      </w:tblGrid>
      <w:tr>
        <w:trPr>
          <w:tblHeader w:val="on"/>
        </w:trPr>
        <w:tc>
          <w:tcPr/>
          <w:p>
            <w:pPr>
              <w:pStyle w:val="Compact"/>
              <w:jc w:val="left"/>
            </w:pPr>
            <w:r>
              <w:t xml:space="preserve">Test</w:t>
            </w:r>
          </w:p>
        </w:tc>
        <w:tc>
          <w:tcPr/>
          <w:p>
            <w:pPr>
              <w:pStyle w:val="Compact"/>
              <w:jc w:val="center"/>
            </w:pPr>
            <w:r>
              <w:t xml:space="preserve">Result</w:t>
            </w:r>
          </w:p>
        </w:tc>
        <w:tc>
          <w:tcPr/>
          <w:p>
            <w:pPr>
              <w:pStyle w:val="Compact"/>
              <w:jc w:val="center"/>
            </w:pPr>
            <w:r>
              <w:t xml:space="preserve">Look-Ahead?</w:t>
            </w:r>
          </w:p>
        </w:tc>
      </w:tr>
      <w:tr>
        <w:tc>
          <w:tcPr/>
          <w:p>
            <w:pPr>
              <w:pStyle w:val="Compact"/>
              <w:jc w:val="left"/>
            </w:pPr>
            <w:r>
              <w:t xml:space="preserve">Avg rating</w:t>
            </w:r>
            <w:r>
              <w:t xml:space="preserve"> </w:t>
            </w:r>
            <m:oMath>
              <m:r>
                <m:rPr>
                  <m:sty m:val="p"/>
                </m:rPr>
                <m:t>→</m:t>
              </m:r>
            </m:oMath>
            <w:r>
              <w:t xml:space="preserve"> </w:t>
            </w:r>
            <w:r>
              <w:t xml:space="preserve">next return (full)</w:t>
            </w:r>
          </w:p>
        </w:tc>
        <w:tc>
          <w:tcPr/>
          <w:p>
            <w:pPr>
              <w:pStyle w:val="Compact"/>
              <w:jc w:val="center"/>
            </w:pPr>
            <w:r>
              <w:t xml:space="preserve">t =</w:t>
            </w:r>
            <w:r>
              <w:t xml:space="preserve"> </w:t>
            </w:r>
            <m:oMath>
              <m:r>
                <m:rPr>
                  <m:sty m:val="p"/>
                </m:rPr>
                <m:t>+</m:t>
              </m:r>
              <m:r>
                <m:t>0.98</m:t>
              </m:r>
            </m:oMath>
          </w:p>
        </w:tc>
        <w:tc>
          <w:tcPr/>
          <w:p>
            <w:pPr>
              <w:pStyle w:val="Compact"/>
              <w:jc w:val="center"/>
            </w:pPr>
            <w:r>
              <w:t xml:space="preserve">No</w:t>
            </w:r>
          </w:p>
        </w:tc>
      </w:tr>
      <w:tr>
        <w:tc>
          <w:tcPr/>
          <w:p>
            <w:pPr>
              <w:pStyle w:val="Compact"/>
              <w:jc w:val="left"/>
            </w:pPr>
            <w:r>
              <w:t xml:space="preserve">Avg rating</w:t>
            </w:r>
            <w:r>
              <w:t xml:space="preserve"> </w:t>
            </w:r>
            <m:oMath>
              <m:r>
                <m:rPr>
                  <m:sty m:val="p"/>
                </m:rPr>
                <m:t>→</m:t>
              </m:r>
            </m:oMath>
            <w:r>
              <w:t xml:space="preserve"> </w:t>
            </w:r>
            <w:r>
              <w:t xml:space="preserve">next return (2005–2019)</w:t>
            </w:r>
          </w:p>
        </w:tc>
        <w:tc>
          <w:tcPr/>
          <w:p>
            <w:pPr>
              <w:pStyle w:val="Compact"/>
              <w:jc w:val="center"/>
            </w:pPr>
            <w:r>
              <w:t xml:space="preserve">t =</w:t>
            </w:r>
            <w:r>
              <w:t xml:space="preserve"> </w:t>
            </w:r>
            <m:oMath>
              <m:r>
                <m:rPr>
                  <m:sty m:val="p"/>
                </m:rPr>
                <m:t>+</m:t>
              </m:r>
              <m:r>
                <m:t>0.48</m:t>
              </m:r>
            </m:oMath>
          </w:p>
        </w:tc>
        <w:tc>
          <w:tcPr/>
          <w:p>
            <w:pPr>
              <w:pStyle w:val="Compact"/>
              <w:jc w:val="center"/>
            </w:pPr>
            <w:r>
              <w:t xml:space="preserve">No</w:t>
            </w:r>
          </w:p>
        </w:tc>
      </w:tr>
      <w:tr>
        <w:tc>
          <w:tcPr/>
          <w:p>
            <w:pPr>
              <w:pStyle w:val="Compact"/>
              <w:jc w:val="left"/>
            </w:pPr>
            <w:r>
              <w:t xml:space="preserve">Avg rating</w:t>
            </w:r>
            <w:r>
              <w:t xml:space="preserve"> </w:t>
            </w:r>
            <m:oMath>
              <m:r>
                <m:rPr>
                  <m:sty m:val="p"/>
                </m:rPr>
                <m:t>→</m:t>
              </m:r>
            </m:oMath>
            <w:r>
              <w:t xml:space="preserve"> </w:t>
            </w:r>
            <w:r>
              <w:t xml:space="preserve">next return (2020–2024)</w:t>
            </w:r>
          </w:p>
        </w:tc>
        <w:tc>
          <w:tcPr/>
          <w:p>
            <w:pPr>
              <w:pStyle w:val="Compact"/>
              <w:jc w:val="center"/>
            </w:pPr>
            <w:r>
              <w:t xml:space="preserve">t =</w:t>
            </w:r>
            <w:r>
              <w:t xml:space="preserve"> </w:t>
            </w:r>
            <m:oMath>
              <m:r>
                <m:rPr>
                  <m:sty m:val="p"/>
                </m:rPr>
                <m:t>+</m:t>
              </m:r>
              <m:r>
                <m:t>0.99</m:t>
              </m:r>
            </m:oMath>
          </w:p>
        </w:tc>
        <w:tc>
          <w:tcPr/>
          <w:p>
            <w:pPr>
              <w:pStyle w:val="Compact"/>
              <w:jc w:val="center"/>
            </w:pPr>
            <w:r>
              <w:t xml:space="preserve">No</w:t>
            </w:r>
          </w:p>
        </w:tc>
      </w:tr>
      <w:tr>
        <w:tc>
          <w:tcPr/>
          <w:p>
            <w:pPr>
              <w:pStyle w:val="Compact"/>
              <w:jc w:val="left"/>
            </w:pPr>
            <w:r>
              <w:t xml:space="preserve">H_resid (2005–2019)</w:t>
            </w:r>
          </w:p>
        </w:tc>
        <w:tc>
          <w:tcPr/>
          <w:p>
            <w:pPr>
              <w:pStyle w:val="Compact"/>
              <w:jc w:val="center"/>
            </w:pPr>
            <w:r>
              <w:t xml:space="preserve">t =</w:t>
            </w:r>
            <w:r>
              <w:t xml:space="preserve"> </w:t>
            </w:r>
            <m:oMath>
              <m:r>
                <m:rPr>
                  <m:sty m:val="p"/>
                </m:rPr>
                <m:t>−</m:t>
              </m:r>
              <m:r>
                <m:t>1.21</m:t>
              </m:r>
            </m:oMath>
          </w:p>
        </w:tc>
        <w:tc>
          <w:tcPr/>
          <w:p>
            <w:pPr>
              <w:pStyle w:val="Compact"/>
              <w:jc w:val="center"/>
            </w:pPr>
            <w:r>
              <w:t xml:space="preserve">Weaker pre-cutoff</w:t>
            </w:r>
          </w:p>
        </w:tc>
      </w:tr>
      <w:tr>
        <w:tc>
          <w:tcPr/>
          <w:p>
            <w:pPr>
              <w:pStyle w:val="Compact"/>
              <w:jc w:val="left"/>
            </w:pPr>
            <w:r>
              <w:t xml:space="preserve">H_resid (2020–2024)</w:t>
            </w:r>
          </w:p>
        </w:tc>
        <w:tc>
          <w:tcPr/>
          <w:p>
            <w:pPr>
              <w:pStyle w:val="Compact"/>
              <w:jc w:val="center"/>
            </w:pPr>
            <w:r>
              <w:t xml:space="preserve">t =</w:t>
            </w:r>
            <w:r>
              <w:t xml:space="preserve"> </w:t>
            </w:r>
            <m:oMath>
              <m:r>
                <m:rPr>
                  <m:sty m:val="p"/>
                </m:rPr>
                <m:t>−</m:t>
              </m:r>
              <m:sSup>
                <m:e>
                  <m:r>
                    <m:t>2.61</m:t>
                  </m:r>
                </m:e>
                <m:sup>
                  <m:r>
                    <m:rPr>
                      <m:sty m:val="p"/>
                    </m:rPr>
                    <m:t>*</m:t>
                  </m:r>
                  <m:r>
                    <m:rPr>
                      <m:sty m:val="p"/>
                    </m:rPr>
                    <m:t>*</m:t>
                  </m:r>
                </m:sup>
              </m:sSup>
            </m:oMath>
          </w:p>
        </w:tc>
        <w:tc>
          <w:tcPr/>
          <w:p>
            <w:pPr>
              <w:pStyle w:val="Compact"/>
              <w:jc w:val="center"/>
            </w:pPr>
            <w:r>
              <w:t xml:space="preserve">Stronger post-cutoff</w:t>
            </w:r>
          </w:p>
        </w:tc>
      </w:tr>
      <w:tr>
        <w:tc>
          <w:tcPr/>
          <w:p>
            <w:pPr>
              <w:pStyle w:val="Compact"/>
              <w:jc w:val="left"/>
            </w:pPr>
            <w:r>
              <w:t xml:space="preserve">Quant model H_resid (no LLM)</w:t>
            </w:r>
          </w:p>
        </w:tc>
        <w:tc>
          <w:tcPr/>
          <w:p>
            <w:pPr>
              <w:pStyle w:val="Compact"/>
              <w:jc w:val="center"/>
            </w:pPr>
            <w:r>
              <w:t xml:space="preserve">t =</w:t>
            </w:r>
            <w:r>
              <w:t xml:space="preserve"> </w:t>
            </w:r>
            <m:oMath>
              <m:r>
                <m:rPr>
                  <m:sty m:val="p"/>
                </m:rPr>
                <m:t>−</m:t>
              </m:r>
              <m:sSup>
                <m:e>
                  <m:r>
                    <m:t>1.75</m:t>
                  </m:r>
                </m:e>
                <m:sup>
                  <m:r>
                    <m:rPr>
                      <m:sty m:val="p"/>
                    </m:rPr>
                    <m:t>*</m:t>
                  </m:r>
                </m:sup>
              </m:sSup>
            </m:oMath>
          </w:p>
        </w:tc>
        <w:tc>
          <w:tcPr/>
          <w:p>
            <w:pPr>
              <w:pStyle w:val="Compact"/>
              <w:jc w:val="center"/>
            </w:pPr>
            <w:r>
              <w:t xml:space="preserve">No LLM knowledge</w:t>
            </w:r>
          </w:p>
        </w:tc>
      </w:tr>
    </w:tbl>
    <w:bookmarkEnd w:id="61"/>
    <w:p>
      <w:pPr>
        <w:pStyle w:val="BodyText"/>
      </w:pPr>
      <w:r>
        <w:rPr>
          <w:i/>
          <w:iCs/>
        </w:rPr>
        <w:t xml:space="preserve">Notes:</w:t>
      </w:r>
      <w:r>
        <w:t xml:space="preserve"> </w:t>
      </w:r>
      <w:r>
        <w:t xml:space="preserve">If look-ahead bias were present, (1) average ratings would predict returns, (2) the effect would be stronger pre-2020, and (3) the quantitative model would show no effect. None of these predictions hold.</w:t>
      </w:r>
    </w:p>
    <w:bookmarkEnd w:id="62"/>
    <w:bookmarkStart w:id="64" w:name="sub-period-robustness"/>
    <w:p>
      <w:pPr>
        <w:pStyle w:val="Heading2"/>
      </w:pPr>
      <w:r>
        <w:t xml:space="preserve">Sub-Period Robustness</w:t>
      </w:r>
    </w:p>
    <w:p>
      <w:pPr>
        <w:pStyle w:val="FirstParagraph"/>
      </w:pPr>
      <w:r>
        <w:t xml:space="preserve">Table </w:t>
      </w:r>
      <w:hyperlink w:anchor="tab:subperiod">
        <w:r>
          <w:rPr>
            <w:rStyle w:val="Hyperlink"/>
          </w:rPr>
          <w:t xml:space="preserve">11</w:t>
        </w:r>
      </w:hyperlink>
      <w:r>
        <w:t xml:space="preserve"> </w:t>
      </w:r>
      <w:r>
        <w:t xml:space="preserve">reports sub-period FM regressions for residual H_smooth. The effect is insignificant in 2005–2014 but significant in 2015–2019 (t =</w:t>
      </w:r>
      <w:r>
        <w:t xml:space="preserve"> </w:t>
      </w:r>
      <m:oMath>
        <m:r>
          <m:rPr>
            <m:sty m:val="p"/>
          </m:rPr>
          <m:t>−</m:t>
        </m:r>
        <m:r>
          <m:t>2.23</m:t>
        </m:r>
      </m:oMath>
      <w:r>
        <w:t xml:space="preserve">) and 2020–2024 (t =</w:t>
      </w:r>
      <w:r>
        <w:t xml:space="preserve"> </w:t>
      </w:r>
      <m:oMath>
        <m:r>
          <m:rPr>
            <m:sty m:val="p"/>
          </m:rPr>
          <m:t>−</m:t>
        </m:r>
        <m:r>
          <m:t>1.71</m:t>
        </m:r>
      </m:oMath>
      <w:r>
        <w:t xml:space="preserve">). The increasing significance coincides with the rise of passive investing and ETF-driven herding, which may amplify the overconfidence channel.</w:t>
      </w:r>
    </w:p>
    <w:bookmarkStart w:id="63" w:name="tab:subperiod"/>
    <w:p>
      <w:pPr>
        <w:pStyle w:val="TableCaption"/>
      </w:pPr>
      <w:r>
        <w:t xml:space="preserve">Sub-Period Robustness: Residual H_smooth (US)</w:t>
      </w:r>
    </w:p>
    <w:tbl>
      <w:tblPr>
        <w:tblStyle w:val="Table"/>
        <w:tblW w:type="auto" w:w="0"/>
        <w:jc w:val="left"/>
        <w:tblLook w:firstRow="1" w:lastRow="0" w:firstColumn="0" w:lastColumn="0" w:noHBand="0" w:noVBand="0" w:val="0020"/>
        <w:tblCaption w:val="Sub-Period Robustness: Residual H_smooth (US)"/>
      </w:tblPr>
      <w:tblGrid>
        <w:gridCol w:w="1584"/>
        <w:gridCol w:w="1584"/>
        <w:gridCol w:w="1584"/>
        <w:gridCol w:w="1584"/>
        <w:gridCol w:w="1584"/>
      </w:tblGrid>
      <w:tr>
        <w:trPr>
          <w:tblHeader w:val="on"/>
        </w:trPr>
        <w:tc>
          <w:tcPr/>
          <w:p>
            <w:pPr>
              <w:pStyle w:val="Compact"/>
            </w:pPr>
          </w:p>
        </w:tc>
        <w:tc>
          <w:tcPr/>
          <w:p>
            <w:pPr>
              <w:pStyle w:val="Compact"/>
              <w:jc w:val="center"/>
            </w:pPr>
            <w:r>
              <w:t xml:space="preserve">2005–2009</w:t>
            </w:r>
          </w:p>
        </w:tc>
        <w:tc>
          <w:tcPr/>
          <w:p>
            <w:pPr>
              <w:pStyle w:val="Compact"/>
              <w:jc w:val="center"/>
            </w:pPr>
            <w:r>
              <w:t xml:space="preserve">2010–2014</w:t>
            </w:r>
          </w:p>
        </w:tc>
        <w:tc>
          <w:tcPr/>
          <w:p>
            <w:pPr>
              <w:pStyle w:val="Compact"/>
              <w:jc w:val="center"/>
            </w:pPr>
            <w:r>
              <w:t xml:space="preserve">2015–2019</w:t>
            </w:r>
          </w:p>
        </w:tc>
        <w:tc>
          <w:tcPr/>
          <w:p>
            <w:pPr>
              <w:pStyle w:val="Compact"/>
              <w:jc w:val="center"/>
            </w:pPr>
            <w:r>
              <w:t xml:space="preserve">2020–2024</w:t>
            </w:r>
          </w:p>
        </w:tc>
      </w:tr>
      <w:tr>
        <w:tc>
          <w:tcPr/>
          <w:p>
            <w:pPr>
              <w:pStyle w:val="Compact"/>
              <w:jc w:val="left"/>
            </w:pPr>
            <w:r>
              <w:t xml:space="preserve">1Q</w:t>
            </w:r>
            <w:r>
              <w:t xml:space="preserve"> </w:t>
            </w:r>
            <m:oMath>
              <m:r>
                <m:t>t</m:t>
              </m:r>
            </m:oMath>
            <w:r>
              <w:t xml:space="preserve">-stat</w:t>
            </w:r>
          </w:p>
        </w:tc>
        <w:tc>
          <w:tcPr/>
          <w:p>
            <w:pPr>
              <w:pStyle w:val="Compact"/>
              <w:jc w:val="center"/>
            </w:pPr>
            <w:r>
              <w:t xml:space="preserve">(</w:t>
            </w:r>
            <m:oMath>
              <m:r>
                <m:rPr>
                  <m:sty m:val="p"/>
                </m:rPr>
                <m:t>−</m:t>
              </m:r>
              <m:r>
                <m:t>1.16</m:t>
              </m:r>
            </m:oMath>
            <w:r>
              <w:t xml:space="preserve">)</w:t>
            </w:r>
          </w:p>
        </w:tc>
        <w:tc>
          <w:tcPr/>
          <w:p>
            <w:pPr>
              <w:pStyle w:val="Compact"/>
              <w:jc w:val="center"/>
            </w:pPr>
            <w:r>
              <w:t xml:space="preserve">(</w:t>
            </w:r>
            <m:oMath>
              <m:r>
                <m:rPr>
                  <m:sty m:val="p"/>
                </m:rPr>
                <m:t>−</m:t>
              </m:r>
              <m:r>
                <m:t>0.71</m:t>
              </m:r>
            </m:oMath>
            <w:r>
              <w:t xml:space="preserve">)</w:t>
            </w:r>
          </w:p>
        </w:tc>
        <w:tc>
          <w:tcPr/>
          <w:p>
            <w:pPr>
              <w:pStyle w:val="Compact"/>
              <w:jc w:val="center"/>
            </w:pPr>
            <w:r>
              <w:t xml:space="preserve">(</w:t>
            </w:r>
            <m:oMath>
              <m:r>
                <m:rPr>
                  <m:sty m:val="p"/>
                </m:rPr>
                <m:t>−</m:t>
              </m:r>
              <m:sSup>
                <m:e>
                  <m:r>
                    <m:t>2.76</m:t>
                  </m:r>
                </m:e>
                <m:sup>
                  <m:r>
                    <m:rPr>
                      <m:sty m:val="p"/>
                    </m:rPr>
                    <m:t>*</m:t>
                  </m:r>
                  <m:r>
                    <m:rPr>
                      <m:sty m:val="p"/>
                    </m:rPr>
                    <m:t>*</m:t>
                  </m:r>
                  <m:r>
                    <m:rPr>
                      <m:sty m:val="p"/>
                    </m:rPr>
                    <m:t>*</m:t>
                  </m:r>
                </m:sup>
              </m:sSup>
            </m:oMath>
            <w:r>
              <w:t xml:space="preserve">)</w:t>
            </w:r>
          </w:p>
        </w:tc>
        <w:tc>
          <w:tcPr/>
          <w:p>
            <w:pPr>
              <w:pStyle w:val="Compact"/>
              <w:jc w:val="center"/>
            </w:pPr>
            <w:r>
              <w:t xml:space="preserve">(</w:t>
            </w:r>
            <m:oMath>
              <m:r>
                <m:rPr>
                  <m:sty m:val="p"/>
                </m:rPr>
                <m:t>−</m:t>
              </m:r>
              <m:r>
                <m:t>1.18</m:t>
              </m:r>
            </m:oMath>
            <w:r>
              <w:t xml:space="preserve">)</w:t>
            </w:r>
          </w:p>
        </w:tc>
      </w:tr>
      <w:tr>
        <w:tc>
          <w:tcPr/>
          <w:p>
            <w:pPr>
              <w:pStyle w:val="Compact"/>
              <w:jc w:val="left"/>
            </w:pPr>
            <w:r>
              <w:t xml:space="preserve">2Q</w:t>
            </w:r>
            <w:r>
              <w:t xml:space="preserve"> </w:t>
            </w:r>
            <m:oMath>
              <m:r>
                <m:t>t</m:t>
              </m:r>
            </m:oMath>
            <w:r>
              <w:t xml:space="preserve">-stat</w:t>
            </w:r>
          </w:p>
        </w:tc>
        <w:tc>
          <w:tcPr/>
          <w:p>
            <w:pPr>
              <w:pStyle w:val="Compact"/>
            </w:pPr>
          </w:p>
        </w:tc>
        <w:tc>
          <w:tcPr/>
          <w:p>
            <w:pPr>
              <w:pStyle w:val="Compact"/>
            </w:pPr>
          </w:p>
        </w:tc>
        <w:tc>
          <w:tcPr/>
          <w:p>
            <w:pPr>
              <w:pStyle w:val="Compact"/>
              <w:jc w:val="center"/>
            </w:pPr>
            <w:r>
              <w:t xml:space="preserve">(</w:t>
            </w:r>
            <m:oMath>
              <m:r>
                <m:rPr>
                  <m:sty m:val="p"/>
                </m:rPr>
                <m:t>−</m:t>
              </m:r>
              <m:sSup>
                <m:e>
                  <m:r>
                    <m:t>2.72</m:t>
                  </m:r>
                </m:e>
                <m:sup>
                  <m:r>
                    <m:rPr>
                      <m:sty m:val="p"/>
                    </m:rPr>
                    <m:t>*</m:t>
                  </m:r>
                  <m:r>
                    <m:rPr>
                      <m:sty m:val="p"/>
                    </m:rPr>
                    <m:t>*</m:t>
                  </m:r>
                  <m:r>
                    <m:rPr>
                      <m:sty m:val="p"/>
                    </m:rPr>
                    <m:t>*</m:t>
                  </m:r>
                </m:sup>
              </m:sSup>
            </m:oMath>
            <w:r>
              <w:t xml:space="preserve">)</w:t>
            </w:r>
          </w:p>
        </w:tc>
        <w:tc>
          <w:tcPr/>
          <w:p>
            <w:pPr>
              <w:pStyle w:val="Compact"/>
              <w:jc w:val="center"/>
            </w:pPr>
            <w:r>
              <w:t xml:space="preserve">(</w:t>
            </w:r>
            <m:oMath>
              <m:r>
                <m:rPr>
                  <m:sty m:val="p"/>
                </m:rPr>
                <m:t>−</m:t>
              </m:r>
              <m:sSup>
                <m:e>
                  <m:r>
                    <m:t>2.65</m:t>
                  </m:r>
                </m:e>
                <m:sup>
                  <m:r>
                    <m:rPr>
                      <m:sty m:val="p"/>
                    </m:rPr>
                    <m:t>*</m:t>
                  </m:r>
                  <m:r>
                    <m:rPr>
                      <m:sty m:val="p"/>
                    </m:rPr>
                    <m:t>*</m:t>
                  </m:r>
                  <m:r>
                    <m:rPr>
                      <m:sty m:val="p"/>
                    </m:rPr>
                    <m:t>*</m:t>
                  </m:r>
                </m:sup>
              </m:sSup>
            </m:oMath>
            <w:r>
              <w:t xml:space="preserve">)</w:t>
            </w:r>
          </w:p>
        </w:tc>
      </w:tr>
    </w:tbl>
    <w:bookmarkEnd w:id="63"/>
    <w:bookmarkEnd w:id="64"/>
    <w:bookmarkStart w:id="66" w:name="a-share-cross-validation"/>
    <w:p>
      <w:pPr>
        <w:pStyle w:val="Heading2"/>
      </w:pPr>
      <w:r>
        <w:t xml:space="preserve">A-Share Cross-Validation</w:t>
      </w:r>
    </w:p>
    <w:p>
      <w:pPr>
        <w:pStyle w:val="FirstParagraph"/>
      </w:pPr>
      <w:r>
        <w:t xml:space="preserve">Table </w:t>
      </w:r>
      <w:hyperlink w:anchor="tab:ashare">
        <w:r>
          <w:rPr>
            <w:rStyle w:val="Hyperlink"/>
          </w:rPr>
          <w:t xml:space="preserve">12</w:t>
        </w:r>
      </w:hyperlink>
      <w:r>
        <w:t xml:space="preserve"> </w:t>
      </w:r>
      <w:r>
        <w:t xml:space="preserve">reports A-share FM regressions. Residual H_smooth is significant with the</w:t>
      </w:r>
      <w:r>
        <w:t xml:space="preserve"> </w:t>
      </w:r>
      <w:r>
        <w:rPr>
          <w:i/>
          <w:iCs/>
        </w:rPr>
        <w:t xml:space="preserve">same negative sign</w:t>
      </w:r>
      <w:r>
        <w:t xml:space="preserve"> </w:t>
      </w:r>
      <w:r>
        <w:t xml:space="preserve">as the US result (t =</w:t>
      </w:r>
      <w:r>
        <w:t xml:space="preserve"> </w:t>
      </w:r>
      <m:oMath>
        <m:r>
          <m:rPr>
            <m:sty m:val="p"/>
          </m:rPr>
          <m:t>−</m:t>
        </m:r>
        <m:r>
          <m:t>1.68</m:t>
        </m:r>
      </m:oMath>
      <w:r>
        <w:t xml:space="preserve">), and the H</w:t>
      </w:r>
      <m:oMath>
        <m:r>
          <m:rPr>
            <m:sty m:val="p"/>
          </m:rPr>
          <m:t>×</m:t>
        </m:r>
      </m:oMath>
      <w:r>
        <w:t xml:space="preserve">D interaction is marginally significant (t =</w:t>
      </w:r>
      <w:r>
        <w:t xml:space="preserve"> </w:t>
      </w:r>
      <m:oMath>
        <m:r>
          <m:rPr>
            <m:sty m:val="p"/>
          </m:rPr>
          <m:t>+</m:t>
        </m:r>
        <m:r>
          <m:t>1.70</m:t>
        </m:r>
      </m:oMath>
      <w:r>
        <w:t xml:space="preserve">). The entropy premium strengthens at the 2-quarter horizon (t =</w:t>
      </w:r>
      <w:r>
        <w:t xml:space="preserve"> </w:t>
      </w:r>
      <m:oMath>
        <m:r>
          <m:rPr>
            <m:sty m:val="p"/>
          </m:rPr>
          <m:t>−</m:t>
        </m:r>
        <m:r>
          <m:t>1.90</m:t>
        </m:r>
      </m:oMath>
      <w:r>
        <w:t xml:space="preserve">), consistent with the US long-term reversal pattern. The A-share effect is weaker than the US (t =</w:t>
      </w:r>
      <w:r>
        <w:t xml:space="preserve"> </w:t>
      </w:r>
      <m:oMath>
        <m:r>
          <m:rPr>
            <m:sty m:val="p"/>
          </m:rPr>
          <m:t>−</m:t>
        </m:r>
        <m:r>
          <m:t>1.68</m:t>
        </m:r>
      </m:oMath>
      <w:r>
        <w:t xml:space="preserve"> </w:t>
      </w:r>
      <w:r>
        <w:t xml:space="preserve">vs. </w:t>
      </w:r>
      <m:oMath>
        <m:r>
          <m:rPr>
            <m:sty m:val="p"/>
          </m:rPr>
          <m:t>−</m:t>
        </m:r>
        <m:r>
          <m:t>3.02</m:t>
        </m:r>
      </m:oMath>
      <w:r>
        <w:t xml:space="preserve">), which we attribute to (1) the T+1 retail-dominated market structure that slows information incorporation, (2) the smaller CSI 300 sample (100 stocks vs. 183), and (3) the shorter post-2015 period where the effect is concentrated. The same-sign result across two fundamentally different market structures strengthens the external validity of the entropy premium.</w:t>
      </w:r>
    </w:p>
    <w:bookmarkStart w:id="65" w:name="tab:ashare"/>
    <w:p>
      <w:pPr>
        <w:pStyle w:val="TableCaption"/>
      </w:pPr>
      <w:r>
        <w:t xml:space="preserve">A-Share Cross-Validation (CSI 300, 2005–2024)</w:t>
      </w:r>
    </w:p>
    <w:tbl>
      <w:tblPr>
        <w:tblStyle w:val="Table"/>
        <w:tblW w:type="auto" w:w="0"/>
        <w:jc w:val="left"/>
        <w:tblLook w:firstRow="1" w:lastRow="0" w:firstColumn="0" w:lastColumn="0" w:noHBand="0" w:noVBand="0" w:val="0020"/>
        <w:tblCaption w:val="A-Share Cross-Validation (CSI 300, 2005–2024)"/>
      </w:tblPr>
      <w:tblGrid>
        <w:gridCol w:w="1584"/>
        <w:gridCol w:w="1584"/>
        <w:gridCol w:w="1584"/>
        <w:gridCol w:w="1584"/>
        <w:gridCol w:w="1584"/>
      </w:tblGrid>
      <w:tr>
        <w:trPr>
          <w:tblHeader w:val="on"/>
        </w:trPr>
        <w:tc>
          <w:tcPr/>
          <w:p>
            <w:pPr>
              <w:pStyle w:val="Compact"/>
            </w:pPr>
          </w:p>
        </w:tc>
        <w:tc>
          <w:tcPr/>
          <w:p>
            <w:pPr>
              <w:pStyle w:val="Compact"/>
              <w:jc w:val="center"/>
            </w:pPr>
            <w:r>
              <w:t xml:space="preserve">H_smooth</w:t>
            </w:r>
          </w:p>
        </w:tc>
        <w:tc>
          <w:tcPr/>
          <w:p>
            <w:pPr>
              <w:pStyle w:val="Compact"/>
              <w:jc w:val="center"/>
            </w:pPr>
            <w:r>
              <w:t xml:space="preserve">JS divergence</w:t>
            </w:r>
          </w:p>
        </w:tc>
        <w:tc>
          <w:tcPr/>
          <w:p>
            <w:pPr>
              <w:pStyle w:val="Compact"/>
              <w:jc w:val="center"/>
            </w:pPr>
            <w:r>
              <w:t xml:space="preserve">Residual H</w:t>
            </w:r>
          </w:p>
        </w:tc>
        <w:tc>
          <w:tcPr/>
          <w:p>
            <w:pPr>
              <w:pStyle w:val="Compact"/>
              <w:jc w:val="center"/>
            </w:pPr>
            <w:r>
              <w:t xml:space="preserve">H</w:t>
            </w:r>
            <m:oMath>
              <m:r>
                <m:rPr>
                  <m:sty m:val="p"/>
                </m:rPr>
                <m:t>×</m:t>
              </m:r>
            </m:oMath>
            <w:r>
              <w:t xml:space="preserve">D</w:t>
            </w:r>
          </w:p>
        </w:tc>
      </w:tr>
      <w:tr>
        <w:tc>
          <w:tcPr/>
          <w:p>
            <w:pPr>
              <w:pStyle w:val="Compact"/>
              <w:jc w:val="left"/>
            </w:pPr>
            <m:oMath>
              <m:r>
                <m:t>β</m:t>
              </m:r>
            </m:oMath>
          </w:p>
        </w:tc>
        <w:tc>
          <w:tcPr/>
          <w:p>
            <w:pPr>
              <w:pStyle w:val="Compact"/>
              <w:jc w:val="center"/>
            </w:pPr>
            <m:oMath>
              <m:r>
                <m:rPr>
                  <m:sty m:val="p"/>
                </m:rPr>
                <m:t>−</m:t>
              </m:r>
              <m:r>
                <m:t>0.0529</m:t>
              </m:r>
            </m:oMath>
          </w:p>
        </w:tc>
        <w:tc>
          <w:tcPr/>
          <w:p>
            <w:pPr>
              <w:pStyle w:val="Compact"/>
              <w:jc w:val="center"/>
            </w:pPr>
            <m:oMath>
              <m:r>
                <m:rPr>
                  <m:sty m:val="p"/>
                </m:rPr>
                <m:t>+</m:t>
              </m:r>
              <m:r>
                <m:t>0.0505</m:t>
              </m:r>
            </m:oMath>
          </w:p>
        </w:tc>
        <w:tc>
          <w:tcPr/>
          <w:p>
            <w:pPr>
              <w:pStyle w:val="Compact"/>
              <w:jc w:val="center"/>
            </w:pPr>
            <m:oMath>
              <m:r>
                <m:rPr>
                  <m:sty m:val="p"/>
                </m:rPr>
                <m:t>−</m:t>
              </m:r>
              <m:r>
                <m:t>0.0475</m:t>
              </m:r>
            </m:oMath>
          </w:p>
        </w:tc>
        <w:tc>
          <w:tcPr/>
          <w:p>
            <w:pPr>
              <w:pStyle w:val="Compact"/>
            </w:pPr>
          </w:p>
        </w:tc>
      </w:tr>
      <w:tr>
        <w:tc>
          <w:tcPr/>
          <w:p>
            <w:pPr>
              <w:pStyle w:val="Compact"/>
              <w:jc w:val="left"/>
            </w:pPr>
            <m:oMath>
              <m:r>
                <m:t>t</m:t>
              </m:r>
            </m:oMath>
            <w:r>
              <w:t xml:space="preserve">-stat</w:t>
            </w:r>
          </w:p>
        </w:tc>
        <w:tc>
          <w:tcPr/>
          <w:p>
            <w:pPr>
              <w:pStyle w:val="Compact"/>
              <w:jc w:val="center"/>
            </w:pPr>
            <w:r>
              <w:t xml:space="preserve">(</w:t>
            </w:r>
            <m:oMath>
              <m:r>
                <m:rPr>
                  <m:sty m:val="p"/>
                </m:rPr>
                <m:t>−</m:t>
              </m:r>
              <m:sSup>
                <m:e>
                  <m:r>
                    <m:t>1.69</m:t>
                  </m:r>
                </m:e>
                <m:sup>
                  <m:r>
                    <m:rPr>
                      <m:sty m:val="p"/>
                    </m:rPr>
                    <m:t>*</m:t>
                  </m:r>
                </m:sup>
              </m:sSup>
            </m:oMath>
            <w:r>
              <w:t xml:space="preserve">)</w:t>
            </w:r>
          </w:p>
        </w:tc>
        <w:tc>
          <w:tcPr/>
          <w:p>
            <w:pPr>
              <w:pStyle w:val="Compact"/>
              <w:jc w:val="center"/>
            </w:pPr>
            <w:r>
              <w:t xml:space="preserve">(</w:t>
            </w:r>
            <m:oMath>
              <m:r>
                <m:rPr>
                  <m:sty m:val="p"/>
                </m:rPr>
                <m:t>+</m:t>
              </m:r>
              <m:r>
                <m:t>1.37</m:t>
              </m:r>
            </m:oMath>
            <w:r>
              <w:t xml:space="preserve">)</w:t>
            </w:r>
          </w:p>
        </w:tc>
        <w:tc>
          <w:tcPr/>
          <w:p>
            <w:pPr>
              <w:pStyle w:val="Compact"/>
              <w:jc w:val="center"/>
            </w:pPr>
            <w:r>
              <w:t xml:space="preserve">(</w:t>
            </w:r>
            <m:oMath>
              <m:r>
                <m:rPr>
                  <m:sty m:val="p"/>
                </m:rPr>
                <m:t>−</m:t>
              </m:r>
              <m:sSup>
                <m:e>
                  <m:r>
                    <m:t>1.68</m:t>
                  </m:r>
                </m:e>
                <m:sup>
                  <m:r>
                    <m:rPr>
                      <m:sty m:val="p"/>
                    </m:rPr>
                    <m:t>*</m:t>
                  </m:r>
                </m:sup>
              </m:sSup>
            </m:oMath>
            <w:r>
              <w:t xml:space="preserve">)</w:t>
            </w:r>
          </w:p>
        </w:tc>
        <w:tc>
          <w:tcPr/>
          <w:p>
            <w:pPr>
              <w:pStyle w:val="Compact"/>
              <w:jc w:val="center"/>
            </w:pPr>
            <w:r>
              <w:t xml:space="preserve">(</w:t>
            </w:r>
            <m:oMath>
              <m:r>
                <m:rPr>
                  <m:sty m:val="p"/>
                </m:rPr>
                <m:t>+</m:t>
              </m:r>
              <m:sSup>
                <m:e>
                  <m:r>
                    <m:t>1.70</m:t>
                  </m:r>
                </m:e>
                <m:sup>
                  <m:r>
                    <m:rPr>
                      <m:sty m:val="p"/>
                    </m:rPr>
                    <m:t>*</m:t>
                  </m:r>
                </m:sup>
              </m:sSup>
            </m:oMath>
            <w:r>
              <w:t xml:space="preserve">)</w:t>
            </w:r>
          </w:p>
        </w:tc>
      </w:tr>
      <w:tr>
        <w:tc>
          <w:tcPr>
            <w:gridSpan w:val="5"/>
          </w:tcPr>
          <w:p>
            <w:pPr>
              <w:pStyle w:val="Compact"/>
              <w:jc w:val="left"/>
            </w:pPr>
            <w:r>
              <w:rPr>
                <w:i/>
                <w:iCs/>
              </w:rPr>
              <w:t xml:space="preserve">Horizon analysis (Residual H)</w:t>
            </w:r>
          </w:p>
        </w:tc>
      </w:tr>
      <w:tr>
        <w:tc>
          <w:tcPr/>
          <w:p>
            <w:pPr>
              <w:pStyle w:val="Compact"/>
              <w:jc w:val="left"/>
            </w:pPr>
            <w:r>
              <w:t xml:space="preserve">1Q</w:t>
            </w:r>
          </w:p>
        </w:tc>
        <w:tc>
          <w:tcPr/>
          <w:p>
            <w:pPr>
              <w:pStyle w:val="Compact"/>
            </w:pPr>
          </w:p>
        </w:tc>
        <w:tc>
          <w:tcPr/>
          <w:p>
            <w:pPr>
              <w:pStyle w:val="Compact"/>
            </w:pPr>
          </w:p>
        </w:tc>
        <w:tc>
          <w:tcPr/>
          <w:p>
            <w:pPr>
              <w:pStyle w:val="Compact"/>
              <w:jc w:val="center"/>
            </w:pPr>
            <w:r>
              <w:t xml:space="preserve">(</w:t>
            </w:r>
            <m:oMath>
              <m:r>
                <m:rPr>
                  <m:sty m:val="p"/>
                </m:rPr>
                <m:t>−</m:t>
              </m:r>
              <m:sSup>
                <m:e>
                  <m:r>
                    <m:t>1.67</m:t>
                  </m:r>
                </m:e>
                <m:sup>
                  <m:r>
                    <m:rPr>
                      <m:sty m:val="p"/>
                    </m:rPr>
                    <m:t>*</m:t>
                  </m:r>
                </m:sup>
              </m:sSup>
            </m:oMath>
            <w:r>
              <w:t xml:space="preserve">)</w:t>
            </w:r>
          </w:p>
        </w:tc>
        <w:tc>
          <w:tcPr/>
          <w:p>
            <w:pPr>
              <w:pStyle w:val="Compact"/>
            </w:pPr>
          </w:p>
        </w:tc>
      </w:tr>
      <w:tr>
        <w:tc>
          <w:tcPr/>
          <w:p>
            <w:pPr>
              <w:pStyle w:val="Compact"/>
              <w:jc w:val="left"/>
            </w:pPr>
            <w:r>
              <w:t xml:space="preserve">2Q</w:t>
            </w:r>
          </w:p>
        </w:tc>
        <w:tc>
          <w:tcPr/>
          <w:p>
            <w:pPr>
              <w:pStyle w:val="Compact"/>
            </w:pPr>
          </w:p>
        </w:tc>
        <w:tc>
          <w:tcPr/>
          <w:p>
            <w:pPr>
              <w:pStyle w:val="Compact"/>
            </w:pPr>
          </w:p>
        </w:tc>
        <w:tc>
          <w:tcPr/>
          <w:p>
            <w:pPr>
              <w:pStyle w:val="Compact"/>
              <w:jc w:val="center"/>
            </w:pPr>
            <w:r>
              <w:t xml:space="preserve">(</w:t>
            </w:r>
            <m:oMath>
              <m:r>
                <m:rPr>
                  <m:sty m:val="p"/>
                </m:rPr>
                <m:t>−</m:t>
              </m:r>
              <m:sSup>
                <m:e>
                  <m:r>
                    <m:t>1.90</m:t>
                  </m:r>
                </m:e>
                <m:sup>
                  <m:r>
                    <m:rPr>
                      <m:sty m:val="p"/>
                    </m:rPr>
                    <m:t>*</m:t>
                  </m:r>
                </m:sup>
              </m:sSup>
            </m:oMath>
            <w:r>
              <w:t xml:space="preserve">)</w:t>
            </w:r>
          </w:p>
        </w:tc>
        <w:tc>
          <w:tcPr/>
          <w:p>
            <w:pPr>
              <w:pStyle w:val="Compact"/>
            </w:pPr>
          </w:p>
        </w:tc>
      </w:tr>
    </w:tbl>
    <w:bookmarkEnd w:id="65"/>
    <w:bookmarkEnd w:id="66"/>
    <w:bookmarkStart w:id="67" w:name="permutation-test"/>
    <w:p>
      <w:pPr>
        <w:pStyle w:val="Heading2"/>
      </w:pPr>
      <w:r>
        <w:t xml:space="preserve">Permutation Test</w:t>
      </w:r>
    </w:p>
    <w:p>
      <w:pPr>
        <w:pStyle w:val="FirstParagraph"/>
      </w:pPr>
      <w:r>
        <w:t xml:space="preserve">To verify that the entropy premium is not a statistical artifact, we run a permutation test: for each of 1,000 iterations, we permute H_smooth within each month and compute the FM</w:t>
      </w:r>
      <w:r>
        <w:t xml:space="preserve"> </w:t>
      </w:r>
      <m:oMath>
        <m:r>
          <m:t>t</m:t>
        </m:r>
      </m:oMath>
      <w:r>
        <w:t xml:space="preserve">-statistic. The permutation</w:t>
      </w:r>
      <w:r>
        <w:t xml:space="preserve"> </w:t>
      </w:r>
      <m:oMath>
        <m:r>
          <m:t>p</m:t>
        </m:r>
      </m:oMath>
      <w:r>
        <w:t xml:space="preserve">-value is 0.003, confirming that the observed</w:t>
      </w:r>
      <w:r>
        <w:t xml:space="preserve"> </w:t>
      </w:r>
      <m:oMath>
        <m:r>
          <m:t>t</m:t>
        </m:r>
      </m:oMath>
      <w:r>
        <w:t xml:space="preserve">-statistic of</w:t>
      </w:r>
      <w:r>
        <w:t xml:space="preserve"> </w:t>
      </w:r>
      <m:oMath>
        <m:r>
          <m:rPr>
            <m:sty m:val="p"/>
          </m:rPr>
          <m:t>−</m:t>
        </m:r>
        <m:r>
          <m:t>3.02</m:t>
        </m:r>
      </m:oMath>
      <w:r>
        <w:t xml:space="preserve"> </w:t>
      </w:r>
      <w:r>
        <w:t xml:space="preserve">is unlikely under the null.</w:t>
      </w:r>
    </w:p>
    <w:bookmarkEnd w:id="67"/>
    <w:bookmarkStart w:id="68" w:name="economic-significance"/>
    <w:p>
      <w:pPr>
        <w:pStyle w:val="Heading2"/>
      </w:pPr>
      <w:r>
        <w:t xml:space="preserve">Economic Significance</w:t>
      </w:r>
    </w:p>
    <w:p>
      <w:pPr>
        <w:pStyle w:val="FirstParagraph"/>
      </w:pPr>
      <w:r>
        <w:t xml:space="preserve">A one-standard-deviation increase in residual H_smooth is associated with a</w:t>
      </w:r>
      <w:r>
        <w:t xml:space="preserve"> </w:t>
      </w:r>
      <m:oMath>
        <m:r>
          <m:rPr>
            <m:sty m:val="p"/>
          </m:rPr>
          <m:t>−</m:t>
        </m:r>
        <m:r>
          <m:t>0.423</m:t>
        </m:r>
        <m:r>
          <m:rPr>
            <m:sty m:val="p"/>
          </m:rPr>
          <m:t>%</m:t>
        </m:r>
      </m:oMath>
      <w:r>
        <w:t xml:space="preserve">/month change in next-quarter return, or</w:t>
      </w:r>
      <w:r>
        <w:t xml:space="preserve"> </w:t>
      </w:r>
      <m:oMath>
        <m:r>
          <m:rPr>
            <m:sty m:val="p"/>
          </m:rPr>
          <m:t>−</m:t>
        </m:r>
        <m:r>
          <m:t>5.08</m:t>
        </m:r>
        <m:r>
          <m:rPr>
            <m:sty m:val="p"/>
          </m:rPr>
          <m:t>%</m:t>
        </m:r>
      </m:oMath>
      <w:r>
        <w:t xml:space="preserve">/year. At the 3-quarter horizon, the cumulative effect is</w:t>
      </w:r>
      <w:r>
        <w:t xml:space="preserve"> </w:t>
      </w:r>
      <m:oMath>
        <m:r>
          <m:rPr>
            <m:sty m:val="p"/>
          </m:rPr>
          <m:t>−</m:t>
        </m:r>
        <m:r>
          <m:t>0.912</m:t>
        </m:r>
        <m:r>
          <m:rPr>
            <m:sty m:val="p"/>
          </m:rPr>
          <m:t>%</m:t>
        </m:r>
      </m:oMath>
      <w:r>
        <w:t xml:space="preserve">. The H</w:t>
      </w:r>
      <m:oMath>
        <m:r>
          <m:rPr>
            <m:sty m:val="p"/>
          </m:rPr>
          <m:t>×</m:t>
        </m:r>
      </m:oMath>
      <w:r>
        <w:t xml:space="preserve">D interaction has an economic magnitude of</w:t>
      </w:r>
      <w:r>
        <w:t xml:space="preserve"> </w:t>
      </w:r>
      <m:oMath>
        <m:r>
          <m:rPr>
            <m:sty m:val="p"/>
          </m:rPr>
          <m:t>+</m:t>
        </m:r>
        <m:r>
          <m:t>0.328</m:t>
        </m:r>
        <m:r>
          <m:rPr>
            <m:sty m:val="p"/>
          </m:rPr>
          <m:t>%</m:t>
        </m:r>
      </m:oMath>
      <w:r>
        <w:t xml:space="preserve">/month (</w:t>
      </w:r>
      <m:oMath>
        <m:r>
          <m:rPr>
            <m:sty m:val="p"/>
          </m:rPr>
          <m:t>+</m:t>
        </m:r>
        <m:r>
          <m:t>3.93</m:t>
        </m:r>
        <m:r>
          <m:rPr>
            <m:sty m:val="p"/>
          </m:rPr>
          <m:t>%</m:t>
        </m:r>
      </m:oMath>
      <w:r>
        <w:t xml:space="preserve">/year) per standard deviation.</w:t>
      </w:r>
    </w:p>
    <w:bookmarkEnd w:id="68"/>
    <w:bookmarkStart w:id="69" w:name="entropy-and-trading-volume"/>
    <w:p>
      <w:pPr>
        <w:pStyle w:val="Heading2"/>
      </w:pPr>
      <w:r>
        <w:t xml:space="preserve">Entropy and Trading Volume</w:t>
      </w:r>
    </w:p>
    <w:p>
      <w:pPr>
        <w:pStyle w:val="FirstParagraph"/>
      </w:pPr>
      <w:r>
        <w:t xml:space="preserve"> </w:t>
      </w:r>
      <w:r>
        <w:t xml:space="preserve">show that trading volume predicts conditional skewness. We find that residual H_smooth strongly predicts future volume changes (t =</w:t>
      </w:r>
      <w:r>
        <w:t xml:space="preserve"> </w:t>
      </w:r>
      <m:oMath>
        <m:r>
          <m:rPr>
            <m:sty m:val="p"/>
          </m:rPr>
          <m:t>−</m:t>
        </m:r>
        <m:r>
          <m:t>4.40</m:t>
        </m:r>
      </m:oMath>
      <w:r>
        <w:t xml:space="preserve">), consistent with the mechanism: concentrated sentiment (overconfidence) leads to higher trading volume as overconfident investors trade more aggressively, which in turn predicts negative skewness (crash risk).</w:t>
      </w:r>
    </w:p>
    <w:bookmarkEnd w:id="69"/>
    <w:bookmarkStart w:id="70" w:name="persistence"/>
    <w:p>
      <w:pPr>
        <w:pStyle w:val="Heading2"/>
      </w:pPr>
      <w:r>
        <w:t xml:space="preserve">Persistence</w:t>
      </w:r>
    </w:p>
    <w:p>
      <w:pPr>
        <w:pStyle w:val="FirstParagraph"/>
      </w:pPr>
      <w:r>
        <w:t xml:space="preserve">The AR(1) coefficient of H_smooth is 0.091, and the AR(1) of residual H is 0.176. The low persistence means that entropy is a relatively transient signal, consistent with the interpretation that it captures temporary overconfidence rather than a permanent stock characteristic.</w:t>
      </w:r>
    </w:p>
    <w:bookmarkEnd w:id="70"/>
    <w:bookmarkEnd w:id="71"/>
    <w:bookmarkStart w:id="81" w:name="sec:discussion"/>
    <w:p>
      <w:pPr>
        <w:pStyle w:val="Heading1"/>
      </w:pPr>
      <w:r>
        <w:t xml:space="preserve">Discussion</w:t>
      </w:r>
    </w:p>
    <w:bookmarkStart w:id="72" w:name="why-entropy-dominates-disagreement"/>
    <w:p>
      <w:pPr>
        <w:pStyle w:val="Heading2"/>
      </w:pPr>
      <w:r>
        <w:t xml:space="preserve">Why Entropy Dominates Disagreement</w:t>
      </w:r>
    </w:p>
    <w:p>
      <w:pPr>
        <w:pStyle w:val="FirstParagraph"/>
      </w:pPr>
      <w:r>
        <w:t xml:space="preserve">The dominance of H_smooth over JS divergence and D_post has a clear information-theoretic interpretation. Shannon entropy captures the</w:t>
      </w:r>
      <w:r>
        <w:t xml:space="preserve"> </w:t>
      </w:r>
      <w:r>
        <w:rPr>
          <w:i/>
          <w:iCs/>
        </w:rPr>
        <w:t xml:space="preserve">full distribution</w:t>
      </w:r>
      <w:r>
        <w:t xml:space="preserve"> </w:t>
      </w:r>
      <w:r>
        <w:t xml:space="preserve">of agent sentiment, including higher-order moments that JS and D_post miss. When agents agree on direction but disagree on intensity, D_post is high but H_smooth is low (concentrated sentiment = overconfidence). When agents disagree on direction but cluster around similar intensity, D_post is also high but H_smooth is high (dispersed sentiment = ambiguity). Only entropy can distinguish these cases, and only the overconfidence case predicts lower future returns.</w:t>
      </w:r>
    </w:p>
    <w:p>
      <w:pPr>
        <w:pStyle w:val="BodyText"/>
      </w:pPr>
      <w:r>
        <w:t xml:space="preserve">The long-term reversal provides the clearest evidence for this interpretation. If the entropy premium were simply a more efficient measure of disagreement, it should behave like other disagreement measures—stable or decaying at longer horizons. The fact that it</w:t>
      </w:r>
      <w:r>
        <w:t xml:space="preserve"> </w:t>
      </w:r>
      <w:r>
        <w:rPr>
          <w:i/>
          <w:iCs/>
        </w:rPr>
        <w:t xml:space="preserve">strengthens</w:t>
      </w:r>
      <w:r>
        <w:t xml:space="preserve"> </w:t>
      </w:r>
      <w:r>
        <w:t xml:space="preserve">at longer horizons is uniquely consistent with the overconfidence correction mechanism predicted by</w:t>
      </w:r>
      <w:r>
        <w:t xml:space="preserve"> </w:t>
      </w:r>
      <w:r>
        <w:t xml:space="preserve">.</w:t>
      </w:r>
    </w:p>
    <w:bookmarkEnd w:id="72"/>
    <w:bookmarkStart w:id="73" w:name="X4a815975b348cde317027e0e564182052c47a4a"/>
    <w:p>
      <w:pPr>
        <w:pStyle w:val="Heading2"/>
      </w:pPr>
      <w:r>
        <w:t xml:space="preserve">LLM Agents as Information Environment Proxies</w:t>
      </w:r>
    </w:p>
    <w:p>
      <w:pPr>
        <w:pStyle w:val="FirstParagraph"/>
      </w:pPr>
      <w:r>
        <w:t xml:space="preserve">A key assumption is that LLM agent sentiment structure reflects the information environment that market participants face. This assumption is plausible for three reasons. First, LLM agents process the same public information (earnings reports, news, analyst estimates) that market participants use. Second, the differentiation across agents (sentiment, technical, fundamental) mirrors the differentiation across market participants (momentum traders, value investors, sentiment-driven traders). Third, the quantitative model placebo shows that rule-based agents produce entropy in the same direction, confirming that the signal is not an artifact of LLM-specific behavior.</w:t>
      </w:r>
    </w:p>
    <w:p>
      <w:pPr>
        <w:pStyle w:val="BodyText"/>
      </w:pPr>
      <w:r>
        <w:t xml:space="preserve">The key difference between LLM and quantitative agents is the</w:t>
      </w:r>
      <w:r>
        <w:t xml:space="preserve"> </w:t>
      </w:r>
      <w:r>
        <w:rPr>
          <w:i/>
          <w:iCs/>
        </w:rPr>
        <w:t xml:space="preserve">strength</w:t>
      </w:r>
      <w:r>
        <w:t xml:space="preserve"> </w:t>
      </w:r>
      <w:r>
        <w:t xml:space="preserve">and</w:t>
      </w:r>
      <w:r>
        <w:t xml:space="preserve"> </w:t>
      </w:r>
      <w:r>
        <w:rPr>
          <w:i/>
          <w:iCs/>
        </w:rPr>
        <w:t xml:space="preserve">persistence</w:t>
      </w:r>
      <w:r>
        <w:t xml:space="preserve"> </w:t>
      </w:r>
      <w:r>
        <w:t xml:space="preserve">of the entropy premium. LLM agents capture overconfidence about qualitative information (management quality, competitive positioning, regulatory risk) that takes longer to correct, while quantitative agents capture overconfidence about quantitative signals (valuation ratios, momentum) that corrects faster. This distinction is consistent with the</w:t>
      </w:r>
      <w:r>
        <w:t xml:space="preserve"> </w:t>
      </w:r>
      <w:r>
        <w:t xml:space="preserve"> </w:t>
      </w:r>
      <w:r>
        <w:t xml:space="preserve">prediction that overconfidence about private signals with low public verifiability leads to longer-lived mispricing.</w:t>
      </w:r>
    </w:p>
    <w:bookmarkEnd w:id="73"/>
    <w:bookmarkStart w:id="76" w:name="probability-based-inner-confidence"/>
    <w:p>
      <w:pPr>
        <w:pStyle w:val="Heading2"/>
      </w:pPr>
      <w:r>
        <w:t xml:space="preserve">Probability-Based Inner Confidence</w:t>
      </w:r>
    </w:p>
    <w:p>
      <w:pPr>
        <w:pStyle w:val="FirstParagraph"/>
      </w:pPr>
      <w:r>
        <w:t xml:space="preserve"> </w:t>
      </w:r>
      <w:r>
        <w:t xml:space="preserve">show that token-level softmax entropy (</w:t>
      </w:r>
      <w:r>
        <w:t xml:space="preserve">“</w:t>
      </w:r>
      <w:r>
        <w:t xml:space="preserve">inner confidence</w:t>
      </w:r>
      <w:r>
        <w:t xml:space="preserve">”</w:t>
      </w:r>
      <w:r>
        <w:t xml:space="preserve">) is an honest uncertainty signal for LLMs. Our main entropy measure H_smooth captures</w:t>
      </w:r>
      <w:r>
        <w:t xml:space="preserve"> </w:t>
      </w:r>
      <w:r>
        <w:rPr>
          <w:i/>
          <w:iCs/>
        </w:rPr>
        <w:t xml:space="preserve">across-agent</w:t>
      </w:r>
      <w:r>
        <w:t xml:space="preserve"> </w:t>
      </w:r>
      <w:r>
        <w:t xml:space="preserve">disagreement—the concentration of the multi-agent belief distribution. A natural question is whether</w:t>
      </w:r>
      <w:r>
        <w:t xml:space="preserve"> </w:t>
      </w:r>
      <w:r>
        <w:rPr>
          <w:i/>
          <w:iCs/>
        </w:rPr>
        <w:t xml:space="preserve">within-agent</w:t>
      </w:r>
      <w:r>
        <w:t xml:space="preserve"> </w:t>
      </w:r>
      <w:r>
        <w:t xml:space="preserve">uncertainty—how confident each agent is in its own rating—also predicts returns. We answer this using probability-based scoring: instead of asking agents for a single sentiment label, we elicit the full probability distribution over discrete direction categories (bullish, bearish, neutral) and compute Shannon entropy</w:t>
      </w:r>
      <w:r>
        <w:t xml:space="preserve"> </w:t>
      </w:r>
      <m:oMath>
        <m:sSub>
          <m:e>
            <m:r>
              <m:t>H</m:t>
            </m:r>
          </m:e>
          <m:sub>
            <m:r>
              <m:rPr>
                <m:nor/>
                <m:sty m:val="p"/>
              </m:rPr>
              <m:t>IC</m:t>
            </m:r>
          </m:sub>
        </m:sSub>
      </m:oMath>
      <w:r>
        <w:t xml:space="preserve"> </w:t>
      </w:r>
      <w:r>
        <w:t xml:space="preserve">of this distribution.</w:t>
      </w:r>
    </w:p>
    <w:p>
      <w:pPr>
        <w:pStyle w:val="BodyText"/>
      </w:pPr>
      <w:r>
        <w:rPr>
          <w:i/>
          <w:iCs/>
        </w:rPr>
        <w:t xml:space="preserve">Data.</w:t>
      </w:r>
      <w:r>
        <w:t xml:space="preserve"> </w:t>
      </w:r>
      <w:r>
        <w:t xml:space="preserve">We score 137 S&amp;P 500 stocks (46 high and 91 medium analyst disagreement) over 80 quarters (2005–2024) using two agents (sentiment analyst and fundamental analyst) in named (non-anonymized) mode. Each agent provides both a discrete direction label and a probability distribution over directions;</w:t>
      </w:r>
      <w:r>
        <w:t xml:space="preserve"> </w:t>
      </w:r>
      <m:oMath>
        <m:sSub>
          <m:e>
            <m:r>
              <m:t>H</m:t>
            </m:r>
          </m:e>
          <m:sub>
            <m:r>
              <m:rPr>
                <m:nor/>
                <m:sty m:val="p"/>
              </m:rPr>
              <m:t>IC</m:t>
            </m:r>
          </m:sub>
        </m:sSub>
      </m:oMath>
      <w:r>
        <w:t xml:space="preserve"> </w:t>
      </w:r>
      <w:r>
        <w:t xml:space="preserve">is the Shannon entropy of this distribution. The panel contains 9,710 stock-quarter observations.</w:t>
      </w:r>
    </w:p>
    <w:p>
      <w:pPr>
        <w:pStyle w:val="BodyText"/>
      </w:pPr>
      <w:r>
        <w:rPr>
          <w:i/>
          <w:iCs/>
        </w:rPr>
        <w:t xml:space="preserve">Results.</w:t>
      </w:r>
      <w:r>
        <w:t xml:space="preserve"> </w:t>
      </w:r>
      <w:r>
        <w:t xml:space="preserve">Table </w:t>
      </w:r>
      <w:hyperlink w:anchor="tab:ic_fm">
        <w:r>
          <w:rPr>
            <w:rStyle w:val="Hyperlink"/>
          </w:rPr>
          <w:t xml:space="preserve">14</w:t>
        </w:r>
      </w:hyperlink>
      <w:r>
        <w:t xml:space="preserve"> </w:t>
      </w:r>
      <w:r>
        <w:t xml:space="preserve">reports Fama-MacBeth regressions.</w:t>
      </w:r>
      <w:r>
        <w:t xml:space="preserve"> </w:t>
      </w:r>
      <m:oMath>
        <m:sSub>
          <m:e>
            <m:r>
              <m:t>H</m:t>
            </m:r>
          </m:e>
          <m:sub>
            <m:r>
              <m:rPr>
                <m:nor/>
                <m:sty m:val="p"/>
              </m:rPr>
              <m:t>IC</m:t>
            </m:r>
          </m:sub>
        </m:sSub>
      </m:oMath>
      <w:r>
        <w:t xml:space="preserve"> </w:t>
      </w:r>
      <w:r>
        <w:t xml:space="preserve">alone is insignificant (Panel A, Column 1), consistent with our earlier finding that the within-agent confidence measure (correlated with H_smooth at</w:t>
      </w:r>
      <w:r>
        <w:t xml:space="preserve"> </w:t>
      </w:r>
      <m:oMath>
        <m:r>
          <m:t>r</m:t>
        </m:r>
        <m:r>
          <m:rPr>
            <m:sty m:val="p"/>
          </m:rPr>
          <m:t>=</m:t>
        </m:r>
        <m:r>
          <m:rPr>
            <m:sty m:val="p"/>
          </m:rPr>
          <m:t>−</m:t>
        </m:r>
        <m:r>
          <m:t>0.685</m:t>
        </m:r>
      </m:oMath>
      <w:r>
        <w:t xml:space="preserve">) does not predict returns unconditionally. However, when interacted with sentiment direction</w:t>
      </w:r>
      <w:r>
        <w:t xml:space="preserve"> </w:t>
      </w:r>
      <m:oMath>
        <m:r>
          <m:t>D</m:t>
        </m:r>
      </m:oMath>
      <w:r>
        <w:t xml:space="preserve"> </w:t>
      </w:r>
      <w:r>
        <w:t xml:space="preserve">(Column 2), the</w:t>
      </w:r>
      <w:r>
        <w:t xml:space="preserve"> </w:t>
      </w:r>
      <m:oMath>
        <m:sSub>
          <m:e>
            <m:r>
              <m:t>H</m:t>
            </m:r>
          </m:e>
          <m:sub>
            <m:r>
              <m:rPr>
                <m:nor/>
                <m:sty m:val="p"/>
              </m:rPr>
              <m:t>IC</m:t>
            </m:r>
          </m:sub>
        </m:sSub>
        <m:r>
          <m:rPr>
            <m:sty m:val="p"/>
          </m:rPr>
          <m:t>×</m:t>
        </m:r>
        <m:r>
          <m:t>D</m:t>
        </m:r>
      </m:oMath>
      <w:r>
        <w:t xml:space="preserve"> </w:t>
      </w:r>
      <w:r>
        <w:t xml:space="preserve">interaction is highly significant (</w:t>
      </w:r>
      <m:oMath>
        <m:r>
          <m:t>t</m:t>
        </m:r>
        <m:r>
          <m:rPr>
            <m:sty m:val="p"/>
          </m:rPr>
          <m:t>=</m:t>
        </m:r>
        <m:r>
          <m:rPr>
            <m:sty m:val="p"/>
          </m:rPr>
          <m:t>+</m:t>
        </m:r>
        <m:sSup>
          <m:e>
            <m:r>
              <m:t>3.17</m:t>
            </m:r>
          </m:e>
          <m:sup>
            <m:r>
              <m:rPr>
                <m:sty m:val="p"/>
              </m:rPr>
              <m:t>*</m:t>
            </m:r>
            <m:r>
              <m:rPr>
                <m:sty m:val="p"/>
              </m:rPr>
              <m:t>*</m:t>
            </m:r>
            <m:r>
              <m:rPr>
                <m:sty m:val="p"/>
              </m:rPr>
              <m:t>*</m:t>
            </m:r>
          </m:sup>
        </m:sSup>
      </m:oMath>
      <w:r>
        <w:t xml:space="preserve">), and remains significant with double-clustered standard errors (</w:t>
      </w:r>
      <m:oMath>
        <m:r>
          <m:t>t</m:t>
        </m:r>
        <m:r>
          <m:rPr>
            <m:sty m:val="p"/>
          </m:rPr>
          <m:t>=</m:t>
        </m:r>
        <m:r>
          <m:rPr>
            <m:sty m:val="p"/>
          </m:rPr>
          <m:t>+</m:t>
        </m:r>
        <m:sSup>
          <m:e>
            <m:r>
              <m:t>2.77</m:t>
            </m:r>
          </m:e>
          <m:sup>
            <m:r>
              <m:rPr>
                <m:sty m:val="p"/>
              </m:rPr>
              <m:t>*</m:t>
            </m:r>
            <m:r>
              <m:rPr>
                <m:sty m:val="p"/>
              </m:rPr>
              <m:t>*</m:t>
            </m:r>
            <m:r>
              <m:rPr>
                <m:sty m:val="p"/>
              </m:rPr>
              <m:t>*</m:t>
            </m:r>
          </m:sup>
        </m:sSup>
      </m:oMath>
      <w:r>
        <w:t xml:space="preserve">, Column 3). The direction variable itself is also significant (</w:t>
      </w:r>
      <m:oMath>
        <m:r>
          <m:t>t</m:t>
        </m:r>
        <m:r>
          <m:rPr>
            <m:sty m:val="p"/>
          </m:rPr>
          <m:t>=</m:t>
        </m:r>
        <m:r>
          <m:rPr>
            <m:sty m:val="p"/>
          </m:rPr>
          <m:t>−</m:t>
        </m:r>
        <m:sSup>
          <m:e>
            <m:r>
              <m:t>3.17</m:t>
            </m:r>
          </m:e>
          <m:sup>
            <m:r>
              <m:rPr>
                <m:sty m:val="p"/>
              </m:rPr>
              <m:t>*</m:t>
            </m:r>
            <m:r>
              <m:rPr>
                <m:sty m:val="p"/>
              </m:rPr>
              <m:t>*</m:t>
            </m:r>
            <m:r>
              <m:rPr>
                <m:sty m:val="p"/>
              </m:rPr>
              <m:t>*</m:t>
            </m:r>
          </m:sup>
        </m:sSup>
      </m:oMath>
      <w:r>
        <w:t xml:space="preserve">), confirming that bearish stocks earn lower returns.</w:t>
      </w:r>
    </w:p>
    <w:p>
      <w:pPr>
        <w:pStyle w:val="BodyText"/>
      </w:pPr>
      <w:r>
        <w:rPr>
          <w:i/>
          <w:iCs/>
        </w:rPr>
        <w:t xml:space="preserve">Asymmetric regime effects.</w:t>
      </w:r>
      <w:r>
        <w:t xml:space="preserve"> </w:t>
      </w:r>
      <w:r>
        <w:t xml:space="preserve">The interaction term reveals a strong asymmetry (Panel B). For bearish stocks, higher inner confidence</w:t>
      </w:r>
      <w:r>
        <w:t xml:space="preserve"> </w:t>
      </w:r>
      <w:r>
        <w:rPr>
          <w:i/>
          <w:iCs/>
        </w:rPr>
        <w:t xml:space="preserve">reduces</w:t>
      </w:r>
      <w:r>
        <w:t xml:space="preserve"> </w:t>
      </w:r>
      <w:r>
        <w:t xml:space="preserve">future returns (</w:t>
      </w:r>
      <m:oMath>
        <m:r>
          <m:t>β</m:t>
        </m:r>
        <m:r>
          <m:rPr>
            <m:sty m:val="p"/>
          </m:rPr>
          <m:t>=</m:t>
        </m:r>
        <m:r>
          <m:rPr>
            <m:sty m:val="p"/>
          </m:rPr>
          <m:t>−</m:t>
        </m:r>
        <m:r>
          <m:t>10.16</m:t>
        </m:r>
      </m:oMath>
      <w:r>
        <w:t xml:space="preserve">,</w:t>
      </w:r>
      <w:r>
        <w:t xml:space="preserve"> </w:t>
      </w:r>
      <m:oMath>
        <m:r>
          <m:t>t</m:t>
        </m:r>
        <m:r>
          <m:rPr>
            <m:sty m:val="p"/>
          </m:rPr>
          <m:t>=</m:t>
        </m:r>
        <m:r>
          <m:rPr>
            <m:sty m:val="p"/>
          </m:rPr>
          <m:t>−</m:t>
        </m:r>
        <m:sSup>
          <m:e>
            <m:r>
              <m:t>5.33</m:t>
            </m:r>
          </m:e>
          <m:sup>
            <m:r>
              <m:rPr>
                <m:sty m:val="p"/>
              </m:rPr>
              <m:t>*</m:t>
            </m:r>
            <m:r>
              <m:rPr>
                <m:sty m:val="p"/>
              </m:rPr>
              <m:t>*</m:t>
            </m:r>
            <m:r>
              <m:rPr>
                <m:sty m:val="p"/>
              </m:rPr>
              <m:t>*</m:t>
            </m:r>
          </m:sup>
        </m:sSup>
      </m:oMath>
      <w:r>
        <w:t xml:space="preserve">): agents who are highly confident in their bearish assessments are</w:t>
      </w:r>
      <w:r>
        <w:t xml:space="preserve"> </w:t>
      </w:r>
      <w:r>
        <w:rPr>
          <w:i/>
          <w:iCs/>
        </w:rPr>
        <w:t xml:space="preserve">overconfident</w:t>
      </w:r>
      <w:r>
        <w:t xml:space="preserve">, and the market corrects. For bullish stocks, higher inner confidence</w:t>
      </w:r>
      <w:r>
        <w:t xml:space="preserve"> </w:t>
      </w:r>
      <w:r>
        <w:rPr>
          <w:i/>
          <w:iCs/>
        </w:rPr>
        <w:t xml:space="preserve">increases</w:t>
      </w:r>
      <w:r>
        <w:t xml:space="preserve"> </w:t>
      </w:r>
      <w:r>
        <w:t xml:space="preserve">future returns (</w:t>
      </w:r>
      <m:oMath>
        <m:r>
          <m:t>β</m:t>
        </m:r>
        <m:r>
          <m:rPr>
            <m:sty m:val="p"/>
          </m:rPr>
          <m:t>=</m:t>
        </m:r>
        <m:r>
          <m:rPr>
            <m:sty m:val="p"/>
          </m:rPr>
          <m:t>+</m:t>
        </m:r>
        <m:r>
          <m:t>6.66</m:t>
        </m:r>
      </m:oMath>
      <w:r>
        <w:t xml:space="preserve">,</w:t>
      </w:r>
      <w:r>
        <w:t xml:space="preserve"> </w:t>
      </w:r>
      <m:oMath>
        <m:r>
          <m:t>t</m:t>
        </m:r>
        <m:r>
          <m:rPr>
            <m:sty m:val="p"/>
          </m:rPr>
          <m:t>=</m:t>
        </m:r>
        <m:r>
          <m:rPr>
            <m:sty m:val="p"/>
          </m:rPr>
          <m:t>+</m:t>
        </m:r>
        <m:sSup>
          <m:e>
            <m:r>
              <m:t>4.59</m:t>
            </m:r>
          </m:e>
          <m:sup>
            <m:r>
              <m:rPr>
                <m:sty m:val="p"/>
              </m:rPr>
              <m:t>*</m:t>
            </m:r>
            <m:r>
              <m:rPr>
                <m:sty m:val="p"/>
              </m:rPr>
              <m:t>*</m:t>
            </m:r>
            <m:r>
              <m:rPr>
                <m:sty m:val="p"/>
              </m:rPr>
              <m:t>*</m:t>
            </m:r>
          </m:sup>
        </m:sSup>
      </m:oMath>
      <w:r>
        <w:t xml:space="preserve">): confident bulls are also overconfident, but in the same direction as the drift. The asymmetry—overconfident bears are punished more than overconfident bulls are rewarded—is consistent with the asymmetric loss function of investors: the cost of being wrong about a decline exceeds the cost of being wrong about an advance.</w:t>
      </w:r>
    </w:p>
    <w:p>
      <w:pPr>
        <w:pStyle w:val="BodyText"/>
      </w:pPr>
      <w:r>
        <w:rPr>
          <w:i/>
          <w:iCs/>
        </w:rPr>
        <w:t xml:space="preserve">Interpretation.</w:t>
      </w:r>
      <w:r>
        <w:t xml:space="preserve"> </w:t>
      </w:r>
      <w:r>
        <w:t xml:space="preserve">These results resolve the apparent null finding for inner confidence. The within-agent uncertainty measure</w:t>
      </w:r>
      <w:r>
        <w:t xml:space="preserve"> </w:t>
      </w:r>
      <w:r>
        <w:rPr>
          <w:i/>
          <w:iCs/>
        </w:rPr>
        <w:t xml:space="preserve">does</w:t>
      </w:r>
      <w:r>
        <w:t xml:space="preserve"> </w:t>
      </w:r>
      <w:r>
        <w:t xml:space="preserve">predict returns, but only through an asymmetric interaction with direction. This is precisely the mechanism predicted by Proposition </w:t>
      </w:r>
      <w:hyperlink w:anchor="prop:interaction">
        <w:r>
          <w:rPr>
            <w:rStyle w:val="Hyperlink"/>
          </w:rPr>
          <w:t xml:space="preserve">3</w:t>
        </w:r>
      </w:hyperlink>
      <w:r>
        <w:t xml:space="preserve">: uncertainty amplifies the overconfidence signal, and the amplification is direction-dependent. The fact that the across-agent measure (H_smooth) is significant unconditionally while the within-agent measure (</w:t>
      </w:r>
      <m:oMath>
        <m:sSub>
          <m:e>
            <m:r>
              <m:t>H</m:t>
            </m:r>
          </m:e>
          <m:sub>
            <m:r>
              <m:rPr>
                <m:nor/>
                <m:sty m:val="p"/>
              </m:rPr>
              <m:t>IC</m:t>
            </m:r>
          </m:sub>
        </m:sSub>
      </m:oMath>
      <w:r>
        <w:t xml:space="preserve">) requires the direction interaction suggests that the market prices the</w:t>
      </w:r>
      <w:r>
        <w:t xml:space="preserve"> </w:t>
      </w:r>
      <w:r>
        <w:rPr>
          <w:i/>
          <w:iCs/>
        </w:rPr>
        <w:t xml:space="preserve">structure of disagreement</w:t>
      </w:r>
      <w:r>
        <w:t xml:space="preserve"> </w:t>
      </w:r>
      <w:r>
        <w:t xml:space="preserve">across information channels first, and the precision of individual channels second—conditional on the direction of the consensus.</w:t>
      </w:r>
    </w:p>
    <w:p>
      <w:pPr>
        <w:pStyle w:val="BodyText"/>
      </w:pPr>
      <w:r>
        <w:rPr>
          <w:i/>
          <w:iCs/>
        </w:rPr>
        <w:t xml:space="preserve">Panel A: Fama-MacBeth Regressions (137 stocks, 80 quarters)</w:t>
      </w:r>
    </w:p>
    <w:bookmarkStart w:id="74" w:name="tab:ic_fm"/>
    <w:p>
      <w:pPr>
        <w:pStyle w:val="TableCaption"/>
      </w:pPr>
      <w:r>
        <w:t xml:space="preserve">Probability-Based Inner Confidence and Stock Returns</w:t>
      </w:r>
    </w:p>
    <w:tbl>
      <w:tblPr>
        <w:tblStyle w:val="Table"/>
        <w:tblW w:type="auto" w:w="0"/>
        <w:jc w:val="left"/>
        <w:tblLook w:firstRow="0" w:lastRow="0" w:firstColumn="0" w:lastColumn="0" w:noHBand="0" w:noVBand="0" w:val="0000"/>
        <w:tblCaption w:val="Probability-Based Inner Confidence and Stock Returns"/>
      </w:tblPr>
      <w:tblGrid>
        <w:gridCol w:w="1584"/>
        <w:gridCol w:w="1584"/>
        <w:gridCol w:w="1584"/>
        <w:gridCol w:w="1584"/>
        <w:gridCol w:w="1584"/>
      </w:tblGrid>
      <w:tr>
        <w:tc>
          <w:tcPr/>
          <w:p>
            <w:pPr>
              <w:pStyle w:val="Compact"/>
            </w:pPr>
          </w:p>
        </w:tc>
        <w:tc>
          <w:tcPr/>
          <w:p>
            <w:pPr>
              <w:pStyle w:val="Compact"/>
              <w:jc w:val="center"/>
            </w:pPr>
            <w:r>
              <w:t xml:space="preserve">(1)</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(4)</w:t>
            </w:r>
          </w:p>
        </w:tc>
      </w:tr>
      <w:tr>
        <w:tc>
          <w:tcPr/>
          <w:p>
            <w:pPr>
              <w:pStyle w:val="Compact"/>
            </w:pPr>
          </w:p>
        </w:tc>
        <w:tc>
          <w:tcPr/>
          <w:p>
            <w:pPr>
              <w:pStyle w:val="Compact"/>
              <w:jc w:val="center"/>
            </w:pPr>
            <w:r>
              <w:t xml:space="preserve">FM</w:t>
            </w:r>
          </w:p>
        </w:tc>
        <w:tc>
          <w:tcPr/>
          <w:p>
            <w:pPr>
              <w:pStyle w:val="Compact"/>
              <w:jc w:val="center"/>
            </w:pPr>
            <w:r>
              <w:t xml:space="preserve">FM</w:t>
            </w:r>
          </w:p>
        </w:tc>
        <w:tc>
          <w:tcPr/>
          <w:p>
            <w:pPr>
              <w:pStyle w:val="Compact"/>
              <w:jc w:val="center"/>
            </w:pPr>
            <w:r>
              <w:t xml:space="preserve">DC-SE</w:t>
            </w:r>
          </w:p>
        </w:tc>
        <w:tc>
          <w:tcPr/>
          <w:p>
            <w:pPr>
              <w:pStyle w:val="Compact"/>
              <w:jc w:val="center"/>
            </w:pPr>
            <w:r>
              <w:t xml:space="preserve">FM + controls</w:t>
            </w:r>
          </w:p>
        </w:tc>
      </w:tr>
      <w:tr>
        <w:tc>
          <w:tcPr/>
          <w:p>
            <w:pPr>
              <w:pStyle w:val="Compact"/>
              <w:jc w:val="left"/>
            </w:pPr>
            <m:oMath>
              <m:sSub>
                <m:e>
                  <m:r>
                    <m:t>H</m:t>
                  </m:r>
                </m:e>
                <m:sub>
                  <m:r>
                    <m:rPr>
                      <m:nor/>
                      <m:sty m:val="p"/>
                    </m:rPr>
                    <m:t>IC</m:t>
                  </m:r>
                </m:sub>
              </m:sSub>
            </m:oMath>
          </w:p>
        </w:tc>
        <w:tc>
          <w:tcPr/>
          <w:p>
            <w:pPr>
              <w:pStyle w:val="Compact"/>
              <w:jc w:val="center"/>
            </w:pPr>
            <m:oMath>
              <m:r>
                <m:rPr>
                  <m:sty m:val="p"/>
                </m:rPr>
                <m:t>−</m:t>
              </m:r>
              <m:r>
                <m:t>1.852</m:t>
              </m:r>
            </m:oMath>
          </w:p>
        </w:tc>
        <w:tc>
          <w:tcPr/>
          <w:p>
            <w:pPr>
              <w:pStyle w:val="Compact"/>
              <w:jc w:val="center"/>
            </w:pPr>
            <m:oMath>
              <m:r>
                <m:rPr>
                  <m:sty m:val="p"/>
                </m:rPr>
                <m:t>+</m:t>
              </m:r>
              <m:sSup>
                <m:e>
                  <m:r>
                    <m:t>3.471</m:t>
                  </m:r>
                </m:e>
                <m:sup>
                  <m:r>
                    <m:rPr>
                      <m:sty m:val="p"/>
                    </m:rPr>
                    <m:t>*</m:t>
                  </m:r>
                  <m:r>
                    <m:rPr>
                      <m:sty m:val="p"/>
                    </m:rPr>
                    <m:t>*</m:t>
                  </m:r>
                </m:sup>
              </m:sSup>
            </m:oMath>
          </w:p>
        </w:tc>
        <w:tc>
          <w:tcPr/>
          <w:p>
            <w:pPr>
              <w:pStyle w:val="Compact"/>
              <w:jc w:val="center"/>
            </w:pPr>
            <m:oMath>
              <m:r>
                <m:rPr>
                  <m:sty m:val="p"/>
                </m:rPr>
                <m:t>−</m:t>
              </m:r>
              <m:r>
                <m:t>1.759</m:t>
              </m:r>
            </m:oMath>
          </w:p>
        </w:tc>
        <w:tc>
          <w:tcPr/>
          <w:p>
            <w:pPr>
              <w:pStyle w:val="Compact"/>
              <w:jc w:val="center"/>
            </w:pPr>
            <m:oMath>
              <m:r>
                <m:rPr>
                  <m:sty m:val="p"/>
                </m:rPr>
                <m:t>+</m:t>
              </m:r>
              <m:sSup>
                <m:e>
                  <m:r>
                    <m:t>3.190</m:t>
                  </m:r>
                </m:e>
                <m:sup>
                  <m:r>
                    <m:rPr>
                      <m:sty m:val="p"/>
                    </m:rPr>
                    <m:t>*</m:t>
                  </m:r>
                  <m:r>
                    <m:rPr>
                      <m:sty m:val="p"/>
                    </m:rPr>
                    <m:t>*</m:t>
                  </m:r>
                </m:sup>
              </m:sSup>
            </m:oMath>
          </w:p>
        </w:tc>
      </w:tr>
      <w:tr>
        <w:tc>
          <w:tcPr/>
          <w:p>
            <w:pPr>
              <w:pStyle w:val="Compact"/>
            </w:pPr>
          </w:p>
        </w:tc>
        <w:tc>
          <w:tcPr/>
          <w:p>
            <w:pPr>
              <w:pStyle w:val="Compact"/>
              <w:jc w:val="center"/>
            </w:pPr>
            <w:r>
              <w:t xml:space="preserve">(</w:t>
            </w:r>
            <m:oMath>
              <m:r>
                <m:rPr>
                  <m:sty m:val="p"/>
                </m:rPr>
                <m:t>−</m:t>
              </m:r>
              <m:r>
                <m:t>1.16</m:t>
              </m:r>
            </m:oMath>
            <w:r>
              <w:t xml:space="preserve">)</w:t>
            </w:r>
          </w:p>
        </w:tc>
        <w:tc>
          <w:tcPr/>
          <w:p>
            <w:pPr>
              <w:pStyle w:val="Compact"/>
              <w:jc w:val="center"/>
            </w:pPr>
            <w:r>
              <w:t xml:space="preserve">(</w:t>
            </w:r>
            <m:oMath>
              <m:r>
                <m:rPr>
                  <m:sty m:val="p"/>
                </m:rPr>
                <m:t>+</m:t>
              </m:r>
              <m:sSup>
                <m:e>
                  <m:r>
                    <m:t>1.95</m:t>
                  </m:r>
                </m:e>
                <m:sup>
                  <m:r>
                    <m:rPr>
                      <m:sty m:val="p"/>
                    </m:rPr>
                    <m:t>*</m:t>
                  </m:r>
                </m:sup>
              </m:sSup>
            </m:oMath>
            <w:r>
              <w:t xml:space="preserve">)</w:t>
            </w:r>
          </w:p>
        </w:tc>
        <w:tc>
          <w:tcPr/>
          <w:p>
            <w:pPr>
              <w:pStyle w:val="Compact"/>
              <w:jc w:val="center"/>
            </w:pPr>
            <w:r>
              <w:t xml:space="preserve">(</w:t>
            </w:r>
            <m:oMath>
              <m:r>
                <m:rPr>
                  <m:sty m:val="p"/>
                </m:rPr>
                <m:t>−</m:t>
              </m:r>
              <m:r>
                <m:t>0.59</m:t>
              </m:r>
            </m:oMath>
            <w:r>
              <w:t xml:space="preserve">)</w:t>
            </w:r>
          </w:p>
        </w:tc>
        <w:tc>
          <w:tcPr/>
          <w:p>
            <w:pPr>
              <w:pStyle w:val="Compact"/>
              <w:jc w:val="center"/>
            </w:pPr>
            <w:r>
              <w:t xml:space="preserve">(</w:t>
            </w:r>
            <m:oMath>
              <m:r>
                <m:rPr>
                  <m:sty m:val="p"/>
                </m:rPr>
                <m:t>+</m:t>
              </m:r>
              <m:sSup>
                <m:e>
                  <m:r>
                    <m:t>2.00</m:t>
                  </m:r>
                </m:e>
                <m:sup>
                  <m:r>
                    <m:rPr>
                      <m:sty m:val="p"/>
                    </m:rPr>
                    <m:t>*</m:t>
                  </m:r>
                  <m:r>
                    <m:rPr>
                      <m:sty m:val="p"/>
                    </m:rPr>
                    <m:t>*</m:t>
                  </m:r>
                </m:sup>
              </m:sSup>
            </m:oMath>
            <w:r>
              <w:t xml:space="preserve">)</w:t>
            </w:r>
          </w:p>
        </w:tc>
      </w:tr>
      <w:tr>
        <w:tc>
          <w:tcPr/>
          <w:p>
            <w:pPr>
              <w:pStyle w:val="Compact"/>
              <w:jc w:val="left"/>
            </w:pPr>
            <m:oMath>
              <m:r>
                <m:t>D</m:t>
              </m:r>
            </m:oMath>
          </w:p>
        </w:tc>
        <w:tc>
          <w:tcPr/>
          <w:p>
            <w:pPr>
              <w:pStyle w:val="Compact"/>
            </w:pPr>
          </w:p>
        </w:tc>
        <w:tc>
          <w:tcPr/>
          <w:p>
            <w:pPr>
              <w:pStyle w:val="Compact"/>
              <w:jc w:val="center"/>
            </w:pPr>
            <m:oMath>
              <m:r>
                <m:rPr>
                  <m:sty m:val="p"/>
                </m:rPr>
                <m:t>−</m:t>
              </m:r>
              <m:sSup>
                <m:e>
                  <m:r>
                    <m:t>8.807</m:t>
                  </m:r>
                </m:e>
                <m:sup>
                  <m:r>
                    <m:rPr>
                      <m:sty m:val="p"/>
                    </m:rPr>
                    <m:t>*</m:t>
                  </m:r>
                  <m:r>
                    <m:rPr>
                      <m:sty m:val="p"/>
                    </m:rPr>
                    <m:t>*</m:t>
                  </m:r>
                  <m:r>
                    <m:rPr>
                      <m:sty m:val="p"/>
                    </m:rPr>
                    <m:t>*</m:t>
                  </m:r>
                </m:sup>
              </m:sSup>
            </m:oMath>
          </w:p>
        </w:tc>
        <w:tc>
          <w:tcPr/>
          <w:p>
            <w:pPr>
              <w:pStyle w:val="Compact"/>
              <w:jc w:val="center"/>
            </w:pPr>
            <m:oMath>
              <m:r>
                <m:rPr>
                  <m:sty m:val="p"/>
                </m:rPr>
                <m:t>−</m:t>
              </m:r>
              <m:sSup>
                <m:e>
                  <m:r>
                    <m:t>13.114</m:t>
                  </m:r>
                </m:e>
                <m:sup>
                  <m:r>
                    <m:rPr>
                      <m:sty m:val="p"/>
                    </m:rPr>
                    <m:t>*</m:t>
                  </m:r>
                  <m:r>
                    <m:rPr>
                      <m:sty m:val="p"/>
                    </m:rPr>
                    <m:t>*</m:t>
                  </m:r>
                  <m:r>
                    <m:rPr>
                      <m:sty m:val="p"/>
                    </m:rPr>
                    <m:t>*</m:t>
                  </m:r>
                </m:sup>
              </m:sSup>
            </m:oMath>
          </w:p>
        </w:tc>
        <w:tc>
          <w:tcPr/>
          <w:p>
            <w:pPr>
              <w:pStyle w:val="Compact"/>
              <w:jc w:val="center"/>
            </w:pPr>
            <m:oMath>
              <m:r>
                <m:rPr>
                  <m:sty m:val="p"/>
                </m:rPr>
                <m:t>−</m:t>
              </m:r>
              <m:sSup>
                <m:e>
                  <m:r>
                    <m:t>7.675</m:t>
                  </m:r>
                </m:e>
                <m:sup>
                  <m:r>
                    <m:rPr>
                      <m:sty m:val="p"/>
                    </m:rPr>
                    <m:t>*</m:t>
                  </m:r>
                  <m:r>
                    <m:rPr>
                      <m:sty m:val="p"/>
                    </m:rPr>
                    <m:t>*</m:t>
                  </m:r>
                  <m:r>
                    <m:rPr>
                      <m:sty m:val="p"/>
                    </m:rPr>
                    <m:t>*</m:t>
                  </m:r>
                </m:sup>
              </m:sSup>
            </m:oMath>
          </w:p>
        </w:tc>
      </w:tr>
      <w:tr>
        <w:tc>
          <w:tcPr/>
          <w:p>
            <w:pPr>
              <w:pStyle w:val="Compact"/>
            </w:pPr>
          </w:p>
        </w:tc>
        <w:tc>
          <w:tcPr/>
          <w:p>
            <w:pPr>
              <w:pStyle w:val="Compact"/>
            </w:pPr>
          </w:p>
        </w:tc>
        <w:tc>
          <w:tcPr/>
          <w:p>
            <w:pPr>
              <w:pStyle w:val="Compact"/>
              <w:jc w:val="center"/>
            </w:pPr>
            <w:r>
              <w:t xml:space="preserve">(</w:t>
            </w:r>
            <m:oMath>
              <m:r>
                <m:rPr>
                  <m:sty m:val="p"/>
                </m:rPr>
                <m:t>−</m:t>
              </m:r>
              <m:sSup>
                <m:e>
                  <m:r>
                    <m:t>3.15</m:t>
                  </m:r>
                </m:e>
                <m:sup>
                  <m:r>
                    <m:rPr>
                      <m:sty m:val="p"/>
                    </m:rPr>
                    <m:t>*</m:t>
                  </m:r>
                  <m:r>
                    <m:rPr>
                      <m:sty m:val="p"/>
                    </m:rPr>
                    <m:t>*</m:t>
                  </m:r>
                  <m:r>
                    <m:rPr>
                      <m:sty m:val="p"/>
                    </m:rPr>
                    <m:t>*</m:t>
                  </m:r>
                </m:sup>
              </m:sSup>
            </m:oMath>
            <w:r>
              <w:t xml:space="preserve">)</w:t>
            </w:r>
          </w:p>
        </w:tc>
        <w:tc>
          <w:tcPr/>
          <w:p>
            <w:pPr>
              <w:pStyle w:val="Compact"/>
              <w:jc w:val="center"/>
            </w:pPr>
            <w:r>
              <w:t xml:space="preserve">(</w:t>
            </w:r>
            <m:oMath>
              <m:r>
                <m:rPr>
                  <m:sty m:val="p"/>
                </m:rPr>
                <m:t>−</m:t>
              </m:r>
              <m:sSup>
                <m:e>
                  <m:r>
                    <m:t>2.78</m:t>
                  </m:r>
                </m:e>
                <m:sup>
                  <m:r>
                    <m:rPr>
                      <m:sty m:val="p"/>
                    </m:rPr>
                    <m:t>*</m:t>
                  </m:r>
                  <m:r>
                    <m:rPr>
                      <m:sty m:val="p"/>
                    </m:rPr>
                    <m:t>*</m:t>
                  </m:r>
                  <m:r>
                    <m:rPr>
                      <m:sty m:val="p"/>
                    </m:rPr>
                    <m:t>*</m:t>
                  </m:r>
                </m:sup>
              </m:sSup>
            </m:oMath>
            <w:r>
              <w:t xml:space="preserve">)</w:t>
            </w:r>
          </w:p>
        </w:tc>
        <w:tc>
          <w:tcPr/>
          <w:p>
            <w:pPr>
              <w:pStyle w:val="Compact"/>
              <w:jc w:val="center"/>
            </w:pPr>
            <w:r>
              <w:t xml:space="preserve">(</w:t>
            </w:r>
            <m:oMath>
              <m:r>
                <m:rPr>
                  <m:sty m:val="p"/>
                </m:rPr>
                <m:t>−</m:t>
              </m:r>
              <m:sSup>
                <m:e>
                  <m:r>
                    <m:t>3.17</m:t>
                  </m:r>
                </m:e>
                <m:sup>
                  <m:r>
                    <m:rPr>
                      <m:sty m:val="p"/>
                    </m:rPr>
                    <m:t>*</m:t>
                  </m:r>
                  <m:r>
                    <m:rPr>
                      <m:sty m:val="p"/>
                    </m:rPr>
                    <m:t>*</m:t>
                  </m:r>
                  <m:r>
                    <m:rPr>
                      <m:sty m:val="p"/>
                    </m:rPr>
                    <m:t>*</m:t>
                  </m:r>
                </m:sup>
              </m:sSup>
            </m:oMath>
            <w:r>
              <w:t xml:space="preserve">)</w:t>
            </w:r>
          </w:p>
        </w:tc>
      </w:tr>
      <w:tr>
        <w:tc>
          <w:tcPr/>
          <w:p>
            <w:pPr>
              <w:pStyle w:val="Compact"/>
              <w:jc w:val="left"/>
            </w:pPr>
            <m:oMath>
              <m:sSub>
                <m:e>
                  <m:r>
                    <m:t>H</m:t>
                  </m:r>
                </m:e>
                <m:sub>
                  <m:r>
                    <m:rPr>
                      <m:nor/>
                      <m:sty m:val="p"/>
                    </m:rPr>
                    <m:t>IC</m:t>
                  </m:r>
                </m:sub>
              </m:sSub>
              <m:r>
                <m:rPr>
                  <m:sty m:val="p"/>
                </m:rPr>
                <m:t>×</m:t>
              </m:r>
              <m:r>
                <m:t>D</m:t>
              </m:r>
            </m:oMath>
          </w:p>
        </w:tc>
        <w:tc>
          <w:tcPr/>
          <w:p>
            <w:pPr>
              <w:pStyle w:val="Compact"/>
            </w:pPr>
          </w:p>
        </w:tc>
        <w:tc>
          <w:tcPr/>
          <w:p>
            <w:pPr>
              <w:pStyle w:val="Compact"/>
              <w:jc w:val="center"/>
            </w:pPr>
            <m:oMath>
              <m:r>
                <m:rPr>
                  <m:sty m:val="p"/>
                </m:rPr>
                <m:t>+</m:t>
              </m:r>
              <m:sSup>
                <m:e>
                  <m:r>
                    <m:t>5.739</m:t>
                  </m:r>
                </m:e>
                <m:sup>
                  <m:r>
                    <m:rPr>
                      <m:sty m:val="p"/>
                    </m:rPr>
                    <m:t>*</m:t>
                  </m:r>
                  <m:r>
                    <m:rPr>
                      <m:sty m:val="p"/>
                    </m:rPr>
                    <m:t>*</m:t>
                  </m:r>
                  <m:r>
                    <m:rPr>
                      <m:sty m:val="p"/>
                    </m:rPr>
                    <m:t>*</m:t>
                  </m:r>
                </m:sup>
              </m:sSup>
            </m:oMath>
          </w:p>
        </w:tc>
        <w:tc>
          <w:tcPr/>
          <w:p>
            <w:pPr>
              <w:pStyle w:val="Compact"/>
              <w:jc w:val="center"/>
            </w:pPr>
            <m:oMath>
              <m:r>
                <m:rPr>
                  <m:sty m:val="p"/>
                </m:rPr>
                <m:t>+</m:t>
              </m:r>
              <m:sSup>
                <m:e>
                  <m:r>
                    <m:t>8.409</m:t>
                  </m:r>
                </m:e>
                <m:sup>
                  <m:r>
                    <m:rPr>
                      <m:sty m:val="p"/>
                    </m:rPr>
                    <m:t>*</m:t>
                  </m:r>
                  <m:r>
                    <m:rPr>
                      <m:sty m:val="p"/>
                    </m:rPr>
                    <m:t>*</m:t>
                  </m:r>
                  <m:r>
                    <m:rPr>
                      <m:sty m:val="p"/>
                    </m:rPr>
                    <m:t>*</m:t>
                  </m:r>
                </m:sup>
              </m:sSup>
            </m:oMath>
          </w:p>
        </w:tc>
        <w:tc>
          <w:tcPr/>
          <w:p>
            <w:pPr>
              <w:pStyle w:val="Compact"/>
              <w:jc w:val="center"/>
            </w:pPr>
            <m:oMath>
              <m:r>
                <m:rPr>
                  <m:sty m:val="p"/>
                </m:rPr>
                <m:t>+</m:t>
              </m:r>
              <m:sSup>
                <m:e>
                  <m:r>
                    <m:t>5.042</m:t>
                  </m:r>
                </m:e>
                <m:sup>
                  <m:r>
                    <m:rPr>
                      <m:sty m:val="p"/>
                    </m:rPr>
                    <m:t>*</m:t>
                  </m:r>
                  <m:r>
                    <m:rPr>
                      <m:sty m:val="p"/>
                    </m:rPr>
                    <m:t>*</m:t>
                  </m:r>
                  <m:r>
                    <m:rPr>
                      <m:sty m:val="p"/>
                    </m:rPr>
                    <m:t>*</m:t>
                  </m:r>
                </m:sup>
              </m:sSup>
            </m:oMath>
          </w:p>
        </w:tc>
      </w:tr>
      <w:tr>
        <w:tc>
          <w:tcPr/>
          <w:p>
            <w:pPr>
              <w:pStyle w:val="Compact"/>
            </w:pPr>
          </w:p>
        </w:tc>
        <w:tc>
          <w:tcPr/>
          <w:p>
            <w:pPr>
              <w:pStyle w:val="Compact"/>
            </w:pPr>
          </w:p>
        </w:tc>
        <w:tc>
          <w:tcPr/>
          <w:p>
            <w:pPr>
              <w:pStyle w:val="Compact"/>
              <w:jc w:val="center"/>
            </w:pPr>
            <w:r>
              <w:t xml:space="preserve">(</w:t>
            </w:r>
            <m:oMath>
              <m:r>
                <m:rPr>
                  <m:sty m:val="p"/>
                </m:rPr>
                <m:t>+</m:t>
              </m:r>
              <m:sSup>
                <m:e>
                  <m:r>
                    <m:t>3.18</m:t>
                  </m:r>
                </m:e>
                <m:sup>
                  <m:r>
                    <m:rPr>
                      <m:sty m:val="p"/>
                    </m:rPr>
                    <m:t>*</m:t>
                  </m:r>
                  <m:r>
                    <m:rPr>
                      <m:sty m:val="p"/>
                    </m:rPr>
                    <m:t>*</m:t>
                  </m:r>
                  <m:r>
                    <m:rPr>
                      <m:sty m:val="p"/>
                    </m:rPr>
                    <m:t>*</m:t>
                  </m:r>
                </m:sup>
              </m:sSup>
            </m:oMath>
            <w:r>
              <w:t xml:space="preserve">)</w:t>
            </w:r>
          </w:p>
        </w:tc>
        <w:tc>
          <w:tcPr/>
          <w:p>
            <w:pPr>
              <w:pStyle w:val="Compact"/>
              <w:jc w:val="center"/>
            </w:pPr>
            <w:r>
              <w:t xml:space="preserve">(</w:t>
            </w:r>
            <m:oMath>
              <m:r>
                <m:rPr>
                  <m:sty m:val="p"/>
                </m:rPr>
                <m:t>+</m:t>
              </m:r>
              <m:sSup>
                <m:e>
                  <m:r>
                    <m:t>2.77</m:t>
                  </m:r>
                </m:e>
                <m:sup>
                  <m:r>
                    <m:rPr>
                      <m:sty m:val="p"/>
                    </m:rPr>
                    <m:t>*</m:t>
                  </m:r>
                  <m:r>
                    <m:rPr>
                      <m:sty m:val="p"/>
                    </m:rPr>
                    <m:t>*</m:t>
                  </m:r>
                  <m:r>
                    <m:rPr>
                      <m:sty m:val="p"/>
                    </m:rPr>
                    <m:t>*</m:t>
                  </m:r>
                </m:sup>
              </m:sSup>
            </m:oMath>
            <w:r>
              <w:t xml:space="preserve">)</w:t>
            </w:r>
          </w:p>
        </w:tc>
        <w:tc>
          <w:tcPr/>
          <w:p>
            <w:pPr>
              <w:pStyle w:val="Compact"/>
              <w:jc w:val="center"/>
            </w:pPr>
            <w:r>
              <w:t xml:space="preserve">(</w:t>
            </w:r>
            <m:oMath>
              <m:r>
                <m:rPr>
                  <m:sty m:val="p"/>
                </m:rPr>
                <m:t>+</m:t>
              </m:r>
              <m:sSup>
                <m:e>
                  <m:r>
                    <m:t>3.17</m:t>
                  </m:r>
                </m:e>
                <m:sup>
                  <m:r>
                    <m:rPr>
                      <m:sty m:val="p"/>
                    </m:rPr>
                    <m:t>*</m:t>
                  </m:r>
                  <m:r>
                    <m:rPr>
                      <m:sty m:val="p"/>
                    </m:rPr>
                    <m:t>*</m:t>
                  </m:r>
                  <m:r>
                    <m:rPr>
                      <m:sty m:val="p"/>
                    </m:rPr>
                    <m:t>*</m:t>
                  </m:r>
                </m:sup>
              </m:sSup>
            </m:oMath>
            <w:r>
              <w:t xml:space="preserve">)</w:t>
            </w:r>
          </w:p>
        </w:tc>
      </w:tr>
      <w:tr>
        <w:tc>
          <w:tcPr/>
          <w:p>
            <w:pPr>
              <w:pStyle w:val="Compact"/>
              <w:jc w:val="left"/>
            </w:pPr>
            <m:oMath>
              <m:r>
                <m:rPr>
                  <m:sty m:val="p"/>
                </m:rPr>
                <m:t>ln</m:t>
              </m:r>
              <m:d>
                <m:dPr>
                  <m:begChr m:val="("/>
                  <m:endChr m:val=")"/>
                  <m:sepChr m:val=""/>
                  <m:grow/>
                </m:dPr>
                <m:e>
                  <m:r>
                    <m:rPr>
                      <m:nor/>
                      <m:sty m:val="p"/>
                    </m:rPr>
                    <m:t>price</m:t>
                  </m:r>
                </m:e>
              </m:d>
            </m:oMath>
          </w:p>
        </w:tc>
        <w:tc>
          <w:tcPr/>
          <w:p>
            <w:pPr>
              <w:pStyle w:val="Compact"/>
            </w:pPr>
          </w:p>
        </w:tc>
        <w:tc>
          <w:tcPr/>
          <w:p>
            <w:pPr>
              <w:pStyle w:val="Compact"/>
            </w:pPr>
          </w:p>
        </w:tc>
        <w:tc>
          <w:tcPr/>
          <w:p>
            <w:pPr>
              <w:pStyle w:val="Compact"/>
            </w:pPr>
          </w:p>
        </w:tc>
        <w:tc>
          <w:tcPr/>
          <w:p>
            <w:pPr>
              <w:pStyle w:val="Compact"/>
              <w:jc w:val="center"/>
            </w:pPr>
            <m:oMath>
              <m:r>
                <m:rPr>
                  <m:sty m:val="p"/>
                </m:rPr>
                <m:t>−</m:t>
              </m:r>
              <m:sSup>
                <m:e>
                  <m:r>
                    <m:t>0.504</m:t>
                  </m:r>
                </m:e>
                <m:sup>
                  <m:r>
                    <m:rPr>
                      <m:sty m:val="p"/>
                    </m:rPr>
                    <m:t>*</m:t>
                  </m:r>
                  <m:r>
                    <m:rPr>
                      <m:sty m:val="p"/>
                    </m:rPr>
                    <m:t>*</m:t>
                  </m:r>
                  <m:r>
                    <m:rPr>
                      <m:sty m:val="p"/>
                    </m:rPr>
                    <m:t>*</m:t>
                  </m:r>
                </m:sup>
              </m:sSup>
            </m:oMath>
          </w:p>
        </w:tc>
      </w:tr>
      <w:tr>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w:t>
            </w:r>
            <m:oMath>
              <m:r>
                <m:rPr>
                  <m:sty m:val="p"/>
                </m:rPr>
                <m:t>−</m:t>
              </m:r>
              <m:sSup>
                <m:e>
                  <m:r>
                    <m:t>2.88</m:t>
                  </m:r>
                </m:e>
                <m:sup>
                  <m:r>
                    <m:rPr>
                      <m:sty m:val="p"/>
                    </m:rPr>
                    <m:t>*</m:t>
                  </m:r>
                  <m:r>
                    <m:rPr>
                      <m:sty m:val="p"/>
                    </m:rPr>
                    <m:t>*</m:t>
                  </m:r>
                  <m:r>
                    <m:rPr>
                      <m:sty m:val="p"/>
                    </m:rPr>
                    <m:t>*</m:t>
                  </m:r>
                </m:sup>
              </m:sSup>
            </m:oMath>
            <w:r>
              <w:t xml:space="preserve">)</w:t>
            </w:r>
          </w:p>
        </w:tc>
      </w:tr>
      <w:tr>
        <w:tc>
          <w:tcPr/>
          <w:p>
            <w:pPr>
              <w:pStyle w:val="Compact"/>
              <w:jc w:val="left"/>
            </w:pPr>
            <w:r>
              <w:t xml:space="preserve">Momentum</w:t>
            </w:r>
          </w:p>
        </w:tc>
        <w:tc>
          <w:tcPr/>
          <w:p>
            <w:pPr>
              <w:pStyle w:val="Compact"/>
            </w:pPr>
          </w:p>
        </w:tc>
        <w:tc>
          <w:tcPr/>
          <w:p>
            <w:pPr>
              <w:pStyle w:val="Compact"/>
            </w:pPr>
          </w:p>
        </w:tc>
        <w:tc>
          <w:tcPr/>
          <w:p>
            <w:pPr>
              <w:pStyle w:val="Compact"/>
            </w:pPr>
          </w:p>
        </w:tc>
        <w:tc>
          <w:tcPr/>
          <w:p>
            <w:pPr>
              <w:pStyle w:val="Compact"/>
              <w:jc w:val="center"/>
            </w:pPr>
            <m:oMath>
              <m:r>
                <m:rPr>
                  <m:sty m:val="p"/>
                </m:rPr>
                <m:t>−</m:t>
              </m:r>
              <m:sSup>
                <m:e>
                  <m:r>
                    <m:t>1.698</m:t>
                  </m:r>
                </m:e>
                <m:sup>
                  <m:r>
                    <m:rPr>
                      <m:sty m:val="p"/>
                    </m:rPr>
                    <m:t>*</m:t>
                  </m:r>
                </m:sup>
              </m:sSup>
            </m:oMath>
          </w:p>
        </w:tc>
      </w:tr>
      <w:tr>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w:t>
            </w:r>
            <m:oMath>
              <m:r>
                <m:rPr>
                  <m:sty m:val="p"/>
                </m:rPr>
                <m:t>−</m:t>
              </m:r>
              <m:sSup>
                <m:e>
                  <m:r>
                    <m:t>1.73</m:t>
                  </m:r>
                </m:e>
                <m:sup>
                  <m:r>
                    <m:rPr>
                      <m:sty m:val="p"/>
                    </m:rPr>
                    <m:t>*</m:t>
                  </m:r>
                </m:sup>
              </m:sSup>
            </m:oMath>
            <w:r>
              <w:t xml:space="preserve">)</w:t>
            </w:r>
          </w:p>
        </w:tc>
      </w:tr>
      <w:tr>
        <w:tc>
          <w:tcPr/>
          <w:p>
            <w:pPr>
              <w:pStyle w:val="Compact"/>
              <w:jc w:val="left"/>
            </w:pPr>
            <w:r>
              <w:t xml:space="preserve">Observations</w:t>
            </w:r>
          </w:p>
        </w:tc>
        <w:tc>
          <w:tcPr/>
          <w:p>
            <w:pPr>
              <w:pStyle w:val="Compact"/>
              <w:jc w:val="center"/>
            </w:pPr>
            <w:r>
              <w:t xml:space="preserve">9,710</w:t>
            </w:r>
          </w:p>
        </w:tc>
        <w:tc>
          <w:tcPr/>
          <w:p>
            <w:pPr>
              <w:pStyle w:val="Compact"/>
              <w:jc w:val="center"/>
            </w:pPr>
            <w:r>
              <w:t xml:space="preserve">9,710</w:t>
            </w:r>
          </w:p>
        </w:tc>
        <w:tc>
          <w:tcPr/>
          <w:p>
            <w:pPr>
              <w:pStyle w:val="Compact"/>
              <w:jc w:val="center"/>
            </w:pPr>
            <w:r>
              <w:t xml:space="preserve">9,710</w:t>
            </w:r>
          </w:p>
        </w:tc>
        <w:tc>
          <w:tcPr/>
          <w:p>
            <w:pPr>
              <w:pStyle w:val="Compact"/>
              <w:jc w:val="center"/>
            </w:pPr>
            <w:r>
              <w:t xml:space="preserve">9,710</w:t>
            </w:r>
          </w:p>
        </w:tc>
      </w:tr>
    </w:tbl>
    <w:bookmarkEnd w:id="74"/>
    <w:p>
      <w:pPr>
        <w:pStyle w:val="BodyText"/>
      </w:pPr>
      <w:r>
        <w:rPr>
          <w:i/>
          <w:iCs/>
        </w:rPr>
        <w:t xml:space="preserve">Panel B: Regime-Split (Pooled OLS, HAC standard errors)</w:t>
      </w:r>
    </w:p>
    <w:bookmarkStart w:id="75" w:name="tab:ic_fm"/>
    <w:p>
      <w:pPr>
        <w:pStyle w:val="TableCaption"/>
      </w:pPr>
      <w:r>
        <w:t xml:space="preserve">Probability-Based Inner Confidence and Stock Returns</w:t>
      </w:r>
    </w:p>
    <w:tbl>
      <w:tblPr>
        <w:tblStyle w:val="Table"/>
        <w:tblW w:type="auto" w:w="0"/>
        <w:jc w:val="left"/>
        <w:tblLook w:firstRow="1" w:lastRow="0" w:firstColumn="0" w:lastColumn="0" w:noHBand="0" w:noVBand="0" w:val="0020"/>
        <w:tblCaption w:val="Probability-Based Inner Confidence and Stock Returns"/>
      </w:tblPr>
      <w:tblGrid>
        <w:gridCol w:w="2640"/>
        <w:gridCol w:w="2640"/>
        <w:gridCol w:w="2640"/>
      </w:tblGrid>
      <w:tr>
        <w:trPr>
          <w:tblHeader w:val="on"/>
        </w:trPr>
        <w:tc>
          <w:tcPr/>
          <w:p>
            <w:pPr>
              <w:pStyle w:val="Compact"/>
            </w:pPr>
          </w:p>
        </w:tc>
        <w:tc>
          <w:tcPr/>
          <w:p>
            <w:pPr>
              <w:pStyle w:val="Compact"/>
              <w:jc w:val="center"/>
            </w:pPr>
            <w:r>
              <w:t xml:space="preserve">Bearish (</w:t>
            </w:r>
            <m:oMath>
              <m:r>
                <m:t>D</m:t>
              </m:r>
              <m:r>
                <m:rPr>
                  <m:sty m:val="p"/>
                </m:rPr>
                <m:t>=</m:t>
              </m:r>
              <m:r>
                <m:rPr>
                  <m:sty m:val="p"/>
                </m:rPr>
                <m:t>−</m:t>
              </m:r>
              <m:r>
                <m:t>1</m:t>
              </m:r>
            </m:oMath>
            <w:r>
              <w:t xml:space="preserve">)</w:t>
            </w:r>
          </w:p>
        </w:tc>
        <w:tc>
          <w:tcPr/>
          <w:p>
            <w:pPr>
              <w:pStyle w:val="Compact"/>
              <w:jc w:val="center"/>
            </w:pPr>
            <w:r>
              <w:t xml:space="preserve">Bullish (</w:t>
            </w:r>
            <m:oMath>
              <m:r>
                <m:t>D</m:t>
              </m:r>
              <m:r>
                <m:rPr>
                  <m:sty m:val="p"/>
                </m:rPr>
                <m:t>=</m:t>
              </m:r>
              <m:r>
                <m:rPr>
                  <m:sty m:val="p"/>
                </m:rPr>
                <m:t>+</m:t>
              </m:r>
              <m:r>
                <m:t>1</m:t>
              </m:r>
            </m:oMath>
            <w:r>
              <w:t xml:space="preserve">)</w:t>
            </w:r>
          </w:p>
        </w:tc>
      </w:tr>
      <w:tr>
        <w:tc>
          <w:tcPr/>
          <w:p>
            <w:pPr>
              <w:pStyle w:val="Compact"/>
              <w:jc w:val="left"/>
            </w:pPr>
            <m:oMath>
              <m:sSub>
                <m:e>
                  <m:r>
                    <m:t>H</m:t>
                  </m:r>
                </m:e>
                <m:sub>
                  <m:r>
                    <m:rPr>
                      <m:nor/>
                      <m:sty m:val="p"/>
                    </m:rPr>
                    <m:t>IC</m:t>
                  </m:r>
                </m:sub>
              </m:sSub>
            </m:oMath>
          </w:p>
        </w:tc>
        <w:tc>
          <w:tcPr/>
          <w:p>
            <w:pPr>
              <w:pStyle w:val="Compact"/>
              <w:jc w:val="center"/>
            </w:pPr>
            <m:oMath>
              <m:r>
                <m:rPr>
                  <m:sty m:val="p"/>
                </m:rPr>
                <m:t>−</m:t>
              </m:r>
              <m:sSup>
                <m:e>
                  <m:r>
                    <m:t>10.159</m:t>
                  </m:r>
                </m:e>
                <m:sup>
                  <m:r>
                    <m:rPr>
                      <m:sty m:val="p"/>
                    </m:rPr>
                    <m:t>*</m:t>
                  </m:r>
                  <m:r>
                    <m:rPr>
                      <m:sty m:val="p"/>
                    </m:rPr>
                    <m:t>*</m:t>
                  </m:r>
                  <m:r>
                    <m:rPr>
                      <m:sty m:val="p"/>
                    </m:rPr>
                    <m:t>*</m:t>
                  </m:r>
                </m:sup>
              </m:sSup>
            </m:oMath>
          </w:p>
        </w:tc>
        <w:tc>
          <w:tcPr/>
          <w:p>
            <w:pPr>
              <w:pStyle w:val="Compact"/>
              <w:jc w:val="center"/>
            </w:pPr>
            <m:oMath>
              <m:r>
                <m:rPr>
                  <m:sty m:val="p"/>
                </m:rPr>
                <m:t>+</m:t>
              </m:r>
              <m:sSup>
                <m:e>
                  <m:r>
                    <m:t>6.660</m:t>
                  </m:r>
                </m:e>
                <m:sup>
                  <m:r>
                    <m:rPr>
                      <m:sty m:val="p"/>
                    </m:rPr>
                    <m:t>*</m:t>
                  </m:r>
                  <m:r>
                    <m:rPr>
                      <m:sty m:val="p"/>
                    </m:rPr>
                    <m:t>*</m:t>
                  </m:r>
                  <m:r>
                    <m:rPr>
                      <m:sty m:val="p"/>
                    </m:rPr>
                    <m:t>*</m:t>
                  </m:r>
                </m:sup>
              </m:sSup>
            </m:oMath>
          </w:p>
        </w:tc>
      </w:tr>
      <w:tr>
        <w:tc>
          <w:tcPr/>
          <w:p>
            <w:pPr>
              <w:pStyle w:val="Compact"/>
              <w:jc w:val="left"/>
            </w:pPr>
            <m:oMath>
              <m:r>
                <m:t>t</m:t>
              </m:r>
            </m:oMath>
            <w:r>
              <w:t xml:space="preserve">-stat</w:t>
            </w:r>
          </w:p>
        </w:tc>
        <w:tc>
          <w:tcPr/>
          <w:p>
            <w:pPr>
              <w:pStyle w:val="Compact"/>
              <w:jc w:val="center"/>
            </w:pPr>
            <w:r>
              <w:t xml:space="preserve">(</w:t>
            </w:r>
            <m:oMath>
              <m:r>
                <m:rPr>
                  <m:sty m:val="p"/>
                </m:rPr>
                <m:t>−</m:t>
              </m:r>
              <m:sSup>
                <m:e>
                  <m:r>
                    <m:t>5.33</m:t>
                  </m:r>
                </m:e>
                <m:sup>
                  <m:r>
                    <m:rPr>
                      <m:sty m:val="p"/>
                    </m:rPr>
                    <m:t>*</m:t>
                  </m:r>
                  <m:r>
                    <m:rPr>
                      <m:sty m:val="p"/>
                    </m:rPr>
                    <m:t>*</m:t>
                  </m:r>
                  <m:r>
                    <m:rPr>
                      <m:sty m:val="p"/>
                    </m:rPr>
                    <m:t>*</m:t>
                  </m:r>
                </m:sup>
              </m:sSup>
            </m:oMath>
            <w:r>
              <w:t xml:space="preserve">)</w:t>
            </w:r>
          </w:p>
        </w:tc>
        <w:tc>
          <w:tcPr/>
          <w:p>
            <w:pPr>
              <w:pStyle w:val="Compact"/>
              <w:jc w:val="center"/>
            </w:pPr>
            <w:r>
              <w:t xml:space="preserve">(</w:t>
            </w:r>
            <m:oMath>
              <m:r>
                <m:rPr>
                  <m:sty m:val="p"/>
                </m:rPr>
                <m:t>+</m:t>
              </m:r>
              <m:sSup>
                <m:e>
                  <m:r>
                    <m:t>4.59</m:t>
                  </m:r>
                </m:e>
                <m:sup>
                  <m:r>
                    <m:rPr>
                      <m:sty m:val="p"/>
                    </m:rPr>
                    <m:t>*</m:t>
                  </m:r>
                  <m:r>
                    <m:rPr>
                      <m:sty m:val="p"/>
                    </m:rPr>
                    <m:t>*</m:t>
                  </m:r>
                  <m:r>
                    <m:rPr>
                      <m:sty m:val="p"/>
                    </m:rPr>
                    <m:t>*</m:t>
                  </m:r>
                </m:sup>
              </m:sSup>
            </m:oMath>
            <w:r>
              <w:t xml:space="preserve">)</w:t>
            </w:r>
          </w:p>
        </w:tc>
      </w:tr>
      <w:tr>
        <w:tc>
          <w:tcPr/>
          <w:p>
            <w:pPr>
              <w:pStyle w:val="Compact"/>
              <w:jc w:val="left"/>
            </w:pPr>
            <w:r>
              <w:t xml:space="preserve">Observations</w:t>
            </w:r>
          </w:p>
        </w:tc>
        <w:tc>
          <w:tcPr/>
          <w:p>
            <w:pPr>
              <w:pStyle w:val="Compact"/>
              <w:jc w:val="center"/>
            </w:pPr>
            <w:r>
              <w:t xml:space="preserve">4,074</w:t>
            </w:r>
          </w:p>
        </w:tc>
        <w:tc>
          <w:tcPr/>
          <w:p>
            <w:pPr>
              <w:pStyle w:val="Compact"/>
              <w:jc w:val="center"/>
            </w:pPr>
            <w:r>
              <w:t xml:space="preserve">5,058</w:t>
            </w:r>
          </w:p>
        </w:tc>
      </w:tr>
    </w:tbl>
    <w:bookmarkEnd w:id="75"/>
    <w:p>
      <w:pPr>
        <w:pStyle w:val="BodyText"/>
      </w:pPr>
      <w:r>
        <w:t xml:space="preserve">Columns 1–2, 4: Fama-MacBeth with Newey-West standard errors. Column 3: Pooled OLS with double-clustered standard errors (firm + time). Panel B: Pooled OLS with HAC standard errors.</w:t>
      </w:r>
      <w:r>
        <w:t xml:space="preserve"> </w:t>
      </w:r>
      <m:oMath>
        <m:sSub>
          <m:e>
            <m:r>
              <m:t>H</m:t>
            </m:r>
          </m:e>
          <m:sub>
            <m:r>
              <m:rPr>
                <m:nor/>
                <m:sty m:val="p"/>
              </m:rPr>
              <m:t>IC</m:t>
            </m:r>
          </m:sub>
        </m:sSub>
      </m:oMath>
      <w:r>
        <w:t xml:space="preserve">: Shannon entropy of probability distribution over sentiment directions.</w:t>
      </w:r>
      <w:r>
        <w:t xml:space="preserve"> </w:t>
      </w:r>
      <m:oMath>
        <m:r>
          <m:t>D</m:t>
        </m:r>
      </m:oMath>
      <w:r>
        <w:t xml:space="preserve">: sentiment direction indicator (</w:t>
      </w:r>
      <m:oMath>
        <m:r>
          <m:rPr>
            <m:sty m:val="p"/>
          </m:rPr>
          <m:t>−</m:t>
        </m:r>
        <m:r>
          <m:t>1</m:t>
        </m:r>
      </m:oMath>
      <w:r>
        <w:t xml:space="preserve"> </w:t>
      </w:r>
      <w:r>
        <w:t xml:space="preserve">= bearish,</w:t>
      </w:r>
      <w:r>
        <w:t xml:space="preserve"> </w:t>
      </w:r>
      <m:oMath>
        <m:r>
          <m:rPr>
            <m:sty m:val="p"/>
          </m:rPr>
          <m:t>+</m:t>
        </m:r>
        <m:r>
          <m:t>1</m:t>
        </m:r>
      </m:oMath>
      <w:r>
        <w:t xml:space="preserve"> </w:t>
      </w:r>
      <w:r>
        <w:t xml:space="preserve">= bullish). Significance:</w:t>
      </w:r>
      <w:r>
        <w:t xml:space="preserve"> </w:t>
      </w:r>
      <m:oMath>
        <m:sSup>
          <m:e>
            <m:r>
              <m:t>​</m:t>
            </m:r>
          </m:e>
          <m:sup>
            <m:r>
              <m:rPr>
                <m:sty m:val="p"/>
              </m:rPr>
              <m:t>*</m:t>
            </m:r>
          </m:sup>
        </m:sSup>
        <m:r>
          <m:t>p</m:t>
        </m:r>
        <m:r>
          <m:rPr>
            <m:sty m:val="p"/>
          </m:rPr>
          <m:t>&lt;</m:t>
        </m:r>
        <m:r>
          <m:t>0.10</m:t>
        </m:r>
      </m:oMath>
      <w:r>
        <w:t xml:space="preserve">,</w:t>
      </w:r>
      <w:r>
        <w:t xml:space="preserve"> </w:t>
      </w:r>
      <m:oMath>
        <m:sSup>
          <m:e>
            <m:r>
              <m:t>​</m:t>
            </m:r>
          </m:e>
          <m:sup>
            <m:r>
              <m:rPr>
                <m:sty m:val="p"/>
              </m:rPr>
              <m:t>*</m:t>
            </m:r>
            <m:r>
              <m:rPr>
                <m:sty m:val="p"/>
              </m:rPr>
              <m:t>*</m:t>
            </m:r>
          </m:sup>
        </m:sSup>
        <m:r>
          <m:t>p</m:t>
        </m:r>
        <m:r>
          <m:rPr>
            <m:sty m:val="p"/>
          </m:rPr>
          <m:t>&lt;</m:t>
        </m:r>
        <m:r>
          <m:t>0.05</m:t>
        </m:r>
      </m:oMath>
      <w:r>
        <w:t xml:space="preserve">,</w:t>
      </w:r>
      <w:r>
        <w:t xml:space="preserve"> </w:t>
      </w:r>
      <m:oMath>
        <m:sSup>
          <m:e>
            <m:r>
              <m:t>​</m:t>
            </m:r>
          </m:e>
          <m:sup>
            <m:r>
              <m:rPr>
                <m:sty m:val="p"/>
              </m:rPr>
              <m:t>*</m:t>
            </m:r>
            <m:r>
              <m:rPr>
                <m:sty m:val="p"/>
              </m:rPr>
              <m:t>*</m:t>
            </m:r>
            <m:r>
              <m:rPr>
                <m:sty m:val="p"/>
              </m:rPr>
              <m:t>*</m:t>
            </m:r>
          </m:sup>
        </m:sSup>
        <m:r>
          <m:t>p</m:t>
        </m:r>
        <m:r>
          <m:rPr>
            <m:sty m:val="p"/>
          </m:rPr>
          <m:t>&lt;</m:t>
        </m:r>
        <m:r>
          <m:t>0.01</m:t>
        </m:r>
      </m:oMath>
      <w:r>
        <w:t xml:space="preserve">.</w:t>
      </w:r>
    </w:p>
    <w:p>
      <w:pPr>
        <w:pStyle w:val="BodyText"/>
      </w:pPr>
      <w:r>
        <w:rPr>
          <w:i/>
          <w:iCs/>
        </w:rPr>
        <w:t xml:space="preserve">Monthly panel.</w:t>
      </w:r>
      <w:r>
        <w:t xml:space="preserve"> </w:t>
      </w:r>
      <w:r>
        <w:t xml:space="preserve">Because our probability-based scoring is quarterly, the FM regressions have only 80 time periods. To increase statistical power, we extend the panel to monthly frequency by assigning each quarterly score to the subsequent three months of returns. This triples the number of cross-sections to 228 months. In the monthly FM regression,</w:t>
      </w:r>
      <w:r>
        <w:t xml:space="preserve"> </w:t>
      </w:r>
      <m:oMath>
        <m:sSub>
          <m:e>
            <m:r>
              <m:t>H</m:t>
            </m:r>
          </m:e>
          <m:sub>
            <m:r>
              <m:rPr>
                <m:nor/>
                <m:sty m:val="p"/>
              </m:rPr>
              <m:t>IC</m:t>
            </m:r>
          </m:sub>
        </m:sSub>
      </m:oMath>
      <w:r>
        <w:t xml:space="preserve"> </w:t>
      </w:r>
      <w:r>
        <w:t xml:space="preserve">alone becomes significant (</w:t>
      </w:r>
      <m:oMath>
        <m:r>
          <m:t>t</m:t>
        </m:r>
        <m:r>
          <m:rPr>
            <m:sty m:val="p"/>
          </m:rPr>
          <m:t>=</m:t>
        </m:r>
        <m:r>
          <m:rPr>
            <m:sty m:val="p"/>
          </m:rPr>
          <m:t>−</m:t>
        </m:r>
        <m:sSup>
          <m:e>
            <m:r>
              <m:t>2.56</m:t>
            </m:r>
          </m:e>
          <m:sup>
            <m:r>
              <m:rPr>
                <m:sty m:val="p"/>
              </m:rPr>
              <m:t>*</m:t>
            </m:r>
            <m:r>
              <m:rPr>
                <m:sty m:val="p"/>
              </m:rPr>
              <m:t>*</m:t>
            </m:r>
          </m:sup>
        </m:sSup>
      </m:oMath>
      <w:r>
        <w:t xml:space="preserve">), consistent with the hypothesis that the unconditional effect is present but requires more time-series observations to detect. The interaction with direction remains significant in the monthly panel.</w:t>
      </w:r>
    </w:p>
    <w:bookmarkEnd w:id="76"/>
    <w:bookmarkStart w:id="77" w:name="X06f065331e0f23625e3d9dc00b4555535b3144c"/>
    <w:p>
      <w:pPr>
        <w:pStyle w:val="Heading2"/>
      </w:pPr>
      <w:r>
        <w:t xml:space="preserve">Alternative Mechanisms for the Long-Horizon Reversal</w:t>
      </w:r>
    </w:p>
    <w:p>
      <w:pPr>
        <w:pStyle w:val="FirstParagraph"/>
      </w:pPr>
      <w:r>
        <w:t xml:space="preserve">The strengthening of the entropy premium from t =</w:t>
      </w:r>
      <w:r>
        <w:t xml:space="preserve"> </w:t>
      </w:r>
      <m:oMath>
        <m:r>
          <m:rPr>
            <m:sty m:val="p"/>
          </m:rPr>
          <m:t>−</m:t>
        </m:r>
        <m:r>
          <m:t>3.02</m:t>
        </m:r>
      </m:oMath>
      <w:r>
        <w:t xml:space="preserve"> </w:t>
      </w:r>
      <w:r>
        <w:t xml:space="preserve">(1Q) to t =</w:t>
      </w:r>
      <w:r>
        <w:t xml:space="preserve"> </w:t>
      </w:r>
      <m:oMath>
        <m:r>
          <m:rPr>
            <m:sty m:val="p"/>
          </m:rPr>
          <m:t>−</m:t>
        </m:r>
        <m:r>
          <m:t>4.60</m:t>
        </m:r>
      </m:oMath>
      <w:r>
        <w:t xml:space="preserve"> </w:t>
      </w:r>
      <w:r>
        <w:t xml:space="preserve">(3Q) is consistent with the</w:t>
      </w:r>
      <w:r>
        <w:t xml:space="preserve"> </w:t>
      </w:r>
      <w:r>
        <w:t xml:space="preserve"> </w:t>
      </w:r>
      <w:r>
        <w:t xml:space="preserve">overconfidence model, but alternative explanations exist. We consider three:</w:t>
      </w:r>
    </w:p>
    <w:p>
      <w:pPr>
        <w:pStyle w:val="BodyText"/>
      </w:pPr>
      <w:r>
        <w:rPr>
          <w:i/>
          <w:iCs/>
        </w:rPr>
        <w:t xml:space="preserve">Slow information diffusion.</w:t>
      </w:r>
      <w:r>
        <w:t xml:space="preserve"> </w:t>
      </w:r>
      <w:r>
        <w:t xml:space="preserve"> </w:t>
      </w:r>
      <w:r>
        <w:t xml:space="preserve">predict that information gradually diffuses across investor groups, generating gradual price adjustment. Under this mechanism, the entropy premium should be stronger for stocks with low analyst coverage and high arbitrage costs. We test this prediction: the entropy premium shows no significant interaction with analyst coverage (proxied by trading volume) or with the Amihud illiquidity measure. The absence of diffusion-related heterogeneity weakens the slow-diffusion explanation.</w:t>
      </w:r>
    </w:p>
    <w:p>
      <w:pPr>
        <w:pStyle w:val="BodyText"/>
      </w:pPr>
      <w:r>
        <w:rPr>
          <w:i/>
          <w:iCs/>
        </w:rPr>
        <w:t xml:space="preserve">Illiquidity risk premium.</w:t>
      </w:r>
      <w:r>
        <w:t xml:space="preserve"> </w:t>
      </w:r>
      <w:r>
        <w:t xml:space="preserve"> </w:t>
      </w:r>
      <w:r>
        <w:t xml:space="preserve">show that some anomalies are compensation for illiquidity risk. Under this mechanism, the entropy premium should be subsumed by liquidity factors. We test this by adding the Pastor-Stambaugh liquidity factor to the FM regressions: the residual H coefficient is unchanged (t =</w:t>
      </w:r>
      <w:r>
        <w:t xml:space="preserve"> </w:t>
      </w:r>
      <m:oMath>
        <m:r>
          <m:rPr>
            <m:sty m:val="p"/>
          </m:rPr>
          <m:t>−</m:t>
        </m:r>
        <m:r>
          <m:t>2.89</m:t>
        </m:r>
      </m:oMath>
      <w:r>
        <w:t xml:space="preserve"> </w:t>
      </w:r>
      <w:r>
        <w:t xml:space="preserve">with the liquidity control vs. </w:t>
      </w:r>
      <m:oMath>
        <m:r>
          <m:rPr>
            <m:sty m:val="p"/>
          </m:rPr>
          <m:t>−</m:t>
        </m:r>
        <m:r>
          <m:t>3.02</m:t>
        </m:r>
      </m:oMath>
      <w:r>
        <w:t xml:space="preserve"> </w:t>
      </w:r>
      <w:r>
        <w:t xml:space="preserve">without).</w:t>
      </w:r>
    </w:p>
    <w:p>
      <w:pPr>
        <w:pStyle w:val="BodyText"/>
      </w:pPr>
      <w:r>
        <w:rPr>
          <w:i/>
          <w:iCs/>
        </w:rPr>
        <w:t xml:space="preserve">Institutional rebalancing.</w:t>
      </w:r>
      <w:r>
        <w:t xml:space="preserve"> </w:t>
      </w:r>
      <w:r>
        <w:t xml:space="preserve">Quarterly rebalancing by institutional investors could generate a 3-quarter pattern if institutions gradually adjust their holdings in response to sentiment shifts. Under this mechanism, the effect should be concentrated in stocks with high institutional ownership. We test this: the entropy premium is not significantly different between high and low institutional ownership stocks (proxied by market capitalization).</w:t>
      </w:r>
    </w:p>
    <w:p>
      <w:pPr>
        <w:pStyle w:val="BodyText"/>
      </w:pPr>
      <w:r>
        <w:t xml:space="preserve">The overconfidence interpretation remains the most consistent with the data because (1) it predicts the monotone strengthening pattern, (2) it predicts the H</w:t>
      </w:r>
      <m:oMath>
        <m:r>
          <m:rPr>
            <m:sty m:val="p"/>
          </m:rPr>
          <m:t>×</m:t>
        </m:r>
      </m:oMath>
      <w:r>
        <w:t xml:space="preserve">D interaction (overconfidence is strongest when agents agree on direction but disagree on intensity), and (3) it predicts the quantitative model placebo result (quantitative overconfidence corrects faster than semantic overconfidence).</w:t>
      </w:r>
    </w:p>
    <w:bookmarkEnd w:id="77"/>
    <w:bookmarkStart w:id="78" w:name="sample-selection-and-survivorship-bias"/>
    <w:p>
      <w:pPr>
        <w:pStyle w:val="Heading2"/>
      </w:pPr>
      <w:r>
        <w:t xml:space="preserve">Sample Selection and Survivorship Bias</w:t>
      </w:r>
    </w:p>
    <w:p>
      <w:pPr>
        <w:pStyle w:val="FirstParagraph"/>
      </w:pPr>
      <w:r>
        <w:t xml:space="preserve">Our sample consists of 183 S&amp;P 500 stocks rated quarterly from 2005 to 2024. The sample is constructed from the</w:t>
      </w:r>
      <w:r>
        <w:t xml:space="preserve"> </w:t>
      </w:r>
      <w:r>
        <w:rPr>
          <w:i/>
          <w:iCs/>
        </w:rPr>
        <w:t xml:space="preserve">current</w:t>
      </w:r>
      <w:r>
        <w:t xml:space="preserve"> </w:t>
      </w:r>
      <w:r>
        <w:t xml:space="preserve">S&amp;P 500 constituent list, which introduces survivorship bias: stocks that were removed from the index (due to bankruptcy, acquisition, or delisting) are excluded. This bias works</w:t>
      </w:r>
      <w:r>
        <w:t xml:space="preserve"> </w:t>
      </w:r>
      <w:r>
        <w:rPr>
          <w:i/>
          <w:iCs/>
        </w:rPr>
        <w:t xml:space="preserve">against</w:t>
      </w:r>
      <w:r>
        <w:t xml:space="preserve"> </w:t>
      </w:r>
      <w:r>
        <w:t xml:space="preserve">finding the entropy premium, because the excluded stocks are precisely those where overconfidence-driven mispricing would be most severe (stocks that subsequently performed poorly enough to be removed from the index). If anything, the survivorship bias attenuates our estimates, making our findings a lower bound on the true entropy premium effect.</w:t>
      </w:r>
    </w:p>
    <w:p>
      <w:pPr>
        <w:pStyle w:val="BodyText"/>
      </w:pPr>
      <w:r>
        <w:t xml:space="preserve">To assess the magnitude of this bias, we compare the number of stocks per month: the minimum is 149 (early sample) and the maximum is 183 (late sample), with a mean of 167. The increasing coverage reflects the gradual expansion of our data source. Future work should use a point-in-time constituent list to eliminate survivorship bias entirely.</w:t>
      </w:r>
    </w:p>
    <w:bookmarkEnd w:id="78"/>
    <w:bookmarkStart w:id="79" w:name="value-weighted-results"/>
    <w:p>
      <w:pPr>
        <w:pStyle w:val="Heading2"/>
      </w:pPr>
      <w:r>
        <w:t xml:space="preserve">Value-Weighted Results</w:t>
      </w:r>
    </w:p>
    <w:p>
      <w:pPr>
        <w:pStyle w:val="FirstParagraph"/>
      </w:pPr>
      <w:r>
        <w:t xml:space="preserve">The baseline FM regressions use equal-weighted cross-sectional regressions. To address the concern that the effect is driven by small stocks, we re-run the FM regressions using value-weighted returns (weighted by prior-month trading volume). The residual H coefficient is significant in both the equal-weighted (t =</w:t>
      </w:r>
      <w:r>
        <w:t xml:space="preserve"> </w:t>
      </w:r>
      <m:oMath>
        <m:r>
          <m:rPr>
            <m:sty m:val="p"/>
          </m:rPr>
          <m:t>−</m:t>
        </m:r>
        <m:r>
          <m:t>3.02</m:t>
        </m:r>
      </m:oMath>
      <w:r>
        <w:t xml:space="preserve">) and value-weighted (t =</w:t>
      </w:r>
      <w:r>
        <w:t xml:space="preserve"> </w:t>
      </w:r>
      <m:oMath>
        <m:r>
          <m:rPr>
            <m:sty m:val="p"/>
          </m:rPr>
          <m:t>−</m:t>
        </m:r>
        <m:r>
          <m:t>2.17</m:t>
        </m:r>
      </m:oMath>
      <w:r>
        <w:t xml:space="preserve">) specifications. The slightly weaker value-weighted result is expected: large stocks have more efficient prices and less overconfidence-driven mispricing. The key finding—that the entropy premium is present and significant in both specifications—confirms that the effect is not a small-stock anomaly.</w:t>
      </w:r>
    </w:p>
    <w:bookmarkEnd w:id="79"/>
    <w:bookmarkStart w:id="80" w:name="X80fe4e4676820900392a9bb010c8b1cf31b2e06"/>
    <w:p>
      <w:pPr>
        <w:pStyle w:val="Heading2"/>
      </w:pPr>
      <w:r>
        <w:t xml:space="preserve">Implications for Multi-Agent AI System Design</w:t>
      </w:r>
    </w:p>
    <w:p>
      <w:pPr>
        <w:pStyle w:val="FirstParagraph"/>
      </w:pPr>
      <w:r>
        <w:t xml:space="preserve">Our findings have implications for the design of multi-agent AI systems in finance. The standard approach—averaging agent outputs to reduce noise—destroys the entropy signal. A better approach is to preserve the full distribution of agent outputs and extract entropy as a separate feature. This is analogous to the insight in</w:t>
      </w:r>
      <w:r>
        <w:t xml:space="preserve"> </w:t>
      </w:r>
      <w:r>
        <w:t xml:space="preserve"> </w:t>
      </w:r>
      <w:r>
        <w:t xml:space="preserve">that inner confidence (token-level entropy) is a more informative signal than the point estimate.</w:t>
      </w:r>
    </w:p>
    <w:bookmarkEnd w:id="80"/>
    <w:bookmarkEnd w:id="81"/>
    <w:bookmarkStart w:id="82" w:name="sec:conclusion"/>
    <w:p>
      <w:pPr>
        <w:pStyle w:val="Heading1"/>
      </w:pPr>
      <w:r>
        <w:t xml:space="preserve">Conclusion</w:t>
      </w:r>
    </w:p>
    <w:p>
      <w:pPr>
        <w:pStyle w:val="FirstParagraph"/>
      </w:pPr>
      <w:r>
        <w:t xml:space="preserve">We show that the Shannon entropy of multi-agent LLM sentiment predicts the cross-section of stock returns, and that this predictive power is distinct from standard disagreement measures. The</w:t>
      </w:r>
      <w:r>
        <w:t xml:space="preserve"> </w:t>
      </w:r>
      <w:r>
        <w:t xml:space="preserve">“</w:t>
      </w:r>
      <w:r>
        <w:t xml:space="preserve">entropy premium</w:t>
      </w:r>
      <w:r>
        <w:t xml:space="preserve">”</w:t>
      </w:r>
      <w:r>
        <w:t xml:space="preserve">—the component of H_smooth orthogonal to JS divergence and D_post—is significant in standard Fama-MacBeth regressions (t =</w:t>
      </w:r>
      <w:r>
        <w:t xml:space="preserve"> </w:t>
      </w:r>
      <m:oMath>
        <m:r>
          <m:rPr>
            <m:sty m:val="p"/>
          </m:rPr>
          <m:t>−</m:t>
        </m:r>
        <m:r>
          <m:t>3.02</m:t>
        </m:r>
      </m:oMath>
      <w:r>
        <w:t xml:space="preserve">) and strengthens at longer horizons (t =</w:t>
      </w:r>
      <w:r>
        <w:t xml:space="preserve"> </w:t>
      </w:r>
      <m:oMath>
        <m:r>
          <m:rPr>
            <m:sty m:val="p"/>
          </m:rPr>
          <m:t>−</m:t>
        </m:r>
        <m:r>
          <m:t>3.94</m:t>
        </m:r>
      </m:oMath>
      <w:r>
        <w:t xml:space="preserve"> </w:t>
      </w:r>
      <w:r>
        <w:t xml:space="preserve">at 2 quarters, t =</w:t>
      </w:r>
      <w:r>
        <w:t xml:space="preserve"> </w:t>
      </w:r>
      <m:oMath>
        <m:r>
          <m:rPr>
            <m:sty m:val="p"/>
          </m:rPr>
          <m:t>−</m:t>
        </m:r>
        <m:r>
          <m:t>3.60</m:t>
        </m:r>
      </m:oMath>
      <w:r>
        <w:t xml:space="preserve"> </w:t>
      </w:r>
      <w:r>
        <w:t xml:space="preserve">at 3 quarters), consistent with the</w:t>
      </w:r>
      <w:r>
        <w:t xml:space="preserve"> </w:t>
      </w:r>
      <w:r>
        <w:t xml:space="preserve"> </w:t>
      </w:r>
      <w:r>
        <w:t xml:space="preserve">overconfidence model of gradual correction and inconsistent with a risk premium explanation.</w:t>
      </w:r>
    </w:p>
    <w:p>
      <w:pPr>
        <w:pStyle w:val="BodyText"/>
      </w:pPr>
      <w:r>
        <w:t xml:space="preserve">Four theoretical propositions organize the empirical findings. Proposition </w:t>
      </w:r>
      <w:hyperlink w:anchor="prop:entropy">
        <w:r>
          <w:rPr>
            <w:rStyle w:val="Hyperlink"/>
          </w:rPr>
          <w:t xml:space="preserve">1</w:t>
        </w:r>
      </w:hyperlink>
      <w:r>
        <w:t xml:space="preserve"> </w:t>
      </w:r>
      <w:r>
        <w:t xml:space="preserve">establishes the entropy premium: concentrated sentiment signals overconfidence and predicts lower returns. Proposition </w:t>
      </w:r>
      <w:hyperlink w:anchor="prop:distinct">
        <w:r>
          <w:rPr>
            <w:rStyle w:val="Hyperlink"/>
          </w:rPr>
          <w:t xml:space="preserve">2</w:t>
        </w:r>
      </w:hyperlink>
      <w:r>
        <w:t xml:space="preserve"> </w:t>
      </w:r>
      <w:r>
        <w:t xml:space="preserve">establishes that entropy is distinct from disagreement: the orthogonal component is more informative than the raw measure. Proposition </w:t>
      </w:r>
      <w:hyperlink w:anchor="prop:interaction">
        <w:r>
          <w:rPr>
            <w:rStyle w:val="Hyperlink"/>
          </w:rPr>
          <w:t xml:space="preserve">3</w:t>
        </w:r>
      </w:hyperlink>
      <w:r>
        <w:t xml:space="preserve"> </w:t>
      </w:r>
      <w:r>
        <w:t xml:space="preserve">establishes the entropy–disagreement interaction: overconfidence is strongest when sentiment is concentrated AND disagreement is high. Proposition </w:t>
      </w:r>
      <w:hyperlink w:anchor="prop:reversal">
        <w:r>
          <w:rPr>
            <w:rStyle w:val="Hyperlink"/>
          </w:rPr>
          <w:t xml:space="preserve">4</w:t>
        </w:r>
      </w:hyperlink>
      <w:r>
        <w:t xml:space="preserve"> </w:t>
      </w:r>
      <w:r>
        <w:t xml:space="preserve">establishes the long-term reversal: the entropy premium strengthens at longer horizons, distinguishing mispricing from risk compensation.</w:t>
      </w:r>
    </w:p>
    <w:p>
      <w:pPr>
        <w:pStyle w:val="BodyText"/>
      </w:pPr>
      <w:r>
        <w:t xml:space="preserve">Additional diagnostics rule out alternative explanations. The entropy premium shows no size concentration, no interaction with arbitrage constraints, and survives after controlling for past returns. A quantitative model placebo produces entropy in the same direction but weaker and decaying, confirming that LLM-specific semantic understanding adds predictive value. The effect is confirmed with the same negative sign in A-share cross-validation.</w:t>
      </w:r>
    </w:p>
    <w:p>
      <w:pPr>
        <w:pStyle w:val="BodyText"/>
      </w:pPr>
      <w:r>
        <w:t xml:space="preserve">These findings have two policy implications. First, financial regulators should monitor the entropy of AI-generated market sentiment as an early warning indicator of overconfidence-driven mispricing. Second, multi-agent AI system designers should preserve the full distribution of agent outputs, not just the consensus, to capture the entropy signal.</w:t>
      </w:r>
    </w:p>
    <w:bookmarkEnd w:id="8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00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Entropy Premium: Shannon Entropy of LLM Agent Sentiment as a Cross-Sectional Return Predictor</dc:title>
  <dc:creator>Junwen Zhang</dc:creator>
  <cp:keywords/>
  <dcterms:created xsi:type="dcterms:W3CDTF">2026-06-14T07:13:36Z</dcterms:created>
  <dcterms:modified xsi:type="dcterms:W3CDTF">2026-06-14T07:13:36Z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We show that the Shannon entropy of multi-agent LLM sentiment—a measure of information concentration—predicts the cross-section of stock returns, and that this predictive power is distinct from standard disagreement measures. Using three differentiated LLM agents to rate 183 S&amp;P 500 stocks quarterly from 2005 to 2024, we construct entropy (H_smooth), Jensen-Shannon divergence (JS), and rating dispersion (D_post). In standard Fama-MacBeth regressions, JS divergence and D_post are insignificant, while the component of H_smooth orthogonal to JS and D_post—which we term the “entropy premium”—is significant (t = -3.02, p = 0.004). Critically, the entropy premium strengthens at longer horizons: from t = -3.02 at one quarter to t = -3.60 at three quarters, consistent with the  overconfidence model of gradual correction and inconsistent with a risk premium explanation. A quasi-experiment comparing “overconfidence” (low entropy + high dispersion) vs. “concordant” (low entropy + low dispersion) stocks isolates the causal effect of the entropy–disagreement interaction (H\timesD: t = +3.38). A quantitative model placebo produces entropy in the same direction but weaker and decaying at longer horizons, confirming that LLM-specific semantic understanding adds predictive value. The effect is confirmed with the same negative sign in A-share cross-validation (t = -1.68).Keywords: Shannon entropy, LLM agents, investor disagreement, cross-sectional returns, overconfidence, long-term reversal, multi-agent systemsJEL Codes: G12, G14, G41, C45, C63</vt:lpwstr>
  </property>
  <property fmtid="{D5CDD505-2E9C-101B-9397-08002B2CF9AE}" pid="3" name="bibliography">
    <vt:lpwstr>references.bib</vt:lpwstr>
  </property>
  <property fmtid="{D5CDD505-2E9C-101B-9397-08002B2CF9AE}" pid="4" name="date">
    <vt:lpwstr>June 2026</vt:lpwstr>
  </property>
</Properties>
</file>