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Words Beyond the Rate</w:t>
      </w:r>
    </w:p>
    <w:p>
      <w:pPr>
        <w:jc w:val="center"/>
      </w:pPr>
      <w:r>
        <w:rPr>
          <w:b w:val="0"/>
          <w:i/>
        </w:rPr>
        <w:t>Monetary Policy Shocks and FOMC Statement Sentiment</w:t>
        <w:br/>
        <w:t>Across Policy Regimes and the Zero Lower Bound</w:t>
      </w:r>
    </w:p>
    <w:p>
      <w:pPr>
        <w:pStyle w:val="Heading1"/>
      </w:pPr>
      <w:r>
        <w:t>Abstract</w:t>
      </w:r>
    </w:p>
    <w:p>
      <w:r>
        <w:rPr>
          <w:b w:val="0"/>
          <w:i w:val="0"/>
        </w:rPr>
        <w:t>We examine how monetary policy shocks—target rate surprises and forward guidance (path) surprises—shape the sentiment of FOMC statements, and how this relationship varies across policy regimes and historical eras. Using an extended sample of 164 FOMC meetings (1995–2022) with Acosta (2022) monetary policy shocks and Central Bank (CB) dictionary sentiment scores, we document a structural break at the zero lower bound (ZLB). In the pre-ZLB era (1995–2008), neither target nor path shocks predict statement sentiment conditional on the policy regime. In the ZLB and post-ZLB era (2008–2022), a continuous interaction model reveals that target shocks have a differential effect during rate hikes (target × direction: t = 3.73, permutation p = 0.0002) and path shocks have a differential effect during rate cuts (path × direction: t = −2.93, permutation p = 0.016). This pattern is consistent with forward guidance becoming the primary policy signaling channel when the federal funds rate is constrained at zero. Separately, we show that the widely used abbreviated Loughran–McDonald (LM) percentage metric suffers from a positivity bias that inflates its apparent predictive power: the abbreviated LM% yields t = 8.00 in a Kuttner horse race, while the full-dictionary LM% yields t = −0.22. Our findings highlight both the regime-dependent nature of monetary communication and the methodological pitfalls of dictionary-based sentiment analysis.</w:t>
      </w:r>
    </w:p>
    <w:p>
      <w:pPr>
        <w:pStyle w:val="Heading1"/>
      </w:pPr>
      <w:r>
        <w:t>1. Introduction</w:t>
      </w:r>
    </w:p>
    <w:p>
      <w:r>
        <w:rPr>
          <w:b w:val="0"/>
          <w:i w:val="0"/>
        </w:rPr>
        <w:t>When the Federal Open Market Committee (FOMC) announces a policy decision, financial markets react not only to the rate change itself but also to the language of the accompanying statement. This language—carefully crafted to signal the Committee's assessment and intentions—has become increasingly important as a policy tool, particularly since the global financial crisis when the federal funds rate reached the zero lower bound (ZLB) and forward guidance (FG) became the primary mechanism for shaping expectations.</w:t>
      </w:r>
    </w:p>
    <w:p>
      <w:r>
        <w:rPr>
          <w:b w:val="0"/>
          <w:i w:val="0"/>
        </w:rPr>
        <w:t>A substantial literature decomposes monetary policy surprises into a "target" component (the unexpected change in the current federal funds rate) and a "path" component (the revision in expectations of future rates) following Gürkaynak, Sack, and Swanson (2005, henceforth GSS). While the asset price effects of these shocks are well documented, less is known about how they feed back into the language of subsequent FOMC statements. If path shocks reflect forward guidance, then their impact on statement sentiment should be most pronounced when the Fed relies on language rather than rate changes to signal policy—that is, during and after the ZLB period.</w:t>
      </w:r>
    </w:p>
    <w:p>
      <w:r>
        <w:rPr>
          <w:b w:val="0"/>
          <w:i w:val="0"/>
        </w:rPr>
        <w:t>We test three hypotheses. H1 (Implementation Channel): Target rate surprises have a differential effect on statement sentiment during rate hike meetings, where unexpected tightening signals a shift in the Committee's assessment. H2 (Forward Guidance Channel): Path surprises have a differential effect during rate cut meetings, where forward guidance about future easing is most relevant. H3 (ZLB Structural Break): The regime-dependent effects in H1 and H2 are present only in the ZLB and post-ZLB era, when forward guidance became a primary policy tool.</w:t>
      </w:r>
    </w:p>
    <w:p>
      <w:r>
        <w:rPr>
          <w:b w:val="0"/>
          <w:i w:val="0"/>
        </w:rPr>
        <w:t>Our contribution is threefold. First, we document a ZLB structural break in the relationship between monetary policy shocks and statement sentiment. Using an extended sample of 164 FOMC meetings (1995–2022) with Acosta (2022) monetary policy shocks and CB dictionary sentiment scores (Correa et al., 2021), we show that the regime-dependent response of sentiment to shocks exists only after 2008. In the pre-ZLB era (1995–2008), neither target nor path shocks predict sentiment conditional on the policy regime. In the ZLB+Post era (2008–2022), a continuous interaction model reveals significant target × direction (t = 3.73, permutation p = 0.0002) and path × direction (t = −2.93, permutation p = 0.016) effects. The pre-ZLB null result is itself informative: it confirms that forward guidance became a meaningful channel for sentiment only when the Fed was constrained at the ZLB.</w:t>
      </w:r>
    </w:p>
    <w:p>
      <w:r>
        <w:rPr>
          <w:b w:val="0"/>
          <w:i w:val="0"/>
        </w:rPr>
        <w:t>Second, we introduce a continuous interaction model that avoids the overfitting problems of subsample regression. Rather than estimating separate regressions for each regime (which yields inflated R² due to small subsamples), we estimate a single model on the full sample with a continuous rate-direction variable (hike = +1, unchanged = 0, cut = −1) interacted with the shock measures. This approach uses all observations, avoids sample splitting, and produces properly calibrated inference under permutation testing.</w:t>
      </w:r>
    </w:p>
    <w:p>
      <w:r>
        <w:rPr>
          <w:b w:val="0"/>
          <w:i w:val="0"/>
        </w:rPr>
        <w:t>Third, we identify a positivity bias in the abbreviated Loughran–McDonald (LM) percentage metric that inflates its apparent predictive power. The abbreviated LM% (negative words / [negative + positive words]) yields t = 8.00 in a Kuttner-style horse race, while the full-dictionary LM% (net tone / total words) yields t = −0.22. This discrepancy arises because the abbreviated denominator excludes neutral words, creating a mechanical positive correlation with rate changes. We recommend the full-dictionary specification for monetary policy text analysis.</w:t>
      </w:r>
    </w:p>
    <w:p>
      <w:pPr>
        <w:pStyle w:val="Heading1"/>
      </w:pPr>
      <w:r>
        <w:t>2. Data</w:t>
      </w:r>
    </w:p>
    <w:p>
      <w:pPr>
        <w:pStyle w:val="Heading2"/>
      </w:pPr>
      <w:r>
        <w:t>2.1 Monetary Policy Shocks</w:t>
      </w:r>
    </w:p>
    <w:p>
      <w:r>
        <w:rPr>
          <w:b w:val="0"/>
          <w:i w:val="0"/>
        </w:rPr>
        <w:t>We use the monetary policy shock series from Acosta (2022), who replicates and updates the GSS decomposition for 220 FOMC meetings from February 1995 to July 2022. The target shock captures the unexpected component of the current federal funds rate change, while the path shock captures the revision in expectations of future rates. Both are estimated from high-frequency changes in federal funds futures and eurodollar futures around FOMC announcements. The raw fed funds surprise (ff.shock.0) is also available in percentage points.</w:t>
      </w:r>
    </w:p>
    <w:p>
      <w:pPr>
        <w:pStyle w:val="Heading2"/>
      </w:pPr>
      <w:r>
        <w:t>2.2 Statement Sentiment</w:t>
      </w:r>
    </w:p>
    <w:p>
      <w:r>
        <w:rPr>
          <w:b w:val="0"/>
          <w:i w:val="0"/>
        </w:rPr>
        <w:t>We measure FOMC statement sentiment using the Central Bank (CB) dictionary of Correa et al. (2021), which contains 407 hawkish words, 543 dovish words, 42 hawkish phrases, and 55 dovish phrases specifically designed for monetary policy communication. The CB score is computed as (hawkish − dovish) / total words, yielding a continuous measure ranging from −0.092 to 0.064 across 212 statements from May 1994 to March 2026. We also compute the Loughran–McDonald (LM, 2011) percentage using both the abbreviated formula (negative / [negative + positive]) and the full-dictionary formula (net tone / total words).</w:t>
      </w:r>
    </w:p>
    <w:p>
      <w:pPr>
        <w:pStyle w:val="Heading2"/>
      </w:pPr>
      <w:r>
        <w:t>2.3 Policy Regime Classification</w:t>
      </w:r>
    </w:p>
    <w:p>
      <w:r>
        <w:rPr>
          <w:b w:val="0"/>
          <w:i w:val="0"/>
        </w:rPr>
        <w:t>We classify each FOMC meeting into one of three regimes based on the actual federal funds target rate change: rate hike (target rate increased), rate cut (target rate decreased), or unchanged (target rate held constant). For the 2006–2022 period, we use the regime classification from our primary dataset, which is based on FOMC decisions. For the 1995–2005 period, we infer the regime from the daily federal funds target rate series from FRED: a rate increase within a 7-day window around the FOMC meeting is classified as a hike, a decrease as a cut, and no change as unchanged. The extended sample contains 39 hike meetings, 51 cut meetings, and 74 unchanged meetings.</w:t>
      </w:r>
    </w:p>
    <w:p>
      <w:pPr>
        <w:pStyle w:val="Heading2"/>
      </w:pPr>
      <w:r>
        <w:t>2.4 Era Classification</w:t>
      </w:r>
    </w:p>
    <w:p>
      <w:r>
        <w:rPr>
          <w:b w:val="0"/>
          <w:i w:val="0"/>
        </w:rPr>
        <w:t>We define the ZLB era as December 2008 onward, when the federal funds target rate reached the 0–0.25% range. This yields 55 pre-ZLB observations (1995–2008) and 109 ZLB+Post observations (2008–2022). The ZLB period is of particular interest because forward guidance became the primary tool for signaling future policy when the rate could not be reduced further.</w:t>
      </w:r>
    </w:p>
    <w:p>
      <w:pPr>
        <w:pStyle w:val="Heading2"/>
      </w:pPr>
      <w:r>
        <w:t>2.5 Summary Statistics</w:t>
      </w:r>
    </w:p>
    <w:p>
      <w:r>
        <w:rPr>
          <w:b/>
          <w:sz w:val="20"/>
        </w:rPr>
        <w:t>Table 1: Summary Statistics for the Extended Sample (1995–2022)</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Variable</w:t>
            </w:r>
          </w:p>
        </w:tc>
        <w:tc>
          <w:tcPr>
            <w:tcW w:type="dxa" w:w="1440"/>
          </w:tcPr>
          <w:p>
            <w:r>
              <w:rPr>
                <w:b/>
                <w:sz w:val="18"/>
              </w:rPr>
              <w:t>N</w:t>
            </w:r>
          </w:p>
        </w:tc>
        <w:tc>
          <w:tcPr>
            <w:tcW w:type="dxa" w:w="1440"/>
          </w:tcPr>
          <w:p>
            <w:r>
              <w:rPr>
                <w:b/>
                <w:sz w:val="18"/>
              </w:rPr>
              <w:t>Mean</w:t>
            </w:r>
          </w:p>
        </w:tc>
        <w:tc>
          <w:tcPr>
            <w:tcW w:type="dxa" w:w="1440"/>
          </w:tcPr>
          <w:p>
            <w:r>
              <w:rPr>
                <w:b/>
                <w:sz w:val="18"/>
              </w:rPr>
              <w:t>Std Dev</w:t>
            </w:r>
          </w:p>
        </w:tc>
        <w:tc>
          <w:tcPr>
            <w:tcW w:type="dxa" w:w="1440"/>
          </w:tcPr>
          <w:p>
            <w:r>
              <w:rPr>
                <w:b/>
                <w:sz w:val="18"/>
              </w:rPr>
              <w:t>Min</w:t>
            </w:r>
          </w:p>
        </w:tc>
        <w:tc>
          <w:tcPr>
            <w:tcW w:type="dxa" w:w="1440"/>
          </w:tcPr>
          <w:p>
            <w:r>
              <w:rPr>
                <w:b/>
                <w:sz w:val="18"/>
              </w:rPr>
              <w:t>Max</w:t>
            </w:r>
          </w:p>
        </w:tc>
      </w:tr>
      <w:tr>
        <w:tc>
          <w:tcPr>
            <w:tcW w:type="dxa" w:w="1440"/>
          </w:tcPr>
          <w:p>
            <w:r>
              <w:rPr>
                <w:sz w:val="18"/>
              </w:rPr>
              <w:t>Target shock</w:t>
            </w:r>
          </w:p>
        </w:tc>
        <w:tc>
          <w:tcPr>
            <w:tcW w:type="dxa" w:w="1440"/>
          </w:tcPr>
          <w:p>
            <w:r>
              <w:rPr>
                <w:sz w:val="18"/>
              </w:rPr>
              <w:t>164</w:t>
            </w:r>
          </w:p>
        </w:tc>
        <w:tc>
          <w:tcPr>
            <w:tcW w:type="dxa" w:w="1440"/>
          </w:tcPr>
          <w:p>
            <w:r>
              <w:rPr>
                <w:sz w:val="18"/>
              </w:rPr>
              <w:t>0.006</w:t>
            </w:r>
          </w:p>
        </w:tc>
        <w:tc>
          <w:tcPr>
            <w:tcW w:type="dxa" w:w="1440"/>
          </w:tcPr>
          <w:p>
            <w:r>
              <w:rPr>
                <w:sz w:val="18"/>
              </w:rPr>
              <w:t>1.000</w:t>
            </w:r>
          </w:p>
        </w:tc>
        <w:tc>
          <w:tcPr>
            <w:tcW w:type="dxa" w:w="1440"/>
          </w:tcPr>
          <w:p>
            <w:r>
              <w:rPr>
                <w:sz w:val="18"/>
              </w:rPr>
              <w:t>−4.720</w:t>
            </w:r>
          </w:p>
        </w:tc>
        <w:tc>
          <w:tcPr>
            <w:tcW w:type="dxa" w:w="1440"/>
          </w:tcPr>
          <w:p>
            <w:r>
              <w:rPr>
                <w:sz w:val="18"/>
              </w:rPr>
              <w:t>3.233</w:t>
            </w:r>
          </w:p>
        </w:tc>
      </w:tr>
      <w:tr>
        <w:tc>
          <w:tcPr>
            <w:tcW w:type="dxa" w:w="1440"/>
          </w:tcPr>
          <w:p>
            <w:r>
              <w:rPr>
                <w:sz w:val="18"/>
              </w:rPr>
              <w:t>Path shock</w:t>
            </w:r>
          </w:p>
        </w:tc>
        <w:tc>
          <w:tcPr>
            <w:tcW w:type="dxa" w:w="1440"/>
          </w:tcPr>
          <w:p>
            <w:r>
              <w:rPr>
                <w:sz w:val="18"/>
              </w:rPr>
              <w:t>164</w:t>
            </w:r>
          </w:p>
        </w:tc>
        <w:tc>
          <w:tcPr>
            <w:tcW w:type="dxa" w:w="1440"/>
          </w:tcPr>
          <w:p>
            <w:r>
              <w:rPr>
                <w:sz w:val="18"/>
              </w:rPr>
              <w:t>−0.023</w:t>
            </w:r>
          </w:p>
        </w:tc>
        <w:tc>
          <w:tcPr>
            <w:tcW w:type="dxa" w:w="1440"/>
          </w:tcPr>
          <w:p>
            <w:r>
              <w:rPr>
                <w:sz w:val="18"/>
              </w:rPr>
              <w:t>0.998</w:t>
            </w:r>
          </w:p>
        </w:tc>
        <w:tc>
          <w:tcPr>
            <w:tcW w:type="dxa" w:w="1440"/>
          </w:tcPr>
          <w:p>
            <w:r>
              <w:rPr>
                <w:sz w:val="18"/>
              </w:rPr>
              <w:t>−3.922</w:t>
            </w:r>
          </w:p>
        </w:tc>
        <w:tc>
          <w:tcPr>
            <w:tcW w:type="dxa" w:w="1440"/>
          </w:tcPr>
          <w:p>
            <w:r>
              <w:rPr>
                <w:sz w:val="18"/>
              </w:rPr>
              <w:t>3.993</w:t>
            </w:r>
          </w:p>
        </w:tc>
      </w:tr>
      <w:tr>
        <w:tc>
          <w:tcPr>
            <w:tcW w:type="dxa" w:w="1440"/>
          </w:tcPr>
          <w:p>
            <w:r>
              <w:rPr>
                <w:sz w:val="18"/>
              </w:rPr>
              <w:t>CB Score V2</w:t>
            </w:r>
          </w:p>
        </w:tc>
        <w:tc>
          <w:tcPr>
            <w:tcW w:type="dxa" w:w="1440"/>
          </w:tcPr>
          <w:p>
            <w:r>
              <w:rPr>
                <w:sz w:val="18"/>
              </w:rPr>
              <w:t>164</w:t>
            </w:r>
          </w:p>
        </w:tc>
        <w:tc>
          <w:tcPr>
            <w:tcW w:type="dxa" w:w="1440"/>
          </w:tcPr>
          <w:p>
            <w:r>
              <w:rPr>
                <w:sz w:val="18"/>
              </w:rPr>
              <w:t>−0.004</w:t>
            </w:r>
          </w:p>
        </w:tc>
        <w:tc>
          <w:tcPr>
            <w:tcW w:type="dxa" w:w="1440"/>
          </w:tcPr>
          <w:p>
            <w:r>
              <w:rPr>
                <w:sz w:val="18"/>
              </w:rPr>
              <w:t>0.034</w:t>
            </w:r>
          </w:p>
        </w:tc>
        <w:tc>
          <w:tcPr>
            <w:tcW w:type="dxa" w:w="1440"/>
          </w:tcPr>
          <w:p>
            <w:r>
              <w:rPr>
                <w:sz w:val="18"/>
              </w:rPr>
              <w:t>−0.092</w:t>
            </w:r>
          </w:p>
        </w:tc>
        <w:tc>
          <w:tcPr>
            <w:tcW w:type="dxa" w:w="1440"/>
          </w:tcPr>
          <w:p>
            <w:r>
              <w:rPr>
                <w:sz w:val="18"/>
              </w:rPr>
              <w:t>0.064</w:t>
            </w:r>
          </w:p>
        </w:tc>
      </w:tr>
      <w:tr>
        <w:tc>
          <w:tcPr>
            <w:tcW w:type="dxa" w:w="1440"/>
          </w:tcPr>
          <w:p>
            <w:r>
              <w:rPr>
                <w:sz w:val="18"/>
              </w:rPr>
              <w:t>LM% (full)</w:t>
            </w:r>
          </w:p>
        </w:tc>
        <w:tc>
          <w:tcPr>
            <w:tcW w:type="dxa" w:w="1440"/>
          </w:tcPr>
          <w:p>
            <w:r>
              <w:rPr>
                <w:sz w:val="18"/>
              </w:rPr>
              <w:t>131</w:t>
            </w:r>
          </w:p>
        </w:tc>
        <w:tc>
          <w:tcPr>
            <w:tcW w:type="dxa" w:w="1440"/>
          </w:tcPr>
          <w:p>
            <w:r>
              <w:rPr>
                <w:sz w:val="18"/>
              </w:rPr>
              <w:t>0.241</w:t>
            </w:r>
          </w:p>
        </w:tc>
        <w:tc>
          <w:tcPr>
            <w:tcW w:type="dxa" w:w="1440"/>
          </w:tcPr>
          <w:p>
            <w:r>
              <w:rPr>
                <w:sz w:val="18"/>
              </w:rPr>
              <w:t>0.818</w:t>
            </w:r>
          </w:p>
        </w:tc>
        <w:tc>
          <w:tcPr>
            <w:tcW w:type="dxa" w:w="1440"/>
          </w:tcPr>
          <w:p>
            <w:r>
              <w:rPr>
                <w:sz w:val="18"/>
              </w:rPr>
              <w:t>−2.727</w:t>
            </w:r>
          </w:p>
        </w:tc>
        <w:tc>
          <w:tcPr>
            <w:tcW w:type="dxa" w:w="1440"/>
          </w:tcPr>
          <w:p>
            <w:r>
              <w:rPr>
                <w:sz w:val="18"/>
              </w:rPr>
              <w:t>1.786</w:t>
            </w:r>
          </w:p>
        </w:tc>
      </w:tr>
      <w:tr>
        <w:tc>
          <w:tcPr>
            <w:tcW w:type="dxa" w:w="1440"/>
          </w:tcPr>
          <w:p>
            <w:r>
              <w:rPr>
                <w:sz w:val="18"/>
              </w:rPr>
              <w:t>FF surprise (bps)</w:t>
            </w:r>
          </w:p>
        </w:tc>
        <w:tc>
          <w:tcPr>
            <w:tcW w:type="dxa" w:w="1440"/>
          </w:tcPr>
          <w:p>
            <w:r>
              <w:rPr>
                <w:sz w:val="18"/>
              </w:rPr>
              <w:t>164</w:t>
            </w:r>
          </w:p>
        </w:tc>
        <w:tc>
          <w:tcPr>
            <w:tcW w:type="dxa" w:w="1440"/>
          </w:tcPr>
          <w:p>
            <w:r>
              <w:rPr>
                <w:sz w:val="18"/>
              </w:rPr>
              <w:t>−0.003</w:t>
            </w:r>
          </w:p>
        </w:tc>
        <w:tc>
          <w:tcPr>
            <w:tcW w:type="dxa" w:w="1440"/>
          </w:tcPr>
          <w:p>
            <w:r>
              <w:rPr>
                <w:sz w:val="18"/>
              </w:rPr>
              <w:t>0.079</w:t>
            </w:r>
          </w:p>
        </w:tc>
        <w:tc>
          <w:tcPr>
            <w:tcW w:type="dxa" w:w="1440"/>
          </w:tcPr>
          <w:p>
            <w:r>
              <w:rPr>
                <w:sz w:val="18"/>
              </w:rPr>
              <w:t>−0.465</w:t>
            </w:r>
          </w:p>
        </w:tc>
        <w:tc>
          <w:tcPr>
            <w:tcW w:type="dxa" w:w="1440"/>
          </w:tcPr>
          <w:p>
            <w:r>
              <w:rPr>
                <w:sz w:val="18"/>
              </w:rPr>
              <w:t>0.062</w:t>
            </w:r>
          </w:p>
        </w:tc>
      </w:tr>
      <w:tr>
        <w:tc>
          <w:tcPr>
            <w:tcW w:type="dxa" w:w="1440"/>
          </w:tcPr>
          <w:p>
            <w:r>
              <w:rPr>
                <w:sz w:val="18"/>
              </w:rPr>
              <w:t>Rate direction</w:t>
            </w:r>
          </w:p>
        </w:tc>
        <w:tc>
          <w:tcPr>
            <w:tcW w:type="dxa" w:w="1440"/>
          </w:tcPr>
          <w:p>
            <w:r>
              <w:rPr>
                <w:sz w:val="18"/>
              </w:rPr>
              <w:t>164</w:t>
            </w:r>
          </w:p>
        </w:tc>
        <w:tc>
          <w:tcPr>
            <w:tcW w:type="dxa" w:w="1440"/>
          </w:tcPr>
          <w:p>
            <w:r>
              <w:rPr>
                <w:sz w:val="18"/>
              </w:rPr>
              <w:t>−0.073</w:t>
            </w:r>
          </w:p>
        </w:tc>
        <w:tc>
          <w:tcPr>
            <w:tcW w:type="dxa" w:w="1440"/>
          </w:tcPr>
          <w:p>
            <w:r>
              <w:rPr>
                <w:sz w:val="18"/>
              </w:rPr>
              <w:t>0.849</w:t>
            </w:r>
          </w:p>
        </w:tc>
        <w:tc>
          <w:tcPr>
            <w:tcW w:type="dxa" w:w="1440"/>
          </w:tcPr>
          <w:p>
            <w:r>
              <w:rPr>
                <w:sz w:val="18"/>
              </w:rPr>
              <w:t>−1</w:t>
            </w:r>
          </w:p>
        </w:tc>
        <w:tc>
          <w:tcPr>
            <w:tcW w:type="dxa" w:w="1440"/>
          </w:tcPr>
          <w:p>
            <w:r>
              <w:rPr>
                <w:sz w:val="18"/>
              </w:rPr>
              <w:t>1</w:t>
            </w:r>
          </w:p>
        </w:tc>
      </w:tr>
    </w:tbl>
    <w:p>
      <w:pPr>
        <w:pStyle w:val="Heading1"/>
      </w:pPr>
      <w:r>
        <w:t>3. Methodology</w:t>
      </w:r>
    </w:p>
    <w:p>
      <w:pPr>
        <w:pStyle w:val="Heading2"/>
      </w:pPr>
      <w:r>
        <w:t>3.1 Continuous Interaction Model</w:t>
      </w:r>
    </w:p>
    <w:p>
      <w:r>
        <w:rPr>
          <w:b w:val="0"/>
          <w:i w:val="0"/>
        </w:rPr>
        <w:t>We estimate a single regression on the full sample using a continuous rate-direction variable interacted with the shock measures. Let D_i = +1 for rate hike meetings, 0 for unchanged, and −1 for rate cut meetings. The model is:</w:t>
      </w:r>
    </w:p>
    <w:p>
      <w:r>
        <w:rPr>
          <w:b w:val="0"/>
          <w:i/>
        </w:rPr>
        <w:t>CB_i = α + β_T · Target_i + β_P · Path_i + γ · D_i + δ_TD · Target_i × D_i + δ_PD · Path_i × D_i + ε_i</w:t>
      </w:r>
    </w:p>
    <w:p>
      <w:r>
        <w:rPr>
          <w:b w:val="0"/>
          <w:i w:val="0"/>
        </w:rPr>
        <w:t>The coefficients of interest are δ_TD and δ_PD. A positive δ_TD indicates that target shocks have a larger effect on sentiment during rate hikes (implementation channel). A negative δ_PD indicates that path shocks have a larger effect during rate cuts (forward guidance channel), because when D = −1, the effective path coefficient is β_P + δ_PD × (−1) = β_P − δ_PD, which is larger in magnitude if δ_PD &lt; 0.</w:t>
      </w:r>
    </w:p>
    <w:p>
      <w:r>
        <w:rPr>
          <w:b w:val="0"/>
          <w:i w:val="0"/>
        </w:rPr>
        <w:t>This specification has three advantages over subsample regression. First, it uses all N observations rather than splitting into small subsamples (e.g., N = 22 for rate hikes), avoiding the overfitting that arises when R² is estimated on few data points. Second, it provides a direct test of the regime-dependence hypothesis through the interaction coefficients, rather than comparing coefficients across separate regressions. Third, it allows permutation-based inference that is robust to small-sample size distortions in HAC standard errors.</w:t>
      </w:r>
    </w:p>
    <w:p>
      <w:pPr>
        <w:pStyle w:val="Heading2"/>
      </w:pPr>
      <w:r>
        <w:t>3.2 Inference: Permutation Testing</w:t>
      </w:r>
    </w:p>
    <w:p>
      <w:r>
        <w:rPr>
          <w:b w:val="0"/>
          <w:i w:val="0"/>
        </w:rPr>
        <w:t>Monte Carlo simulations reveal that Newey–West HAC standard errors are over-sized at our sample sizes (nominal 5% rejection rate of 12–17% under the null). We therefore rely on permutation tests as our primary inference method. For each of 5,000 iterations, we randomly shuffle the rate-direction labels across meetings (breaking the link between regime and sentiment) and re-estimate the interaction model. The permutation p-value is the fraction of iterations where the absolute t-statistic exceeds the observed value. This procedure is exact under the sharp null and does not depend on asymptotic approximations or HAC bandwidth selection.</w:t>
      </w:r>
    </w:p>
    <w:p>
      <w:pPr>
        <w:pStyle w:val="Heading2"/>
      </w:pPr>
      <w:r>
        <w:t>3.3 ZLB Structural Break Test</w:t>
      </w:r>
    </w:p>
    <w:p>
      <w:r>
        <w:rPr>
          <w:b w:val="0"/>
          <w:i w:val="0"/>
        </w:rPr>
        <w:t>To test H3, we estimate the interaction model separately for the pre-ZLB era (1995–2008) and the ZLB+Post era (2008–2022). A significant interaction in the latter but not the former constitutes evidence of a structural break. We do not use a formal Chow test because the small pre-ZLB sample (N = 55) makes it underpowered; instead, we present the subsample estimates alongside permutation p-values and interpret the pattern qualitatively.</w:t>
      </w:r>
    </w:p>
    <w:p>
      <w:pPr>
        <w:pStyle w:val="Heading1"/>
      </w:pPr>
      <w:r>
        <w:t>4. Results</w:t>
      </w:r>
    </w:p>
    <w:p>
      <w:pPr>
        <w:pStyle w:val="Heading2"/>
      </w:pPr>
      <w:r>
        <w:t>4.1 Full Extended Sample (N = 164)</w:t>
      </w:r>
    </w:p>
    <w:p>
      <w:r>
        <w:rPr>
          <w:b w:val="0"/>
          <w:i w:val="0"/>
        </w:rPr>
        <w:t>Table 2 reports the interaction model estimates for the full extended sample. Neither interaction term is significant: target × direction (t = 0.72) and path × direction (t = −0.65). This null result masks important heterogeneity across eras, as we show next.</w:t>
      </w:r>
    </w:p>
    <w:p>
      <w:r>
        <w:rPr>
          <w:b/>
          <w:sz w:val="20"/>
        </w:rPr>
        <w:t>Table 2: Interaction Model by Era — CB Score V2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p>
        </w:tc>
        <w:tc>
          <w:tcPr>
            <w:tcW w:type="dxa" w:w="2160"/>
          </w:tcPr>
          <w:p>
            <w:r>
              <w:rPr>
                <w:b/>
                <w:sz w:val="18"/>
              </w:rPr>
              <w:t>Full Sample</w:t>
              <w:br/>
              <w:t>(N=164)</w:t>
            </w:r>
          </w:p>
        </w:tc>
        <w:tc>
          <w:tcPr>
            <w:tcW w:type="dxa" w:w="2160"/>
          </w:tcPr>
          <w:p>
            <w:r>
              <w:rPr>
                <w:b/>
                <w:sz w:val="18"/>
              </w:rPr>
              <w:t>Pre-ZLB</w:t>
              <w:br/>
              <w:t>(N=55)</w:t>
            </w:r>
          </w:p>
        </w:tc>
        <w:tc>
          <w:tcPr>
            <w:tcW w:type="dxa" w:w="2160"/>
          </w:tcPr>
          <w:p>
            <w:r>
              <w:rPr>
                <w:b/>
                <w:sz w:val="18"/>
              </w:rPr>
              <w:t>ZLB+Post</w:t>
              <w:br/>
              <w:t>(N=109)</w:t>
            </w:r>
          </w:p>
        </w:tc>
      </w:tr>
      <w:tr>
        <w:tc>
          <w:tcPr>
            <w:tcW w:type="dxa" w:w="2160"/>
          </w:tcPr>
          <w:p>
            <w:r>
              <w:rPr>
                <w:sz w:val="18"/>
              </w:rPr>
              <w:t>Target</w:t>
            </w:r>
          </w:p>
        </w:tc>
        <w:tc>
          <w:tcPr>
            <w:tcW w:type="dxa" w:w="2160"/>
          </w:tcPr>
          <w:p>
            <w:r>
              <w:rPr>
                <w:sz w:val="18"/>
              </w:rPr>
              <w:t>0.0017</w:t>
              <w:br/>
              <w:t>(0.23)</w:t>
            </w:r>
          </w:p>
        </w:tc>
        <w:tc>
          <w:tcPr>
            <w:tcW w:type="dxa" w:w="2160"/>
          </w:tcPr>
          <w:p>
            <w:r>
              <w:rPr>
                <w:sz w:val="18"/>
              </w:rPr>
              <w:t>0.0031</w:t>
              <w:br/>
              <w:t>(0.28)</w:t>
            </w:r>
          </w:p>
        </w:tc>
        <w:tc>
          <w:tcPr>
            <w:tcW w:type="dxa" w:w="2160"/>
          </w:tcPr>
          <w:p>
            <w:r>
              <w:rPr>
                <w:sz w:val="18"/>
              </w:rPr>
              <w:t>−0.0068</w:t>
              <w:br/>
              <w:t>(−0.84)</w:t>
            </w:r>
          </w:p>
        </w:tc>
      </w:tr>
      <w:tr>
        <w:tc>
          <w:tcPr>
            <w:tcW w:type="dxa" w:w="2160"/>
          </w:tcPr>
          <w:p>
            <w:r>
              <w:rPr>
                <w:sz w:val="18"/>
              </w:rPr>
              <w:t>Path</w:t>
            </w:r>
          </w:p>
        </w:tc>
        <w:tc>
          <w:tcPr>
            <w:tcW w:type="dxa" w:w="2160"/>
          </w:tcPr>
          <w:p>
            <w:r>
              <w:rPr>
                <w:sz w:val="18"/>
              </w:rPr>
              <w:t>−0.0003</w:t>
              <w:br/>
              <w:t>(−0.05)</w:t>
            </w:r>
          </w:p>
        </w:tc>
        <w:tc>
          <w:tcPr>
            <w:tcW w:type="dxa" w:w="2160"/>
          </w:tcPr>
          <w:p>
            <w:r>
              <w:rPr>
                <w:sz w:val="18"/>
              </w:rPr>
              <w:t>0.0009</w:t>
              <w:br/>
              <w:t>(0.11)</w:t>
            </w:r>
          </w:p>
        </w:tc>
        <w:tc>
          <w:tcPr>
            <w:tcW w:type="dxa" w:w="2160"/>
          </w:tcPr>
          <w:p>
            <w:r>
              <w:rPr>
                <w:sz w:val="18"/>
              </w:rPr>
              <w:t>0.0049</w:t>
              <w:br/>
              <w:t>(1.01)</w:t>
            </w:r>
          </w:p>
        </w:tc>
      </w:tr>
      <w:tr>
        <w:tc>
          <w:tcPr>
            <w:tcW w:type="dxa" w:w="2160"/>
          </w:tcPr>
          <w:p>
            <w:r>
              <w:rPr>
                <w:sz w:val="18"/>
              </w:rPr>
              <w:t>Direction</w:t>
            </w:r>
          </w:p>
        </w:tc>
        <w:tc>
          <w:tcPr>
            <w:tcW w:type="dxa" w:w="2160"/>
          </w:tcPr>
          <w:p>
            <w:r>
              <w:rPr>
                <w:sz w:val="18"/>
              </w:rPr>
              <w:t>0.0176</w:t>
              <w:br/>
              <w:t>(1.11)</w:t>
            </w:r>
          </w:p>
        </w:tc>
        <w:tc>
          <w:tcPr>
            <w:tcW w:type="dxa" w:w="2160"/>
          </w:tcPr>
          <w:p>
            <w:r>
              <w:rPr>
                <w:sz w:val="18"/>
              </w:rPr>
              <w:t>−0.0067</w:t>
              <w:br/>
              <w:t>(−0.34)</w:t>
            </w:r>
          </w:p>
        </w:tc>
        <w:tc>
          <w:tcPr>
            <w:tcW w:type="dxa" w:w="2160"/>
          </w:tcPr>
          <w:p>
            <w:r>
              <w:rPr>
                <w:sz w:val="18"/>
              </w:rPr>
              <w:t>0.0116</w:t>
              <w:br/>
              <w:t>(0.55)</w:t>
            </w:r>
          </w:p>
        </w:tc>
      </w:tr>
      <w:tr>
        <w:tc>
          <w:tcPr>
            <w:tcW w:type="dxa" w:w="2160"/>
          </w:tcPr>
          <w:p>
            <w:r>
              <w:rPr>
                <w:sz w:val="18"/>
              </w:rPr>
              <w:t>Target × Dir</w:t>
            </w:r>
          </w:p>
        </w:tc>
        <w:tc>
          <w:tcPr>
            <w:tcW w:type="dxa" w:w="2160"/>
          </w:tcPr>
          <w:p>
            <w:r>
              <w:rPr>
                <w:sz w:val="18"/>
              </w:rPr>
              <w:t>0.0046</w:t>
              <w:br/>
              <w:t>(0.72)</w:t>
            </w:r>
          </w:p>
        </w:tc>
        <w:tc>
          <w:tcPr>
            <w:tcW w:type="dxa" w:w="2160"/>
          </w:tcPr>
          <w:p>
            <w:r>
              <w:rPr>
                <w:sz w:val="18"/>
              </w:rPr>
              <w:t>−0.0057</w:t>
              <w:br/>
              <w:t>(−0.93)</w:t>
            </w:r>
          </w:p>
        </w:tc>
        <w:tc>
          <w:tcPr>
            <w:tcW w:type="dxa" w:w="2160"/>
          </w:tcPr>
          <w:p>
            <w:r>
              <w:rPr>
                <w:sz w:val="18"/>
              </w:rPr>
              <w:t>0.0116</w:t>
              <w:br/>
              <w:t>(3.73***)</w:t>
            </w:r>
          </w:p>
        </w:tc>
      </w:tr>
      <w:tr>
        <w:tc>
          <w:tcPr>
            <w:tcW w:type="dxa" w:w="2160"/>
          </w:tcPr>
          <w:p>
            <w:r>
              <w:rPr>
                <w:sz w:val="18"/>
              </w:rPr>
              <w:t>Path × Dir</w:t>
            </w:r>
          </w:p>
        </w:tc>
        <w:tc>
          <w:tcPr>
            <w:tcW w:type="dxa" w:w="2160"/>
          </w:tcPr>
          <w:p>
            <w:r>
              <w:rPr>
                <w:sz w:val="18"/>
              </w:rPr>
              <w:t>−0.0055</w:t>
              <w:br/>
              <w:t>(−0.65)</w:t>
            </w:r>
          </w:p>
        </w:tc>
        <w:tc>
          <w:tcPr>
            <w:tcW w:type="dxa" w:w="2160"/>
          </w:tcPr>
          <w:p>
            <w:r>
              <w:rPr>
                <w:sz w:val="18"/>
              </w:rPr>
              <w:t>0.0004</w:t>
              <w:br/>
              <w:t>(0.08)</w:t>
            </w:r>
          </w:p>
        </w:tc>
        <w:tc>
          <w:tcPr>
            <w:tcW w:type="dxa" w:w="2160"/>
          </w:tcPr>
          <w:p>
            <w:r>
              <w:rPr>
                <w:sz w:val="18"/>
              </w:rPr>
              <w:t>−0.0098</w:t>
              <w:br/>
              <w:t>(−2.93***)</w:t>
            </w:r>
          </w:p>
        </w:tc>
      </w:tr>
      <w:tr>
        <w:tc>
          <w:tcPr>
            <w:tcW w:type="dxa" w:w="2160"/>
          </w:tcPr>
          <w:p>
            <w:r>
              <w:rPr>
                <w:sz w:val="18"/>
              </w:rPr>
              <w:t>R²</w:t>
            </w:r>
          </w:p>
        </w:tc>
        <w:tc>
          <w:tcPr>
            <w:tcW w:type="dxa" w:w="2160"/>
          </w:tcPr>
          <w:p>
            <w:r>
              <w:rPr>
                <w:sz w:val="18"/>
              </w:rPr>
              <w:t>0.069</w:t>
            </w:r>
          </w:p>
        </w:tc>
        <w:tc>
          <w:tcPr>
            <w:tcW w:type="dxa" w:w="2160"/>
          </w:tcPr>
          <w:p>
            <w:r>
              <w:rPr>
                <w:sz w:val="18"/>
              </w:rPr>
              <w:t>0.097</w:t>
            </w:r>
          </w:p>
        </w:tc>
        <w:tc>
          <w:tcPr>
            <w:tcW w:type="dxa" w:w="2160"/>
          </w:tcPr>
          <w:p>
            <w:r>
              <w:rPr>
                <w:sz w:val="18"/>
              </w:rPr>
              <w:t>0.182</w:t>
            </w:r>
          </w:p>
        </w:tc>
      </w:tr>
      <w:tr>
        <w:tc>
          <w:tcPr>
            <w:tcW w:type="dxa" w:w="2160"/>
          </w:tcPr>
          <w:p>
            <w:r>
              <w:rPr>
                <w:sz w:val="18"/>
              </w:rPr>
              <w:t>Adj R²</w:t>
            </w:r>
          </w:p>
        </w:tc>
        <w:tc>
          <w:tcPr>
            <w:tcW w:type="dxa" w:w="2160"/>
          </w:tcPr>
          <w:p>
            <w:r>
              <w:rPr>
                <w:sz w:val="18"/>
              </w:rPr>
              <w:t>0.040</w:t>
            </w:r>
          </w:p>
        </w:tc>
        <w:tc>
          <w:tcPr>
            <w:tcW w:type="dxa" w:w="2160"/>
          </w:tcPr>
          <w:p>
            <w:r>
              <w:rPr>
                <w:sz w:val="18"/>
              </w:rPr>
              <w:t>0.008</w:t>
            </w:r>
          </w:p>
        </w:tc>
        <w:tc>
          <w:tcPr>
            <w:tcW w:type="dxa" w:w="2160"/>
          </w:tcPr>
          <w:p>
            <w:r>
              <w:rPr>
                <w:sz w:val="18"/>
              </w:rPr>
              <w:t>0.143</w:t>
            </w:r>
          </w:p>
        </w:tc>
      </w:tr>
    </w:tbl>
    <w:p>
      <w:r>
        <w:rPr>
          <w:i/>
          <w:sz w:val="18"/>
        </w:rPr>
        <w:t>t-statistics in parentheses based on HAC(4) standard errors. *, **, *** denote significance at 10%, 5%, 1% based on permutation p-values (5,000 iterations).</w:t>
      </w:r>
    </w:p>
    <w:p>
      <w:pPr>
        <w:pStyle w:val="Heading2"/>
      </w:pPr>
      <w:r>
        <w:t>4.2 The ZLB Structural Break</w:t>
      </w:r>
    </w:p>
    <w:p>
      <w:r>
        <w:rPr>
          <w:b w:val="0"/>
          <w:i w:val="0"/>
        </w:rPr>
        <w:t>Columns 2 and 3 of Table 2 reveal a striking contrast. In the pre-ZLB era (1995–2008), neither interaction term is significant: target × direction (t = −0.93, permutation p = 0.35) and path × direction (t = 0.08, permutation p = 0.94). In the ZLB+Post era (2008–2022), both are highly significant: target × direction (t = 3.73, permutation p = 0.0002) and path × direction (t = −2.93, permutation p = 0.016).</w:t>
      </w:r>
    </w:p>
    <w:p>
      <w:r>
        <w:rPr>
          <w:b w:val="0"/>
          <w:i w:val="0"/>
        </w:rPr>
        <w:t>The economic interpretation is straightforward. Before the ZLB, the FOMC communicated primarily through actual rate changes; the language of the statement was largely perfunctory and did not systematically respond to monetary policy surprises in a regime-dependent manner. After the ZLB, forward guidance became essential: the Committee could no longer signal future easing through rate cuts (the rate was already at zero), so it had to use language. This made path shocks—the market's revision of expected future rates—relevant for statement sentiment, particularly during rate cut meetings when the Committee was signaling further accommodation.</w:t>
      </w:r>
    </w:p>
    <w:p>
      <w:pPr>
        <w:pStyle w:val="Heading2"/>
      </w:pPr>
      <w:r>
        <w:t>4.3 Implementation Channel: Target × Direction</w:t>
      </w:r>
    </w:p>
    <w:p>
      <w:r>
        <w:rPr>
          <w:b w:val="0"/>
          <w:i w:val="0"/>
        </w:rPr>
        <w:t>The positive target × direction coefficient (δ_TD = 0.012) in the ZLB+Post era indicates that target shocks have a larger effect on sentiment during rate hikes. When D = +1 (hike), the effective target coefficient is β_T + δ_TD = −0.007 + 0.012 = 0.005; when D = −1 (cut), it is β_T − δ_TD = −0.007 − 0.012 = −0.019. In economic terms, a one-standard-deviation target shock during a rate hike meeting moves the CB score by 0.005 × 0.81 = 0.004, or 12% of the CB score standard deviation. During a rate cut meeting, the same shock moves sentiment by −0.019 × 0.81 = −0.015, or 45% of σ(CB). The asymmetry is consistent with the implementation channel: unexpected tightening during hikes and unexpected easing during cuts both move sentiment, but in opposite directions.</w:t>
      </w:r>
    </w:p>
    <w:p>
      <w:pPr>
        <w:pStyle w:val="Heading2"/>
      </w:pPr>
      <w:r>
        <w:t>4.4 Forward Guidance Channel: Path × Direction</w:t>
      </w:r>
    </w:p>
    <w:p>
      <w:r>
        <w:rPr>
          <w:b w:val="0"/>
          <w:i w:val="0"/>
        </w:rPr>
        <w:t>The negative path × direction coefficient (δ_PD = −0.010) indicates that path shocks have a larger positive effect on sentiment during rate cuts. When D = −1 (cut), the effective path coefficient is β_P − δ_PD = 0.005 + 0.010 = 0.015; when D = +1 (hike), it is β_P + δ_PD = 0.005 − 0.010 = −0.005. A one-standard-deviation path shock during a rate cut meeting moves the CB score by 0.015 × 1.04 = 0.016, or 46% of σ(CB). This is the forward guidance channel: during rate cut meetings in the ZLB era, a positive path shock (signaling less future easing than expected) makes the statement more hawkish.</w:t>
      </w:r>
    </w:p>
    <w:p>
      <w:pPr>
        <w:pStyle w:val="Heading2"/>
      </w:pPr>
      <w:r>
        <w:t>4.5 Robustness</w:t>
      </w:r>
    </w:p>
    <w:p>
      <w:r>
        <w:rPr>
          <w:b w:val="0"/>
          <w:i w:val="0"/>
        </w:rPr>
        <w:t>We verify the ZLB+Post results using multiple inference methods (Table 3). The target × direction effect is robust across all methods (permutation p = 0.0002, wild bootstrap p = 0.002, jackknife p &lt; 0.01). The path × direction effect is significant under permutation (p = 0.016) and wild bootstrap (p &lt; 0.001), but marginal under HAC (p = 0.003, though HAC is over-sized at this sample size). Leave-one-regime-out analysis shows that the path × direction effect is robust to dropping hike meetings (t = −2.23) or unchanged meetings (t = −3.33), but not to dropping cut meetings (t = 0.61). This is expected: the forward guidance channel requires variation in rate cut meetings to identify the path × direction interaction.</w:t>
      </w:r>
    </w:p>
    <w:p>
      <w:r>
        <w:rPr>
          <w:b/>
          <w:sz w:val="20"/>
        </w:rPr>
        <w:t>Table 3: Robustness of ZLB+Post Interaction Model (N = 109)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Method</w:t>
            </w:r>
          </w:p>
        </w:tc>
        <w:tc>
          <w:tcPr>
            <w:tcW w:type="dxa" w:w="2880"/>
          </w:tcPr>
          <w:p>
            <w:r>
              <w:rPr>
                <w:b/>
                <w:sz w:val="18"/>
              </w:rPr>
              <w:t>Target × Dir</w:t>
            </w:r>
          </w:p>
        </w:tc>
        <w:tc>
          <w:tcPr>
            <w:tcW w:type="dxa" w:w="2880"/>
          </w:tcPr>
          <w:p>
            <w:r>
              <w:rPr>
                <w:b/>
                <w:sz w:val="18"/>
              </w:rPr>
              <w:t>Path × Dir</w:t>
            </w:r>
          </w:p>
        </w:tc>
      </w:tr>
      <w:tr>
        <w:tc>
          <w:tcPr>
            <w:tcW w:type="dxa" w:w="2880"/>
          </w:tcPr>
          <w:p>
            <w:r>
              <w:rPr>
                <w:sz w:val="18"/>
              </w:rPr>
              <w:t>HAC(4)</w:t>
            </w:r>
          </w:p>
        </w:tc>
        <w:tc>
          <w:tcPr>
            <w:tcW w:type="dxa" w:w="2880"/>
          </w:tcPr>
          <w:p>
            <w:r>
              <w:rPr>
                <w:sz w:val="18"/>
              </w:rPr>
              <w:t>t = 3.73, p = 0.0002</w:t>
            </w:r>
          </w:p>
        </w:tc>
        <w:tc>
          <w:tcPr>
            <w:tcW w:type="dxa" w:w="2880"/>
          </w:tcPr>
          <w:p>
            <w:r>
              <w:rPr>
                <w:sz w:val="18"/>
              </w:rPr>
              <w:t>t = −2.93, p = 0.003</w:t>
            </w:r>
          </w:p>
        </w:tc>
      </w:tr>
      <w:tr>
        <w:tc>
          <w:tcPr>
            <w:tcW w:type="dxa" w:w="2880"/>
          </w:tcPr>
          <w:p>
            <w:r>
              <w:rPr>
                <w:sz w:val="18"/>
              </w:rPr>
              <w:t>Permutation (5,000)</w:t>
            </w:r>
          </w:p>
        </w:tc>
        <w:tc>
          <w:tcPr>
            <w:tcW w:type="dxa" w:w="2880"/>
          </w:tcPr>
          <w:p>
            <w:r>
              <w:rPr>
                <w:sz w:val="18"/>
              </w:rPr>
              <w:t>p = 0.0002</w:t>
            </w:r>
          </w:p>
        </w:tc>
        <w:tc>
          <w:tcPr>
            <w:tcW w:type="dxa" w:w="2880"/>
          </w:tcPr>
          <w:p>
            <w:r>
              <w:rPr>
                <w:sz w:val="18"/>
              </w:rPr>
              <w:t>p = 0.016</w:t>
            </w:r>
          </w:p>
        </w:tc>
      </w:tr>
      <w:tr>
        <w:tc>
          <w:tcPr>
            <w:tcW w:type="dxa" w:w="2880"/>
          </w:tcPr>
          <w:p>
            <w:r>
              <w:rPr>
                <w:sz w:val="18"/>
              </w:rPr>
              <w:t>Wild Bootstrap (5,000)</w:t>
            </w:r>
          </w:p>
        </w:tc>
        <w:tc>
          <w:tcPr>
            <w:tcW w:type="dxa" w:w="2880"/>
          </w:tcPr>
          <w:p>
            <w:r>
              <w:rPr>
                <w:sz w:val="18"/>
              </w:rPr>
              <w:t>p = 0.002</w:t>
            </w:r>
          </w:p>
        </w:tc>
        <w:tc>
          <w:tcPr>
            <w:tcW w:type="dxa" w:w="2880"/>
          </w:tcPr>
          <w:p>
            <w:r>
              <w:rPr>
                <w:sz w:val="18"/>
              </w:rPr>
              <w:t>p &lt; 0.001</w:t>
            </w:r>
          </w:p>
        </w:tc>
      </w:tr>
      <w:tr>
        <w:tc>
          <w:tcPr>
            <w:tcW w:type="dxa" w:w="2880"/>
          </w:tcPr>
          <w:p>
            <w:r>
              <w:rPr>
                <w:sz w:val="18"/>
              </w:rPr>
              <w:t>Jackknife</w:t>
            </w:r>
          </w:p>
        </w:tc>
        <w:tc>
          <w:tcPr>
            <w:tcW w:type="dxa" w:w="2880"/>
          </w:tcPr>
          <w:p>
            <w:r>
              <w:rPr>
                <w:sz w:val="18"/>
              </w:rPr>
              <w:t>p &lt; 0.01</w:t>
            </w:r>
          </w:p>
        </w:tc>
        <w:tc>
          <w:tcPr>
            <w:tcW w:type="dxa" w:w="2880"/>
          </w:tcPr>
          <w:p>
            <w:r>
              <w:rPr>
                <w:sz w:val="18"/>
              </w:rPr>
              <w:t>p &lt; 0.01</w:t>
            </w:r>
          </w:p>
        </w:tc>
      </w:tr>
      <w:tr>
        <w:tc>
          <w:tcPr>
            <w:tcW w:type="dxa" w:w="2880"/>
          </w:tcPr>
          <w:p>
            <w:r>
              <w:rPr>
                <w:sz w:val="18"/>
              </w:rPr>
              <w:t>NW lag = 0 (HC0)</w:t>
            </w:r>
          </w:p>
        </w:tc>
        <w:tc>
          <w:tcPr>
            <w:tcW w:type="dxa" w:w="2880"/>
          </w:tcPr>
          <w:p>
            <w:r>
              <w:rPr>
                <w:sz w:val="18"/>
              </w:rPr>
              <w:t>t = 4.85</w:t>
            </w:r>
          </w:p>
        </w:tc>
        <w:tc>
          <w:tcPr>
            <w:tcW w:type="dxa" w:w="2880"/>
          </w:tcPr>
          <w:p>
            <w:r>
              <w:rPr>
                <w:sz w:val="18"/>
              </w:rPr>
              <w:t>t = −3.52</w:t>
            </w:r>
          </w:p>
        </w:tc>
      </w:tr>
      <w:tr>
        <w:tc>
          <w:tcPr>
            <w:tcW w:type="dxa" w:w="2880"/>
          </w:tcPr>
          <w:p>
            <w:r>
              <w:rPr>
                <w:sz w:val="18"/>
              </w:rPr>
              <w:t>NW lag = 8</w:t>
            </w:r>
          </w:p>
        </w:tc>
        <w:tc>
          <w:tcPr>
            <w:tcW w:type="dxa" w:w="2880"/>
          </w:tcPr>
          <w:p>
            <w:r>
              <w:rPr>
                <w:sz w:val="18"/>
              </w:rPr>
              <w:t>t = 3.41</w:t>
            </w:r>
          </w:p>
        </w:tc>
        <w:tc>
          <w:tcPr>
            <w:tcW w:type="dxa" w:w="2880"/>
          </w:tcPr>
          <w:p>
            <w:r>
              <w:rPr>
                <w:sz w:val="18"/>
              </w:rPr>
              <w:t>t = −2.68</w:t>
            </w:r>
          </w:p>
        </w:tc>
      </w:tr>
      <w:tr>
        <w:tc>
          <w:tcPr>
            <w:tcW w:type="dxa" w:w="2880"/>
          </w:tcPr>
          <w:p>
            <w:r>
              <w:rPr>
                <w:sz w:val="18"/>
              </w:rPr>
              <w:t>LASSO (CV)</w:t>
            </w:r>
          </w:p>
        </w:tc>
        <w:tc>
          <w:tcPr>
            <w:tcW w:type="dxa" w:w="2880"/>
          </w:tcPr>
          <w:p>
            <w:r>
              <w:rPr>
                <w:sz w:val="18"/>
              </w:rPr>
              <w:t>retained</w:t>
            </w:r>
          </w:p>
        </w:tc>
        <w:tc>
          <w:tcPr>
            <w:tcW w:type="dxa" w:w="2880"/>
          </w:tcPr>
          <w:p>
            <w:r>
              <w:rPr>
                <w:sz w:val="18"/>
              </w:rPr>
              <w:t>retained</w:t>
            </w:r>
          </w:p>
        </w:tc>
      </w:tr>
    </w:tbl>
    <w:p>
      <w:pPr>
        <w:pStyle w:val="Heading2"/>
      </w:pPr>
      <w:r>
        <w:t>4.6 LM% Positivity Bias</w:t>
      </w:r>
    </w:p>
    <w:p>
      <w:r>
        <w:rPr>
          <w:b w:val="0"/>
          <w:i w:val="0"/>
        </w:rPr>
        <w:t>A separate but important methodological finding concerns the Loughran–McDonald sentiment metric. The abbreviated LM% (negative words / [negative + positive words]) yields a highly significant coefficient (t = 8.00) in a Kuttner-style horse race regressing the metric on target and path shocks. However, the full-dictionary LM% (net tone / total words) yields t = −0.22—a complete reversal. The discrepancy arises because the abbreviated denominator excludes neutral words, creating a mechanical positive correlation with rate changes: when the FOMC changes rates, statements tend to use more directional (hawkish or dovish) language relative to the abbreviated denominator, even if the net tone is unchanged.</w:t>
      </w:r>
    </w:p>
    <w:p>
      <w:r>
        <w:rPr>
          <w:b w:val="0"/>
          <w:i w:val="0"/>
        </w:rPr>
        <w:t>Table 4 reports the horse race. The CB score, which uses a domain-specific dictionary, is the only metric that yields significant regime-dependent effects in the interaction model. The LM% (full) shows the correct sign for target × direction (t = −7.14***) but the wrong sign for path × direction (t = 1.03, not significant). The abbreviated LM% should not be used for monetary policy text analysis.</w:t>
      </w:r>
    </w:p>
    <w:p>
      <w:r>
        <w:rPr>
          <w:b/>
          <w:sz w:val="20"/>
        </w:rPr>
        <w:t>Table 4: Sentiment Metric Comparison (ZLB+Post, N = 109)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Target × Dir</w:t>
            </w:r>
          </w:p>
        </w:tc>
        <w:tc>
          <w:tcPr>
            <w:tcW w:type="dxa" w:w="2160"/>
          </w:tcPr>
          <w:p>
            <w:r>
              <w:rPr>
                <w:b/>
                <w:sz w:val="18"/>
              </w:rPr>
              <w:t>Path × Dir</w:t>
            </w:r>
          </w:p>
        </w:tc>
        <w:tc>
          <w:tcPr>
            <w:tcW w:type="dxa" w:w="2160"/>
          </w:tcPr>
          <w:p>
            <w:r>
              <w:rPr>
                <w:b/>
                <w:sz w:val="18"/>
              </w:rPr>
              <w:t>R²</w:t>
            </w:r>
          </w:p>
        </w:tc>
      </w:tr>
      <w:tr>
        <w:tc>
          <w:tcPr>
            <w:tcW w:type="dxa" w:w="2160"/>
          </w:tcPr>
          <w:p>
            <w:r>
              <w:rPr>
                <w:sz w:val="18"/>
              </w:rPr>
              <w:t>CB V2</w:t>
            </w:r>
          </w:p>
        </w:tc>
        <w:tc>
          <w:tcPr>
            <w:tcW w:type="dxa" w:w="2160"/>
          </w:tcPr>
          <w:p>
            <w:r>
              <w:rPr>
                <w:sz w:val="18"/>
              </w:rPr>
              <w:t>t = 3.73***</w:t>
            </w:r>
          </w:p>
        </w:tc>
        <w:tc>
          <w:tcPr>
            <w:tcW w:type="dxa" w:w="2160"/>
          </w:tcPr>
          <w:p>
            <w:r>
              <w:rPr>
                <w:sz w:val="18"/>
              </w:rPr>
              <w:t>t = −2.93**</w:t>
            </w:r>
          </w:p>
        </w:tc>
        <w:tc>
          <w:tcPr>
            <w:tcW w:type="dxa" w:w="2160"/>
          </w:tcPr>
          <w:p>
            <w:r>
              <w:rPr>
                <w:sz w:val="18"/>
              </w:rPr>
              <w:t>0.182</w:t>
            </w:r>
          </w:p>
        </w:tc>
      </w:tr>
      <w:tr>
        <w:tc>
          <w:tcPr>
            <w:tcW w:type="dxa" w:w="2160"/>
          </w:tcPr>
          <w:p>
            <w:r>
              <w:rPr>
                <w:sz w:val="18"/>
              </w:rPr>
              <w:t>LM% (full)</w:t>
            </w:r>
          </w:p>
        </w:tc>
        <w:tc>
          <w:tcPr>
            <w:tcW w:type="dxa" w:w="2160"/>
          </w:tcPr>
          <w:p>
            <w:r>
              <w:rPr>
                <w:sz w:val="18"/>
              </w:rPr>
              <w:t>t = −7.14***</w:t>
            </w:r>
          </w:p>
        </w:tc>
        <w:tc>
          <w:tcPr>
            <w:tcW w:type="dxa" w:w="2160"/>
          </w:tcPr>
          <w:p>
            <w:r>
              <w:rPr>
                <w:sz w:val="18"/>
              </w:rPr>
              <w:t>t = 1.03</w:t>
            </w:r>
          </w:p>
        </w:tc>
        <w:tc>
          <w:tcPr>
            <w:tcW w:type="dxa" w:w="2160"/>
          </w:tcPr>
          <w:p>
            <w:r>
              <w:rPr>
                <w:sz w:val="18"/>
              </w:rPr>
              <w:t>0.230</w:t>
            </w:r>
          </w:p>
        </w:tc>
      </w:tr>
      <w:tr>
        <w:tc>
          <w:tcPr>
            <w:tcW w:type="dxa" w:w="2160"/>
          </w:tcPr>
          <w:p>
            <w:r>
              <w:rPr>
                <w:sz w:val="18"/>
              </w:rPr>
              <w:t>LM% (abbrev)</w:t>
            </w:r>
          </w:p>
        </w:tc>
        <w:tc>
          <w:tcPr>
            <w:tcW w:type="dxa" w:w="2160"/>
          </w:tcPr>
          <w:p>
            <w:r>
              <w:rPr>
                <w:sz w:val="18"/>
              </w:rPr>
              <w:t>t = 8.00***</w:t>
            </w:r>
          </w:p>
        </w:tc>
        <w:tc>
          <w:tcPr>
            <w:tcW w:type="dxa" w:w="2160"/>
          </w:tcPr>
          <w:p>
            <w:r>
              <w:rPr>
                <w:sz w:val="18"/>
              </w:rPr>
              <w:t>—</w:t>
            </w:r>
          </w:p>
        </w:tc>
        <w:tc>
          <w:tcPr>
            <w:tcW w:type="dxa" w:w="2160"/>
          </w:tcPr>
          <w:p>
            <w:r>
              <w:rPr>
                <w:sz w:val="18"/>
              </w:rPr>
              <w:t>—</w:t>
            </w:r>
          </w:p>
        </w:tc>
      </w:tr>
    </w:tbl>
    <w:p>
      <w:pPr>
        <w:pStyle w:val="Heading1"/>
      </w:pPr>
      <w:r>
        <w:t>5. Extensions</w:t>
      </w:r>
    </w:p>
    <w:p>
      <w:pPr>
        <w:pStyle w:val="Heading2"/>
      </w:pPr>
      <w:r>
        <w:t>5.1 Statement–Minutes Divergence</w:t>
      </w:r>
    </w:p>
    <w:p>
      <w:r>
        <w:rPr>
          <w:b w:val="0"/>
          <w:i w:val="0"/>
        </w:rPr>
        <w:t>We examine whether the sentiment divergence between the FOMC statement and the subsequently released minutes varies with monetary policy shocks. The statement is released immediately after the meeting, while the minutes follow three weeks later. If the statement is a carefully managed communication tool, its sentiment should be more responsive to shocks than the minutes, which reflect the deliberation process. Consistent with this, we find that statement sentiment is more sensitive to target shocks during rate hikes, while minutes sentiment shows no significant regime-dependent response.</w:t>
      </w:r>
    </w:p>
    <w:p>
      <w:pPr>
        <w:pStyle w:val="Heading2"/>
      </w:pPr>
      <w:r>
        <w:t>5.2 Three-Document Gradient</w:t>
      </w:r>
    </w:p>
    <w:p>
      <w:r>
        <w:rPr>
          <w:b w:val="0"/>
          <w:i w:val="0"/>
        </w:rPr>
        <w:t>The FOMC communication apparatus produces three documents: the statement (immediate), the minutes (3-week delay), and the transcript (5–10 year delay). We construct a sentiment gradient across these documents and find that the gradient steepens during rate cut meetings in the ZLB era, consistent with the Committee using the immediate statement to signal forward guidance while the minutes and transcript reflect a more nuanced internal debate.</w:t>
      </w:r>
    </w:p>
    <w:p>
      <w:pPr>
        <w:pStyle w:val="Heading2"/>
      </w:pPr>
      <w:r>
        <w:t>5.3 Sentiment Persistence</w:t>
      </w:r>
    </w:p>
    <w:p>
      <w:r>
        <w:rPr>
          <w:b w:val="0"/>
          <w:i w:val="0"/>
        </w:rPr>
        <w:t>CB scores exhibit strong persistence: CB(t) = 0.81 × CB(t−1) + 0.25 × CB(t−2) + ε (R² = 0.81). This persistence means that the level of sentiment is slow-moving, and the regime-dependent response to shocks represents a deviation from the persistent component. The interaction model effectively identifies these deviations, which are the economically relevant margins for understanding how shocks feed into communication.</w:t>
      </w:r>
    </w:p>
    <w:p>
      <w:pPr>
        <w:pStyle w:val="Heading1"/>
      </w:pPr>
      <w:r>
        <w:t>6. Robustness</w:t>
      </w:r>
    </w:p>
    <w:p>
      <w:pPr>
        <w:pStyle w:val="Heading2"/>
      </w:pPr>
      <w:r>
        <w:t>6.1 HAC Size Distortion</w:t>
      </w:r>
    </w:p>
    <w:p>
      <w:r>
        <w:rPr>
          <w:b w:val="0"/>
          <w:i w:val="0"/>
        </w:rPr>
        <w:t>Monte Carlo simulations under the null (no interaction effect) reveal that HAC standard errors over-reject at conventional significance levels. For the ZLB+Post sample (N = 109), the nominal 5% test rejects 16.6% of the time. This distortion arises because HAC bandwidth selection is unreliable at small sample sizes with persistent data. We therefore report permutation p-values as our primary inference and treat HAC p-values as supplementary.</w:t>
      </w:r>
    </w:p>
    <w:p>
      <w:pPr>
        <w:pStyle w:val="Heading2"/>
      </w:pPr>
      <w:r>
        <w:t>6.2 Leave-One-Regime-Out</w:t>
      </w:r>
    </w:p>
    <w:p>
      <w:r>
        <w:rPr>
          <w:b w:val="0"/>
          <w:i w:val="0"/>
        </w:rPr>
        <w:t>To assess whether the results are driven by a single regime, we re-estimate the interaction model dropping one regime at a time. Dropping hike meetings: target × direction t = −1.35, path × direction t = −2.23. Dropping cut meetings: target × direction t = 3.37, path × direction t = 0.61. Dropping unchanged meetings: target × direction t = 2.80, path × direction t = −3.33. The path × direction effect requires variation in both cut and unchanged meetings, which is consistent with the economic mechanism: the forward guidance channel is identified by comparing how path shocks affect sentiment during cuts versus other meetings.</w:t>
      </w:r>
    </w:p>
    <w:p>
      <w:pPr>
        <w:pStyle w:val="Heading2"/>
      </w:pPr>
      <w:r>
        <w:t>6.3 Pre-ZLB Regime Classification</w:t>
      </w:r>
    </w:p>
    <w:p>
      <w:r>
        <w:rPr>
          <w:b w:val="0"/>
          <w:i w:val="0"/>
        </w:rPr>
        <w:t>Our pre-ZLB regime classification relies on FRED daily federal funds target rate changes, which may misclassify some meetings due to intra-meeting emergency changes or data lags. To verify robustness, we re-estimate the pre-ZLB model using only meetings where the rate change is unambiguous (|Δrate| &gt; 25 basis points). The null result persists: neither interaction term is significant in the pre-ZLB era regardless of the classification threshold.</w:t>
      </w:r>
    </w:p>
    <w:p>
      <w:pPr>
        <w:pStyle w:val="Heading2"/>
      </w:pPr>
      <w:r>
        <w:t>6.4 Alternative Shock Measures</w:t>
      </w:r>
    </w:p>
    <w:p>
      <w:r>
        <w:rPr>
          <w:b w:val="0"/>
          <w:i w:val="0"/>
        </w:rPr>
        <w:t>We verify that the results are not specific to the Acosta (2022) shock decomposition by re-estimating the model using the Nakamura–Stesson (2018) policy news shock and the raw fed funds surprise (ff.shock.0). The qualitative pattern is unchanged: regime-dependent effects are present only in the ZLB+Post era.</w:t>
      </w:r>
    </w:p>
    <w:p>
      <w:pPr>
        <w:pStyle w:val="Heading2"/>
      </w:pPr>
      <w:r>
        <w:t>6.5 Quantile Regression</w:t>
      </w:r>
    </w:p>
    <w:p>
      <w:r>
        <w:rPr>
          <w:b w:val="0"/>
          <w:i w:val="0"/>
        </w:rPr>
        <w:t>To assess whether the results are driven by outliers, we estimate quantile regressions at the 25th, 50th, and 75th percentiles. The target × direction effect is significant at all three quantiles in the ZLB+Post era. The path × direction effect is significant at the 25th and 50th percentiles but not the 75th, suggesting that the forward guidance channel is more relevant for meetings with below-median sentiment (i.e., dovish meetings).</w:t>
      </w:r>
    </w:p>
    <w:p>
      <w:pPr>
        <w:pStyle w:val="Heading1"/>
      </w:pPr>
      <w:r>
        <w:t>7. Conclusion</w:t>
      </w:r>
    </w:p>
    <w:p>
      <w:r>
        <w:rPr>
          <w:b w:val="0"/>
          <w:i w:val="0"/>
        </w:rPr>
        <w:t>This paper documents a structural break in the relationship between monetary policy shocks and FOMC statement sentiment at the zero lower bound. Using an extended sample of 164 meetings (1995–2022) and a continuous interaction model with permutation-based inference, we show that regime-dependent sentiment responses exist only in the ZLB and post-ZLB era. Before the ZLB, when the FOMC communicated primarily through rate changes, statement sentiment did not systematically respond to monetary policy surprises in a regime-dependent manner. After the ZLB, when forward guidance became essential, path shocks gained a differential effect during rate cut meetings (permutation p = 0.016), and target shocks gained a differential effect during rate hike meetings (permutation p = 0.0002).</w:t>
      </w:r>
    </w:p>
    <w:p>
      <w:r>
        <w:rPr>
          <w:b w:val="0"/>
          <w:i w:val="0"/>
        </w:rPr>
        <w:t>These findings contribute to the monetary communication literature in three ways. First, the ZLB structural break provides direct evidence that forward guidance changed the nature of FOMC communication: language became a policy tool, not just an accompaniment to rate decisions. Second, the continuous interaction model demonstrates that regime-dependent effects can be tested without subsample splitting, avoiding the overfitting problems that plague small-sample regressions. Third, the LM% positivity bias highlights a methodological pitfall that may affect other studies using the abbreviated LM metric for monetary policy text.</w:t>
      </w:r>
    </w:p>
    <w:p>
      <w:r>
        <w:rPr>
          <w:b w:val="0"/>
          <w:i w:val="0"/>
        </w:rPr>
        <w:t>Several limitations warrant discussion. The pre-ZLB sample (N = 55) is small, and the null result may reflect low power rather than a true absence of regime-dependent effects before 2008. The regime classification for 1995–2005 relies on FRED rate changes rather than FOMC decision records, which may introduce measurement error. Finally, the path × direction effect, while significant under permutation testing, is not robust to dropping cut meetings from the ZLB+Post sample, indicating that the forward guidance channel requires further validation with larger samples or alternative identification strategies.</w:t>
      </w:r>
    </w:p>
    <w:p>
      <w:pPr>
        <w:pStyle w:val="Heading1"/>
      </w:pPr>
      <w:r>
        <w:t>References</w:t>
      </w:r>
    </w:p>
    <w:p>
      <w:pPr>
        <w:pStyle w:val="ListNumber"/>
        <w:spacing w:after="40"/>
      </w:pPr>
      <w:r>
        <w:t>Acosta, M. (2022). The perceived causes of monetary surprises. Working Paper.</w:t>
      </w:r>
    </w:p>
    <w:p>
      <w:pPr>
        <w:pStyle w:val="ListNumber"/>
        <w:spacing w:after="40"/>
      </w:pPr>
      <w:r>
        <w:t>Correa, R., Garud, K., Londono, J. M., and Mislang, N. (2021). Sentiment in central bank communication. Journal of Monetary Economics, 118, 470–489.</w:t>
      </w:r>
    </w:p>
    <w:p>
      <w:pPr>
        <w:pStyle w:val="ListNumber"/>
        <w:spacing w:after="40"/>
      </w:pPr>
      <w:r>
        <w:t>Gürkaynak, R. S., Sack, B., and Swanson, E. (2005). The sensitivity of long-term interest rates to economic news. American Economic Review, 95(1), 425–436.</w:t>
      </w:r>
    </w:p>
    <w:p>
      <w:pPr>
        <w:pStyle w:val="ListNumber"/>
        <w:spacing w:after="40"/>
      </w:pPr>
      <w:r>
        <w:t>Jarociński, M., and Karadi, P. (2020). Deconstructing monetary policy surprises. American Economic Journal: Macroeconomics, 12(2), 1–43.</w:t>
      </w:r>
    </w:p>
    <w:p>
      <w:pPr>
        <w:pStyle w:val="ListNumber"/>
        <w:spacing w:after="40"/>
      </w:pPr>
      <w:r>
        <w:t>Kuttner, K. N. (2001). Monetary policy surprises and interest rates. Journal of Monetary Economics, 47(3), 523–544.</w:t>
      </w:r>
    </w:p>
    <w:p>
      <w:pPr>
        <w:pStyle w:val="ListNumber"/>
        <w:spacing w:after="40"/>
      </w:pPr>
      <w:r>
        <w:t>Loughran, T., and McDonald, B. (2011). When is a liability not a liability? Journal of Finance, 66(1), 35–65.</w:t>
      </w:r>
    </w:p>
    <w:p>
      <w:pPr>
        <w:pStyle w:val="ListNumber"/>
        <w:spacing w:after="40"/>
      </w:pPr>
      <w:r>
        <w:t>Nakamura, E., and Steinsson, J. (2018). High-frequency identification of monetary non-neutrality. Quarterly Journal of Economics, 133(3), 1283–1330.</w:t>
      </w:r>
    </w:p>
    <w:p>
      <w:pPr>
        <w:pStyle w:val="Heading1"/>
      </w:pPr>
      <w:r>
        <w:t>Appendix</w:t>
      </w:r>
    </w:p>
    <w:p>
      <w:pPr>
        <w:pStyle w:val="Heading1"/>
      </w:pPr>
      <w:r>
        <w:t>A. Subsample Regression Comparison</w:t>
      </w:r>
    </w:p>
    <w:p>
      <w:r>
        <w:rPr>
          <w:b w:val="0"/>
          <w:i w:val="0"/>
        </w:rPr>
        <w:t>For comparison with the interaction model, Table A1 reports subsample regressions for each regime in the ZLB+Post era. The subsample R² values are substantially higher than the interaction model R² (e.g., 42.5% for rate cuts vs. 18.2%), but leave-one-out cross-validation reveals severe overfitting: the LOO-CV R² for rate cuts is only 11.8%, compared to the in-sample 42.5%. The interaction model's R² of 18.2% is estimated on the full sample and does not suffer from this overfitting.</w:t>
      </w:r>
    </w:p>
    <w:p>
      <w:r>
        <w:rPr>
          <w:b/>
          <w:sz w:val="20"/>
        </w:rPr>
        <w:t>Table A1: Subsample Regressions (ZLB+Post, N = 109)</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Regime</w:t>
            </w:r>
          </w:p>
        </w:tc>
        <w:tc>
          <w:tcPr>
            <w:tcW w:type="dxa" w:w="1440"/>
          </w:tcPr>
          <w:p>
            <w:r>
              <w:rPr>
                <w:b/>
                <w:sz w:val="18"/>
              </w:rPr>
              <w:t>N</w:t>
            </w:r>
          </w:p>
        </w:tc>
        <w:tc>
          <w:tcPr>
            <w:tcW w:type="dxa" w:w="1440"/>
          </w:tcPr>
          <w:p>
            <w:r>
              <w:rPr>
                <w:b/>
                <w:sz w:val="18"/>
              </w:rPr>
              <w:t>Target t</w:t>
            </w:r>
          </w:p>
        </w:tc>
        <w:tc>
          <w:tcPr>
            <w:tcW w:type="dxa" w:w="1440"/>
          </w:tcPr>
          <w:p>
            <w:r>
              <w:rPr>
                <w:b/>
                <w:sz w:val="18"/>
              </w:rPr>
              <w:t>Path t</w:t>
            </w:r>
          </w:p>
        </w:tc>
        <w:tc>
          <w:tcPr>
            <w:tcW w:type="dxa" w:w="1440"/>
          </w:tcPr>
          <w:p>
            <w:r>
              <w:rPr>
                <w:b/>
                <w:sz w:val="18"/>
              </w:rPr>
              <w:t>R²</w:t>
            </w:r>
          </w:p>
        </w:tc>
        <w:tc>
          <w:tcPr>
            <w:tcW w:type="dxa" w:w="1440"/>
          </w:tcPr>
          <w:p>
            <w:r>
              <w:rPr>
                <w:b/>
                <w:sz w:val="18"/>
              </w:rPr>
              <w:t>LOO-CV R²</w:t>
            </w:r>
          </w:p>
        </w:tc>
      </w:tr>
      <w:tr>
        <w:tc>
          <w:tcPr>
            <w:tcW w:type="dxa" w:w="1440"/>
          </w:tcPr>
          <w:p>
            <w:r>
              <w:rPr>
                <w:sz w:val="18"/>
              </w:rPr>
              <w:t>Hike</w:t>
            </w:r>
          </w:p>
        </w:tc>
        <w:tc>
          <w:tcPr>
            <w:tcW w:type="dxa" w:w="1440"/>
          </w:tcPr>
          <w:p>
            <w:r>
              <w:rPr>
                <w:sz w:val="18"/>
              </w:rPr>
              <w:t>17</w:t>
            </w:r>
          </w:p>
        </w:tc>
        <w:tc>
          <w:tcPr>
            <w:tcW w:type="dxa" w:w="1440"/>
          </w:tcPr>
          <w:p>
            <w:r>
              <w:rPr>
                <w:sz w:val="18"/>
              </w:rPr>
              <w:t>2.85**</w:t>
            </w:r>
          </w:p>
        </w:tc>
        <w:tc>
          <w:tcPr>
            <w:tcW w:type="dxa" w:w="1440"/>
          </w:tcPr>
          <w:p>
            <w:r>
              <w:rPr>
                <w:sz w:val="18"/>
              </w:rPr>
              <w:t>−0.68</w:t>
            </w:r>
          </w:p>
        </w:tc>
        <w:tc>
          <w:tcPr>
            <w:tcW w:type="dxa" w:w="1440"/>
          </w:tcPr>
          <w:p>
            <w:r>
              <w:rPr>
                <w:sz w:val="18"/>
              </w:rPr>
              <w:t>0.325</w:t>
            </w:r>
          </w:p>
        </w:tc>
        <w:tc>
          <w:tcPr>
            <w:tcW w:type="dxa" w:w="1440"/>
          </w:tcPr>
          <w:p>
            <w:r>
              <w:rPr>
                <w:sz w:val="18"/>
              </w:rPr>
              <w:t>0.041</w:t>
            </w:r>
          </w:p>
        </w:tc>
      </w:tr>
      <w:tr>
        <w:tc>
          <w:tcPr>
            <w:tcW w:type="dxa" w:w="1440"/>
          </w:tcPr>
          <w:p>
            <w:r>
              <w:rPr>
                <w:sz w:val="18"/>
              </w:rPr>
              <w:t>Cut</w:t>
            </w:r>
          </w:p>
        </w:tc>
        <w:tc>
          <w:tcPr>
            <w:tcW w:type="dxa" w:w="1440"/>
          </w:tcPr>
          <w:p>
            <w:r>
              <w:rPr>
                <w:sz w:val="18"/>
              </w:rPr>
              <w:t>33</w:t>
            </w:r>
          </w:p>
        </w:tc>
        <w:tc>
          <w:tcPr>
            <w:tcW w:type="dxa" w:w="1440"/>
          </w:tcPr>
          <w:p>
            <w:r>
              <w:rPr>
                <w:sz w:val="18"/>
              </w:rPr>
              <w:t>−1.15</w:t>
            </w:r>
          </w:p>
        </w:tc>
        <w:tc>
          <w:tcPr>
            <w:tcW w:type="dxa" w:w="1440"/>
          </w:tcPr>
          <w:p>
            <w:r>
              <w:rPr>
                <w:sz w:val="18"/>
              </w:rPr>
              <w:t>3.48***</w:t>
            </w:r>
          </w:p>
        </w:tc>
        <w:tc>
          <w:tcPr>
            <w:tcW w:type="dxa" w:w="1440"/>
          </w:tcPr>
          <w:p>
            <w:r>
              <w:rPr>
                <w:sz w:val="18"/>
              </w:rPr>
              <w:t>0.425</w:t>
            </w:r>
          </w:p>
        </w:tc>
        <w:tc>
          <w:tcPr>
            <w:tcW w:type="dxa" w:w="1440"/>
          </w:tcPr>
          <w:p>
            <w:r>
              <w:rPr>
                <w:sz w:val="18"/>
              </w:rPr>
              <w:t>0.118</w:t>
            </w:r>
          </w:p>
        </w:tc>
      </w:tr>
      <w:tr>
        <w:tc>
          <w:tcPr>
            <w:tcW w:type="dxa" w:w="1440"/>
          </w:tcPr>
          <w:p>
            <w:r>
              <w:rPr>
                <w:sz w:val="18"/>
              </w:rPr>
              <w:t>Unchanged</w:t>
            </w:r>
          </w:p>
        </w:tc>
        <w:tc>
          <w:tcPr>
            <w:tcW w:type="dxa" w:w="1440"/>
          </w:tcPr>
          <w:p>
            <w:r>
              <w:rPr>
                <w:sz w:val="18"/>
              </w:rPr>
              <w:t>59</w:t>
            </w:r>
          </w:p>
        </w:tc>
        <w:tc>
          <w:tcPr>
            <w:tcW w:type="dxa" w:w="1440"/>
          </w:tcPr>
          <w:p>
            <w:r>
              <w:rPr>
                <w:sz w:val="18"/>
              </w:rPr>
              <w:t>0.37</w:t>
            </w:r>
          </w:p>
        </w:tc>
        <w:tc>
          <w:tcPr>
            <w:tcW w:type="dxa" w:w="1440"/>
          </w:tcPr>
          <w:p>
            <w:r>
              <w:rPr>
                <w:sz w:val="18"/>
              </w:rPr>
              <w:t>0.91</w:t>
            </w:r>
          </w:p>
        </w:tc>
        <w:tc>
          <w:tcPr>
            <w:tcW w:type="dxa" w:w="1440"/>
          </w:tcPr>
          <w:p>
            <w:r>
              <w:rPr>
                <w:sz w:val="18"/>
              </w:rPr>
              <w:t>0.021</w:t>
            </w:r>
          </w:p>
        </w:tc>
        <w:tc>
          <w:tcPr>
            <w:tcW w:type="dxa" w:w="1440"/>
          </w:tcPr>
          <w:p>
            <w:r>
              <w:rPr>
                <w:sz w:val="18"/>
              </w:rPr>
              <w:t>−0.053</w:t>
            </w:r>
          </w:p>
        </w:tc>
      </w:tr>
    </w:tbl>
    <w:p>
      <w:pPr>
        <w:pStyle w:val="Heading1"/>
      </w:pPr>
      <w:r>
        <w:t>B. Monte Carlo Size Calibration</w:t>
      </w:r>
    </w:p>
    <w:p>
      <w:r>
        <w:rPr>
          <w:b w:val="0"/>
          <w:i w:val="0"/>
        </w:rPr>
        <w:t>Table B1 reports the actual rejection rates of the HAC-based t-test under the null hypothesis of no interaction effect, estimated from 2,000 Monte Carlo simulations. At N = 109 (ZLB+Post), the nominal 5% test rejects 16.6% of the time—a 3.3× over-rejection. Permutation tests do not suffer from this distortion.</w:t>
      </w:r>
    </w:p>
    <w:p>
      <w:r>
        <w:rPr>
          <w:b/>
          <w:sz w:val="20"/>
        </w:rPr>
        <w:t>Table B1: HAC Size Distortion (2,000 Monte Carlo Simulations)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Sample Size</w:t>
            </w:r>
          </w:p>
        </w:tc>
        <w:tc>
          <w:tcPr>
            <w:tcW w:type="dxa" w:w="2880"/>
          </w:tcPr>
          <w:p>
            <w:r>
              <w:rPr>
                <w:b/>
                <w:sz w:val="18"/>
              </w:rPr>
              <w:t>Nominal Level</w:t>
            </w:r>
          </w:p>
        </w:tc>
        <w:tc>
          <w:tcPr>
            <w:tcW w:type="dxa" w:w="2880"/>
          </w:tcPr>
          <w:p>
            <w:r>
              <w:rPr>
                <w:b/>
                <w:sz w:val="18"/>
              </w:rPr>
              <w:t>Actual Rejection Rate</w:t>
            </w:r>
          </w:p>
        </w:tc>
      </w:tr>
      <w:tr>
        <w:tc>
          <w:tcPr>
            <w:tcW w:type="dxa" w:w="2880"/>
          </w:tcPr>
          <w:p>
            <w:r>
              <w:rPr>
                <w:sz w:val="18"/>
              </w:rPr>
              <w:t>N = 55 (Pre-ZLB)</w:t>
            </w:r>
          </w:p>
        </w:tc>
        <w:tc>
          <w:tcPr>
            <w:tcW w:type="dxa" w:w="2880"/>
          </w:tcPr>
          <w:p>
            <w:r>
              <w:rPr>
                <w:sz w:val="18"/>
              </w:rPr>
              <w:t>5%</w:t>
            </w:r>
          </w:p>
        </w:tc>
        <w:tc>
          <w:tcPr>
            <w:tcW w:type="dxa" w:w="2880"/>
          </w:tcPr>
          <w:p>
            <w:r>
              <w:rPr>
                <w:sz w:val="18"/>
              </w:rPr>
              <w:t>0.105</w:t>
            </w:r>
          </w:p>
        </w:tc>
      </w:tr>
      <w:tr>
        <w:tc>
          <w:tcPr>
            <w:tcW w:type="dxa" w:w="2880"/>
          </w:tcPr>
          <w:p>
            <w:r>
              <w:rPr>
                <w:sz w:val="18"/>
              </w:rPr>
              <w:t>N = 109 (ZLB+Post)</w:t>
            </w:r>
          </w:p>
        </w:tc>
        <w:tc>
          <w:tcPr>
            <w:tcW w:type="dxa" w:w="2880"/>
          </w:tcPr>
          <w:p>
            <w:r>
              <w:rPr>
                <w:sz w:val="18"/>
              </w:rPr>
              <w:t>5%</w:t>
            </w:r>
          </w:p>
        </w:tc>
        <w:tc>
          <w:tcPr>
            <w:tcW w:type="dxa" w:w="2880"/>
          </w:tcPr>
          <w:p>
            <w:r>
              <w:rPr>
                <w:sz w:val="18"/>
              </w:rPr>
              <w:t>0.166</w:t>
            </w:r>
          </w:p>
        </w:tc>
      </w:tr>
      <w:tr>
        <w:tc>
          <w:tcPr>
            <w:tcW w:type="dxa" w:w="2880"/>
          </w:tcPr>
          <w:p>
            <w:r>
              <w:rPr>
                <w:sz w:val="18"/>
              </w:rPr>
              <w:t>N = 131 (Original)</w:t>
            </w:r>
          </w:p>
        </w:tc>
        <w:tc>
          <w:tcPr>
            <w:tcW w:type="dxa" w:w="2880"/>
          </w:tcPr>
          <w:p>
            <w:r>
              <w:rPr>
                <w:sz w:val="18"/>
              </w:rPr>
              <w:t>5%</w:t>
            </w:r>
          </w:p>
        </w:tc>
        <w:tc>
          <w:tcPr>
            <w:tcW w:type="dxa" w:w="2880"/>
          </w:tcPr>
          <w:p>
            <w:r>
              <w:rPr>
                <w:sz w:val="18"/>
              </w:rPr>
              <w:t>0.122</w:t>
            </w:r>
          </w:p>
        </w:tc>
      </w:tr>
      <w:tr>
        <w:tc>
          <w:tcPr>
            <w:tcW w:type="dxa" w:w="2880"/>
          </w:tcPr>
          <w:p>
            <w:r>
              <w:rPr>
                <w:sz w:val="18"/>
              </w:rPr>
              <w:t>N = 164 (Full extended)</w:t>
            </w:r>
          </w:p>
        </w:tc>
        <w:tc>
          <w:tcPr>
            <w:tcW w:type="dxa" w:w="2880"/>
          </w:tcPr>
          <w:p>
            <w:r>
              <w:rPr>
                <w:sz w:val="18"/>
              </w:rPr>
              <w:t>5%</w:t>
            </w:r>
          </w:p>
        </w:tc>
        <w:tc>
          <w:tcPr>
            <w:tcW w:type="dxa" w:w="2880"/>
          </w:tcPr>
          <w:p>
            <w:r>
              <w:rPr>
                <w:sz w:val="18"/>
              </w:rPr>
              <w:t>0.093</w:t>
            </w:r>
          </w:p>
        </w:tc>
      </w:tr>
    </w:tbl>
    <w:p>
      <w:pPr>
        <w:pStyle w:val="Heading1"/>
      </w:pPr>
      <w:r>
        <w:t>C. Figures</w:t>
      </w:r>
    </w:p>
    <w:p>
      <w:pPr>
        <w:jc w:val="center"/>
      </w:pPr>
      <w:r>
        <w:drawing>
          <wp:inline xmlns:a="http://schemas.openxmlformats.org/drawingml/2006/main" xmlns:pic="http://schemas.openxmlformats.org/drawingml/2006/picture">
            <wp:extent cx="5029200" cy="2489972"/>
            <wp:docPr id="1" name="Picture 1"/>
            <wp:cNvGraphicFramePr>
              <a:graphicFrameLocks noChangeAspect="1"/>
            </wp:cNvGraphicFramePr>
            <a:graphic>
              <a:graphicData uri="http://schemas.openxmlformats.org/drawingml/2006/picture">
                <pic:pic>
                  <pic:nvPicPr>
                    <pic:cNvPr id="0" name="fig3_r2_by_regime.png"/>
                    <pic:cNvPicPr/>
                  </pic:nvPicPr>
                  <pic:blipFill>
                    <a:blip r:embed="rId9"/>
                    <a:stretch>
                      <a:fillRect/>
                    </a:stretch>
                  </pic:blipFill>
                  <pic:spPr>
                    <a:xfrm>
                      <a:off x="0" y="0"/>
                      <a:ext cx="5029200" cy="2489972"/>
                    </a:xfrm>
                    <a:prstGeom prst="rect"/>
                  </pic:spPr>
                </pic:pic>
              </a:graphicData>
            </a:graphic>
          </wp:inline>
        </w:drawing>
      </w:r>
    </w:p>
    <w:p>
      <w:pPr>
        <w:jc w:val="center"/>
      </w:pPr>
      <w:r>
        <w:rPr>
          <w:i/>
          <w:sz w:val="20"/>
        </w:rPr>
        <w:t>Figure A1: Explained Variance by Regime and Sentiment Measure</w:t>
      </w:r>
    </w:p>
    <w:p>
      <w:pPr>
        <w:jc w:val="center"/>
      </w:pPr>
      <w:r>
        <w:drawing>
          <wp:inline xmlns:a="http://schemas.openxmlformats.org/drawingml/2006/main" xmlns:pic="http://schemas.openxmlformats.org/drawingml/2006/picture">
            <wp:extent cx="5029200" cy="3441329"/>
            <wp:docPr id="2" name="Picture 2"/>
            <wp:cNvGraphicFramePr>
              <a:graphicFrameLocks noChangeAspect="1"/>
            </wp:cNvGraphicFramePr>
            <a:graphic>
              <a:graphicData uri="http://schemas.openxmlformats.org/drawingml/2006/picture">
                <pic:pic>
                  <pic:nvPicPr>
                    <pic:cNvPr id="0" name="fig4_timeseries.png"/>
                    <pic:cNvPicPr/>
                  </pic:nvPicPr>
                  <pic:blipFill>
                    <a:blip r:embed="rId10"/>
                    <a:stretch>
                      <a:fillRect/>
                    </a:stretch>
                  </pic:blipFill>
                  <pic:spPr>
                    <a:xfrm>
                      <a:off x="0" y="0"/>
                      <a:ext cx="5029200" cy="3441329"/>
                    </a:xfrm>
                    <a:prstGeom prst="rect"/>
                  </pic:spPr>
                </pic:pic>
              </a:graphicData>
            </a:graphic>
          </wp:inline>
        </w:drawing>
      </w:r>
    </w:p>
    <w:p>
      <w:pPr>
        <w:jc w:val="center"/>
      </w:pPr>
      <w:r>
        <w:rPr>
          <w:i/>
          <w:sz w:val="20"/>
        </w:rPr>
        <w:t>Figure A2: Monetary Policy Shocks and Statement Sentiment, 2006–2022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