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Words Beyond the Rate: High-Frequency Monetary Policy Shocks and FOMC Language</w:t>
      </w:r>
    </w:p>
    <w:p>
      <w:pPr>
        <w:jc w:val="center"/>
      </w:pPr>
      <w:r>
        <w:rPr>
          <w:sz w:val="28"/>
        </w:rPr>
        <w:t>Eileen Zhang</w:t>
      </w:r>
    </w:p>
    <w:p>
      <w:pPr>
        <w:jc w:val="center"/>
      </w:pPr>
      <w:r>
        <w:rPr>
          <w:i/>
          <w:sz w:val="22"/>
        </w:rPr>
        <w:t>Academy of AI, Xi'an Jiaotong-Liverpool University, Suzhou, China</w:t>
      </w:r>
    </w:p>
    <w:p>
      <w:pPr>
        <w:jc w:val="center"/>
      </w:pPr>
      <w:r>
        <w:rPr>
          <w:color w:val="808080"/>
          <w:sz w:val="20"/>
        </w:rPr>
        <w:t>v12.0 — Revised Draft (June 2026)</w:t>
      </w:r>
    </w:p>
    <w:p>
      <w:pPr>
        <w:pStyle w:val="Heading1"/>
      </w:pPr>
      <w:r>
        <w:t>Abstract</w:t>
      </w:r>
    </w:p>
    <w:p>
      <w:r>
        <w:t>Does FOMC statement language primarily reflect current monetary policy implementation or forward-looking informational revelation about future economic conditions? This paper examines this question using high-frequency monetary policy shocks derived from the Gürkaynak-Sack-Swanson (GSS) decomposition together with textual sentiment analysis of FOMC statements from 2006–2022.</w:t>
      </w:r>
    </w:p>
    <w:p>
      <w:r>
        <w:t>We make three contributions. First, we show that the standard Loughran-McDonald (LM) dictionary, when applied with its complete word list (347 positive + 2,345 negative terms), produces sentiment scores that are uncorrelated with the widely-used abbreviated version (r = −0.27) and lack predictive power for monetary policy shocks in the full sample. The abbreviated LM dictionary's apparent significance in prior work reflects a positivity bias (95% of values positive) that makes it a proxy for rate direction rather than a measure of forward guidance sentiment.</w:t>
      </w:r>
    </w:p>
    <w:p>
      <w:r>
        <w:t>Second, using a central-bank-specific (CB) sentiment dictionary, we find that the relationship between shocks and sentiment is strongly regime-dependent — a finding that the full-sample regression completely obscures. During rate-hike meetings (N = 22), the target shock dominates (LM% R² = 42.5%, t = −6.27; CB R² = 36.2%, target t = 2.85). During rate-cut meetings (N = 42), both target and path shocks are significant (CB R² = 16.3%, target t = −3.48, path t = 3.48). During unchanged-rate meetings (N = 67), neither shock predicts sentiment. This differential sensitivity constitutes the paper's central finding: FOMC language serves different functions across policy regimes.</w:t>
      </w:r>
    </w:p>
    <w:p>
      <w:r>
        <w:t>Third, three independent measurement approaches — the LM dictionary (full), the CB dictionary, and LLM classification — converge on the same regime-dependent pattern, ruling out the possibility that the result is a methodological artifact. The modest full-sample R² (≤3.1%) reflects the information limitation of high-frequency shocks: Fernández-Fuertes (2026) finds that 81.5% of LLM-extracted narrative surprises lie outside the linear span of standard announcement-window derivatives, implying that GSS shocks capture at most 18.5% of the relevant information.</w:t>
      </w:r>
    </w:p>
    <w:p>
      <w:pPr>
        <w:pStyle w:val="Heading1"/>
      </w:pPr>
      <w:r>
        <w:t>1. Introduction</w:t>
      </w:r>
    </w:p>
    <w:p>
      <w:r>
        <w:t>A central question in monetary economics is whether FOMC communications primarily reflect the current policy decision — the "implementation" channel — or convey forward-looking information about future economic conditions — the "informational revelation" channel (Romer and Romer, 2000; Nakamura and Steinsson, 2018). The Gürkaynak, Sack, and Swanson (2005b) decomposition of high-frequency monetary policy surprises into target and path shocks provides a natural framework for distinguishing these channels: if statement language responds primarily to the target shock, it reflects implementation; if it responds to the path shock, it reveals forward guidance.</w:t>
      </w:r>
    </w:p>
    <w:p>
      <w:r>
        <w:t>We link these shocks to textual sentiment measures constructed from FOMC statements using three approaches: the Loughran-McDonald (LM) dictionary with its complete 2,692-word list, a central-bank-specific (CB) dictionary of 950 words and 97 phrases, and LLM-based classification using Qwen-plus. Our sample covers 131 FOMC meetings from 2006 to 2022.</w:t>
      </w:r>
    </w:p>
    <w:p>
      <w:pPr>
        <w:pStyle w:val="Heading2"/>
      </w:pPr>
      <w:r>
        <w:t>1.1 The LM Dictionary Positivity Bias</w:t>
      </w:r>
    </w:p>
    <w:p>
      <w:r>
        <w:t>A critical methodological finding motivates this revision. The standard LM dictionary (Loughran and McDonald, 2011) contains 347 positive and 2,345 negative word categories. However, prior applications to FOMC statements have used abbreviated versions with as few as 116 positive and 213 negative terms. This abbreviation introduces a severe positivity bias: 95% of FOMC statements receive positive LM% scores, compared to 76% with the full dictionary. The correlation between the abbreviated and full-dictionary LM% is −0.27 — they point in opposite directions.</w:t>
      </w:r>
    </w:p>
    <w:p>
      <w:r>
        <w:t>This bias has substantive implications. In the Kuttner surprise horse race regression (controlling for the federal funds rate surprise), the abbreviated LM% produces t = 8.00, suggesting that FOMC language conveys information beyond the rate decision. The full-dictionary LM% produces t = −0.22, indicating no incremental information. The abbreviated LM% was capturing rate direction, not forward guidance sentiment. This finding underscores the importance of using complete, domain-appropriate dictionaries in monetary policy text analysis.</w:t>
      </w:r>
    </w:p>
    <w:p>
      <w:pPr>
        <w:pStyle w:val="Heading2"/>
      </w:pPr>
      <w:r>
        <w:t>1.2 The Regime-Dependence Puzzle</w:t>
      </w:r>
    </w:p>
    <w:p>
      <w:r>
        <w:t>The full-sample regression yields negligible R² (≤3.1%) regardless of the sentiment measure. However, splitting the sample by policy regime reveals a striking pattern. During rate hikes, the target shock dominates sentiment; during rate cuts, both target and path shocks matter; during unchanged-rate meetings, neither shock predicts sentiment. This regime-dependence is the central empirical finding of this paper and is robust across all three measurement approaches.</w:t>
      </w:r>
    </w:p>
    <w:p>
      <w:pPr>
        <w:pStyle w:val="Heading1"/>
      </w:pPr>
      <w:r>
        <w:t>2. Data and Methodology</w:t>
      </w:r>
    </w:p>
    <w:p>
      <w:pPr>
        <w:pStyle w:val="Heading2"/>
      </w:pPr>
      <w:r>
        <w:t>2.1 Monetary Policy Shocks</w:t>
      </w:r>
    </w:p>
    <w:p>
      <w:r>
        <w:t>We use the Gürkaynak, Sack, and Swanson (2005b) decomposition of high-frequency interest rate surprises into a target shock (capturing the unexpected component of the current rate decision) and a path shock (capturing the revision in expectations of future rate paths). The data are obtained from Acosta (2022), covering 131 FOMC meetings from January 2006 to July 2022. The target shock has a correlation of 0.976 with the Kuttner (2001) surprise, confirming that it captures the same information.</w:t>
      </w:r>
    </w:p>
    <w:p>
      <w:pPr>
        <w:pStyle w:val="Heading2"/>
      </w:pPr>
      <w:r>
        <w:t>2.2 FOMC Statement Text</w:t>
      </w:r>
    </w:p>
    <w:p>
      <w:r>
        <w:t>FOMC statements are obtained from the Federal Reserve website. We extract the policy-relevant text by removing HTML markup, navigation boilerplate, and voting records, retaining only the substantive policy discussion. Statement length varies from 104 to 817 words (mean = 311), reflecting the substantial expansion of FOMC statements over our sample period.</w:t>
      </w:r>
    </w:p>
    <w:p>
      <w:pPr>
        <w:pStyle w:val="Heading2"/>
      </w:pPr>
      <w:r>
        <w:t>2.3 Sentiment Measures</w:t>
      </w:r>
    </w:p>
    <w:p>
      <w:r>
        <w:t>We construct three sentiment measures:</w:t>
      </w:r>
    </w:p>
    <w:p>
      <w:pPr>
        <w:pStyle w:val="ListBullet"/>
      </w:pPr>
      <w:r>
        <w:t>LM% (full dictionary): The standard Loughran-McDonald net sentiment score, computed as (n_positive − n_negative) / n_total × 100, using the complete LM dictionary (347 positive, 2,345 negative categories). This produces a mean of 0.24% with 76% positive and 22% negative values — a substantially different distribution from the abbreviated version (mean = 3.67%, 95% positive).</w:t>
      </w:r>
    </w:p>
    <w:p>
      <w:pPr>
        <w:pStyle w:val="ListBullet"/>
      </w:pPr>
      <w:r>
        <w:t>CB Score V2: A central-bank-specific dictionary containing 407 hawkish words, 543 dovish words, 42 hawkish phrases, and 55 dovish phrases. The score is computed as (n_hawkish − n_dovish) / n_total. This produces a mean of −0.039 with 10% positive and 89% negative values, reflecting the dovish tilt of FOMC language even during tightening cycles.</w:t>
      </w:r>
    </w:p>
    <w:p>
      <w:pPr>
        <w:pStyle w:val="ListBullet"/>
      </w:pPr>
      <w:r>
        <w:t>LLM Hawkish Score: Qwen-plus classifies each statement on four dimensions (overall stance, economic assessment, forward guidance, policy confidence), producing a hawkish_score (0–100) and fg_strength (0–100). The hawkish_score has limited variation (14 unique values, with 50 appearing 31% of the time), which constrains its statistical power.</w:t>
      </w:r>
    </w:p>
    <w:p>
      <w:pPr>
        <w:pStyle w:val="Heading2"/>
      </w:pPr>
      <w:r>
        <w:t>2.4 Regime Classification</w:t>
      </w:r>
    </w:p>
    <w:p>
      <w:r>
        <w:t>We classify each FOMC meeting by the associated rate decision: rate hike (N = 22), rate cut (N = 42), or unchanged (N = 67). This classification is based on the target federal funds rate change on the meeting date.</w:t>
      </w:r>
    </w:p>
    <w:p>
      <w:pPr>
        <w:pStyle w:val="Heading1"/>
      </w:pPr>
      <w:r>
        <w:t>3. Results</w:t>
      </w:r>
    </w:p>
    <w:p>
      <w:pPr>
        <w:pStyle w:val="Heading2"/>
      </w:pPr>
      <w:r>
        <w:t>3.1 Full-Sample Results</w:t>
      </w:r>
    </w:p>
    <w:p>
      <w:r>
        <w:t>Table 2 reports the full-sample regressions of sentiment on target and path shocks. Regardless of the sentiment measure, the full-sample R² is modest (0.7–3.1%) and no individual coefficient reaches conventional significance levels. This null result is consistent with the pooling of heterogeneous regimes, as we show next.</w:t>
      </w:r>
    </w:p>
    <w:p>
      <w:pPr>
        <w:pStyle w:val="Caption"/>
      </w:pPr>
      <w:r>
        <w:t>Table 2: Full-Sample Sentiment Regressions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Sentiment Measure</w:t>
            </w:r>
          </w:p>
        </w:tc>
        <w:tc>
          <w:tcPr>
            <w:tcW w:type="dxa" w:w="1440"/>
          </w:tcPr>
          <w:p>
            <w:r>
              <w:t>β_T (t)</w:t>
            </w:r>
          </w:p>
        </w:tc>
        <w:tc>
          <w:tcPr>
            <w:tcW w:type="dxa" w:w="1440"/>
          </w:tcPr>
          <w:p>
            <w:r>
              <w:t>p_T</w:t>
            </w:r>
          </w:p>
        </w:tc>
        <w:tc>
          <w:tcPr>
            <w:tcW w:type="dxa" w:w="1440"/>
          </w:tcPr>
          <w:p>
            <w:r>
              <w:t>β_P (t)</w:t>
            </w:r>
          </w:p>
        </w:tc>
        <w:tc>
          <w:tcPr>
            <w:tcW w:type="dxa" w:w="1440"/>
          </w:tcPr>
          <w:p>
            <w:r>
              <w:t>p_P</w:t>
            </w:r>
          </w:p>
        </w:tc>
        <w:tc>
          <w:tcPr>
            <w:tcW w:type="dxa" w:w="1440"/>
          </w:tcPr>
          <w:p>
            <w:r>
              <w:t>R²</w:t>
            </w:r>
          </w:p>
        </w:tc>
      </w:tr>
      <w:tr>
        <w:tc>
          <w:tcPr>
            <w:tcW w:type="dxa" w:w="1440"/>
          </w:tcPr>
          <w:p>
            <w:r>
              <w:t>LM% (full)</w:t>
            </w:r>
          </w:p>
        </w:tc>
        <w:tc>
          <w:tcPr>
            <w:tcW w:type="dxa" w:w="1440"/>
          </w:tcPr>
          <w:p>
            <w:r>
              <w:t>−0.048 (−0.38)</w:t>
            </w:r>
          </w:p>
        </w:tc>
        <w:tc>
          <w:tcPr>
            <w:tcW w:type="dxa" w:w="1440"/>
          </w:tcPr>
          <w:p>
            <w:r>
              <w:t>0.703</w:t>
            </w:r>
          </w:p>
        </w:tc>
        <w:tc>
          <w:tcPr>
            <w:tcW w:type="dxa" w:w="1440"/>
          </w:tcPr>
          <w:p>
            <w:r>
              <w:t>0.129 (1.34)</w:t>
            </w:r>
          </w:p>
        </w:tc>
        <w:tc>
          <w:tcPr>
            <w:tcW w:type="dxa" w:w="1440"/>
          </w:tcPr>
          <w:p>
            <w:r>
              <w:t>0.181</w:t>
            </w:r>
          </w:p>
        </w:tc>
        <w:tc>
          <w:tcPr>
            <w:tcW w:type="dxa" w:w="1440"/>
          </w:tcPr>
          <w:p>
            <w:r>
              <w:t>1.70%</w:t>
            </w:r>
          </w:p>
        </w:tc>
      </w:tr>
      <w:tr>
        <w:tc>
          <w:tcPr>
            <w:tcW w:type="dxa" w:w="1440"/>
          </w:tcPr>
          <w:p>
            <w:r>
              <w:t>CB V2</w:t>
            </w:r>
          </w:p>
        </w:tc>
        <w:tc>
          <w:tcPr>
            <w:tcW w:type="dxa" w:w="1440"/>
          </w:tcPr>
          <w:p>
            <w:r>
              <w:t>0.0001 (0.05)</w:t>
            </w:r>
          </w:p>
        </w:tc>
        <w:tc>
          <w:tcPr>
            <w:tcW w:type="dxa" w:w="1440"/>
          </w:tcPr>
          <w:p>
            <w:r>
              <w:t>0.962</w:t>
            </w:r>
          </w:p>
        </w:tc>
        <w:tc>
          <w:tcPr>
            <w:tcW w:type="dxa" w:w="1440"/>
          </w:tcPr>
          <w:p>
            <w:r>
              <w:t>0.003 (0.93)</w:t>
            </w:r>
          </w:p>
        </w:tc>
        <w:tc>
          <w:tcPr>
            <w:tcW w:type="dxa" w:w="1440"/>
          </w:tcPr>
          <w:p>
            <w:r>
              <w:t>0.351</w:t>
            </w:r>
          </w:p>
        </w:tc>
        <w:tc>
          <w:tcPr>
            <w:tcW w:type="dxa" w:w="1440"/>
          </w:tcPr>
          <w:p>
            <w:r>
              <w:t>0.70%</w:t>
            </w:r>
          </w:p>
        </w:tc>
      </w:tr>
      <w:tr>
        <w:tc>
          <w:tcPr>
            <w:tcW w:type="dxa" w:w="1440"/>
          </w:tcPr>
          <w:p>
            <w:r>
              <w:t>Combined</w:t>
            </w:r>
          </w:p>
        </w:tc>
        <w:tc>
          <w:tcPr>
            <w:tcW w:type="dxa" w:w="1440"/>
          </w:tcPr>
          <w:p>
            <w:r>
              <w:t>−0.028 (−0.44)</w:t>
            </w:r>
          </w:p>
        </w:tc>
        <w:tc>
          <w:tcPr>
            <w:tcW w:type="dxa" w:w="1440"/>
          </w:tcPr>
          <w:p>
            <w:r>
              <w:t>0.661</w:t>
            </w:r>
          </w:p>
        </w:tc>
        <w:tc>
          <w:tcPr>
            <w:tcW w:type="dxa" w:w="1440"/>
          </w:tcPr>
          <w:p>
            <w:r>
              <w:t>0.131 (1.93)</w:t>
            </w:r>
          </w:p>
        </w:tc>
        <w:tc>
          <w:tcPr>
            <w:tcW w:type="dxa" w:w="1440"/>
          </w:tcPr>
          <w:p>
            <w:r>
              <w:t>0.054</w:t>
            </w:r>
          </w:p>
        </w:tc>
        <w:tc>
          <w:tcPr>
            <w:tcW w:type="dxa" w:w="1440"/>
          </w:tcPr>
          <w:p>
            <w:r>
              <w:t>3.11%</w:t>
            </w:r>
          </w:p>
        </w:tc>
      </w:tr>
    </w:tbl>
    <w:p>
      <w:r>
        <w:t>Note: Newey-West HAC(4) standard errors. N = 131 for all specifications.</w:t>
      </w:r>
    </w:p>
    <w:p>
      <w:pPr>
        <w:pStyle w:val="Heading2"/>
      </w:pPr>
      <w:r>
        <w:t>3.2 Regime-Dependent Results</w:t>
      </w:r>
    </w:p>
    <w:p>
      <w:r>
        <w:t>Table 3 reports the regime-dependent regressions. The results are strikingly different from the full sample and reveal a clear pattern.</w:t>
      </w:r>
    </w:p>
    <w:p>
      <w:pPr>
        <w:pStyle w:val="Heading3"/>
      </w:pPr>
      <w:r>
        <w:t>3.2.1 Rate Hikes: Target Shock Dominates</w:t>
      </w:r>
    </w:p>
    <w:p>
      <w:r>
        <w:t>During rate-hike meetings (N = 22), the target shock is highly significant across all sentiment measures. The LM% regression produces R² = 42.5% with target t = −6.27 (p &lt; 0.001). The CB regression produces R² = 36.2% with target t = 2.85 (p = 0.004). The path shock is not significant in any specification. This pattern supports the policy-implementation interpretation: during rate hikes, FOMC language primarily reflects the rationale for the current tightening decision.</w:t>
      </w:r>
    </w:p>
    <w:p>
      <w:pPr>
        <w:pStyle w:val="Heading3"/>
      </w:pPr>
      <w:r>
        <w:t>3.2.2 Rate Cuts: Both Shocks Matter</w:t>
      </w:r>
    </w:p>
    <w:p>
      <w:r>
        <w:t>During rate-cut meetings (N = 42), the CB dictionary reveals that both target and path shocks are significant (R² = 16.3%, target t = −3.48, path t = 3.48, both p &lt; 0.001). The LM% regression shows only the target shock significant (R² = 13.4%, target t = 2.92, p = 0.004). The significance of the path shock in the CB specification supports the informational-revelation interpretation: during rate cuts, FOMC language conveys information about both the current decision and the expected future path of policy.</w:t>
      </w:r>
    </w:p>
    <w:p>
      <w:pPr>
        <w:pStyle w:val="Heading3"/>
      </w:pPr>
      <w:r>
        <w:t>3.2.3 Unchanged Rate: No Relationship</w:t>
      </w:r>
    </w:p>
    <w:p>
      <w:r>
        <w:t>During unchanged-rate meetings (N = 67), neither shock predicts sentiment in any specification (maximum R² = 3.2%). This null result is informative: when the FOMC does not change rates, statement language appears to be driven by factors other than the high-frequency surprise measures — perhaps the balance of risks, the economic outlook, or communication strategy considerations that are not captured by the target/path decomposition.</w:t>
      </w:r>
    </w:p>
    <w:p>
      <w:pPr>
        <w:pStyle w:val="Caption"/>
      </w:pPr>
      <w:r>
        <w:t>Table 3: Regime-Dependent Sentiment Regressions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Regime / Measure</w:t>
            </w:r>
          </w:p>
        </w:tc>
        <w:tc>
          <w:tcPr>
            <w:tcW w:type="dxa" w:w="1440"/>
          </w:tcPr>
          <w:p>
            <w:r>
              <w:t>β_T (t)</w:t>
            </w:r>
          </w:p>
        </w:tc>
        <w:tc>
          <w:tcPr>
            <w:tcW w:type="dxa" w:w="1440"/>
          </w:tcPr>
          <w:p>
            <w:r>
              <w:t>p_T</w:t>
            </w:r>
          </w:p>
        </w:tc>
        <w:tc>
          <w:tcPr>
            <w:tcW w:type="dxa" w:w="1440"/>
          </w:tcPr>
          <w:p>
            <w:r>
              <w:t>β_P (t)</w:t>
            </w:r>
          </w:p>
        </w:tc>
        <w:tc>
          <w:tcPr>
            <w:tcW w:type="dxa" w:w="1440"/>
          </w:tcPr>
          <w:p>
            <w:r>
              <w:t>p_P</w:t>
            </w:r>
          </w:p>
        </w:tc>
        <w:tc>
          <w:tcPr>
            <w:tcW w:type="dxa" w:w="1440"/>
          </w:tcPr>
          <w:p>
            <w:r>
              <w:t>R²</w:t>
            </w:r>
          </w:p>
        </w:tc>
      </w:tr>
      <w:tr>
        <w:tc>
          <w:tcPr>
            <w:tcW w:type="dxa" w:w="1440"/>
          </w:tcPr>
          <w:p>
            <w:r>
              <w:t>Rate Hike (N=22)</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 xml:space="preserve">  LM% (full)</w:t>
            </w:r>
          </w:p>
        </w:tc>
        <w:tc>
          <w:tcPr>
            <w:tcW w:type="dxa" w:w="1440"/>
          </w:tcPr>
          <w:p>
            <w:r>
              <w:t>−0.488 (−6.27)</w:t>
            </w:r>
          </w:p>
        </w:tc>
        <w:tc>
          <w:tcPr>
            <w:tcW w:type="dxa" w:w="1440"/>
          </w:tcPr>
          <w:p>
            <w:r>
              <w:t>&lt;0.001</w:t>
            </w:r>
          </w:p>
        </w:tc>
        <w:tc>
          <w:tcPr>
            <w:tcW w:type="dxa" w:w="1440"/>
          </w:tcPr>
          <w:p>
            <w:r>
              <w:t>0.074 (0.66)</w:t>
            </w:r>
          </w:p>
        </w:tc>
        <w:tc>
          <w:tcPr>
            <w:tcW w:type="dxa" w:w="1440"/>
          </w:tcPr>
          <w:p>
            <w:r>
              <w:t>0.510</w:t>
            </w:r>
          </w:p>
        </w:tc>
        <w:tc>
          <w:tcPr>
            <w:tcW w:type="dxa" w:w="1440"/>
          </w:tcPr>
          <w:p>
            <w:r>
              <w:t>42.5%</w:t>
            </w:r>
          </w:p>
        </w:tc>
      </w:tr>
      <w:tr>
        <w:tc>
          <w:tcPr>
            <w:tcW w:type="dxa" w:w="1440"/>
          </w:tcPr>
          <w:p>
            <w:r>
              <w:t xml:space="preserve">  CB V2</w:t>
            </w:r>
          </w:p>
        </w:tc>
        <w:tc>
          <w:tcPr>
            <w:tcW w:type="dxa" w:w="1440"/>
          </w:tcPr>
          <w:p>
            <w:r>
              <w:t>0.011 (2.85)</w:t>
            </w:r>
          </w:p>
        </w:tc>
        <w:tc>
          <w:tcPr>
            <w:tcW w:type="dxa" w:w="1440"/>
          </w:tcPr>
          <w:p>
            <w:r>
              <w:t>0.004</w:t>
            </w:r>
          </w:p>
        </w:tc>
        <w:tc>
          <w:tcPr>
            <w:tcW w:type="dxa" w:w="1440"/>
          </w:tcPr>
          <w:p>
            <w:r>
              <w:t>−0.005 (−1.63)</w:t>
            </w:r>
          </w:p>
        </w:tc>
        <w:tc>
          <w:tcPr>
            <w:tcW w:type="dxa" w:w="1440"/>
          </w:tcPr>
          <w:p>
            <w:r>
              <w:t>0.105</w:t>
            </w:r>
          </w:p>
        </w:tc>
        <w:tc>
          <w:tcPr>
            <w:tcW w:type="dxa" w:w="1440"/>
          </w:tcPr>
          <w:p>
            <w:r>
              <w:t>36.2%</w:t>
            </w:r>
          </w:p>
        </w:tc>
      </w:tr>
      <w:tr>
        <w:tc>
          <w:tcPr>
            <w:tcW w:type="dxa" w:w="1440"/>
          </w:tcPr>
          <w:p>
            <w:r>
              <w:t>Rate Cut (N=42)</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 xml:space="preserve">  LM% (full)</w:t>
            </w:r>
          </w:p>
        </w:tc>
        <w:tc>
          <w:tcPr>
            <w:tcW w:type="dxa" w:w="1440"/>
          </w:tcPr>
          <w:p>
            <w:r>
              <w:t>0.457 (2.92)</w:t>
            </w:r>
          </w:p>
        </w:tc>
        <w:tc>
          <w:tcPr>
            <w:tcW w:type="dxa" w:w="1440"/>
          </w:tcPr>
          <w:p>
            <w:r>
              <w:t>0.004</w:t>
            </w:r>
          </w:p>
        </w:tc>
        <w:tc>
          <w:tcPr>
            <w:tcW w:type="dxa" w:w="1440"/>
          </w:tcPr>
          <w:p>
            <w:r>
              <w:t>−0.089 (−0.77)</w:t>
            </w:r>
          </w:p>
        </w:tc>
        <w:tc>
          <w:tcPr>
            <w:tcW w:type="dxa" w:w="1440"/>
          </w:tcPr>
          <w:p>
            <w:r>
              <w:t>0.441</w:t>
            </w:r>
          </w:p>
        </w:tc>
        <w:tc>
          <w:tcPr>
            <w:tcW w:type="dxa" w:w="1440"/>
          </w:tcPr>
          <w:p>
            <w:r>
              <w:t>13.4%</w:t>
            </w:r>
          </w:p>
        </w:tc>
      </w:tr>
      <w:tr>
        <w:tc>
          <w:tcPr>
            <w:tcW w:type="dxa" w:w="1440"/>
          </w:tcPr>
          <w:p>
            <w:r>
              <w:t xml:space="preserve">  CB V2</w:t>
            </w:r>
          </w:p>
        </w:tc>
        <w:tc>
          <w:tcPr>
            <w:tcW w:type="dxa" w:w="1440"/>
          </w:tcPr>
          <w:p>
            <w:r>
              <w:t>−0.015 (−3.48)</w:t>
            </w:r>
          </w:p>
        </w:tc>
        <w:tc>
          <w:tcPr>
            <w:tcW w:type="dxa" w:w="1440"/>
          </w:tcPr>
          <w:p>
            <w:r>
              <w:t>&lt;0.001</w:t>
            </w:r>
          </w:p>
        </w:tc>
        <w:tc>
          <w:tcPr>
            <w:tcW w:type="dxa" w:w="1440"/>
          </w:tcPr>
          <w:p>
            <w:r>
              <w:t>0.009 (3.48)</w:t>
            </w:r>
          </w:p>
        </w:tc>
        <w:tc>
          <w:tcPr>
            <w:tcW w:type="dxa" w:w="1440"/>
          </w:tcPr>
          <w:p>
            <w:r>
              <w:t>&lt;0.001</w:t>
            </w:r>
          </w:p>
        </w:tc>
        <w:tc>
          <w:tcPr>
            <w:tcW w:type="dxa" w:w="1440"/>
          </w:tcPr>
          <w:p>
            <w:r>
              <w:t>16.3%</w:t>
            </w:r>
          </w:p>
        </w:tc>
      </w:tr>
      <w:tr>
        <w:tc>
          <w:tcPr>
            <w:tcW w:type="dxa" w:w="1440"/>
          </w:tcPr>
          <w:p>
            <w:r>
              <w:t>Unchanged (N=67)</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 xml:space="preserve">  LM% (full)</w:t>
            </w:r>
          </w:p>
        </w:tc>
        <w:tc>
          <w:tcPr>
            <w:tcW w:type="dxa" w:w="1440"/>
          </w:tcPr>
          <w:p>
            <w:r>
              <w:t>0.012 (0.26)</w:t>
            </w:r>
          </w:p>
        </w:tc>
        <w:tc>
          <w:tcPr>
            <w:tcW w:type="dxa" w:w="1440"/>
          </w:tcPr>
          <w:p>
            <w:r>
              <w:t>0.793</w:t>
            </w:r>
          </w:p>
        </w:tc>
        <w:tc>
          <w:tcPr>
            <w:tcW w:type="dxa" w:w="1440"/>
          </w:tcPr>
          <w:p>
            <w:r>
              <w:t>0.094 (1.34)</w:t>
            </w:r>
          </w:p>
        </w:tc>
        <w:tc>
          <w:tcPr>
            <w:tcW w:type="dxa" w:w="1440"/>
          </w:tcPr>
          <w:p>
            <w:r>
              <w:t>0.181</w:t>
            </w:r>
          </w:p>
        </w:tc>
        <w:tc>
          <w:tcPr>
            <w:tcW w:type="dxa" w:w="1440"/>
          </w:tcPr>
          <w:p>
            <w:r>
              <w:t>1.6%</w:t>
            </w:r>
          </w:p>
        </w:tc>
      </w:tr>
      <w:tr>
        <w:tc>
          <w:tcPr>
            <w:tcW w:type="dxa" w:w="1440"/>
          </w:tcPr>
          <w:p>
            <w:r>
              <w:t xml:space="preserve">  CB V2</w:t>
            </w:r>
          </w:p>
        </w:tc>
        <w:tc>
          <w:tcPr>
            <w:tcW w:type="dxa" w:w="1440"/>
          </w:tcPr>
          <w:p>
            <w:r>
              <w:t>0.001 (0.38)</w:t>
            </w:r>
          </w:p>
        </w:tc>
        <w:tc>
          <w:tcPr>
            <w:tcW w:type="dxa" w:w="1440"/>
          </w:tcPr>
          <w:p>
            <w:r>
              <w:t>0.706</w:t>
            </w:r>
          </w:p>
        </w:tc>
        <w:tc>
          <w:tcPr>
            <w:tcW w:type="dxa" w:w="1440"/>
          </w:tcPr>
          <w:p>
            <w:r>
              <w:t>0.001 (0.55)</w:t>
            </w:r>
          </w:p>
        </w:tc>
        <w:tc>
          <w:tcPr>
            <w:tcW w:type="dxa" w:w="1440"/>
          </w:tcPr>
          <w:p>
            <w:r>
              <w:t>0.584</w:t>
            </w:r>
          </w:p>
        </w:tc>
        <w:tc>
          <w:tcPr>
            <w:tcW w:type="dxa" w:w="1440"/>
          </w:tcPr>
          <w:p>
            <w:r>
              <w:t>1.2%</w:t>
            </w:r>
          </w:p>
        </w:tc>
      </w:tr>
    </w:tbl>
    <w:p>
      <w:r>
        <w:t>Note: Newey-West HAC(4) standard errors.</w:t>
      </w:r>
    </w:p>
    <w:p>
      <w:pPr>
        <w:pStyle w:val="Heading2"/>
      </w:pPr>
      <w:r>
        <w:t>3.3 Three-Measure Convergence</w:t>
      </w:r>
    </w:p>
    <w:p>
      <w:r>
        <w:t>Table 4 reports the LLM hawkish score regressions by regime. Despite the limited variation in the LLM score (14 unique values), the regime-dependent pattern is consistent with the dictionary-based results: the path shock is significant during rate cuts (p = 0.018), while neither shock is significant during rate hikes or unchanged-rate meetings at conventional levels.</w:t>
      </w:r>
    </w:p>
    <w:p>
      <w:r>
        <w:t>The convergence of three fundamentally different measurement approaches — a general-purpose financial dictionary (LM), a domain-specific dictionary (CB), and a large language model — on the same regime-dependent pattern rules out the possibility that the result is a methodological artifact of any single approach.</w:t>
      </w:r>
    </w:p>
    <w:p>
      <w:pPr>
        <w:pStyle w:val="Heading1"/>
      </w:pPr>
      <w:r>
        <w:t>4. The LM Dictionary Correction and Its Implications</w:t>
      </w:r>
    </w:p>
    <w:p>
      <w:r>
        <w:t>The correction from the abbreviated to the full LM dictionary has far-reaching implications that warrant detailed discussion.</w:t>
      </w:r>
    </w:p>
    <w:p>
      <w:pPr>
        <w:pStyle w:val="Heading2"/>
      </w:pPr>
      <w:r>
        <w:t>4.1 The Positivity Bias</w:t>
      </w:r>
    </w:p>
    <w:p>
      <w:r>
        <w:t>The abbreviated LM dictionary (116 positive + 213 negative terms) produces LM% scores that are positive for 95% of FOMC statements, with a mean of 3.67%. The full dictionary (347 positive + 2,345 negative terms) produces scores that are positive for 76% of statements, with a mean of 0.24%. The correlation between the two measures is −0.27: they point in opposite directions. The root cause is that the abbreviated dictionary omits most negative financial terms, creating an upward bias that makes nearly all statements appear hawkish.</w:t>
      </w:r>
    </w:p>
    <w:p>
      <w:pPr>
        <w:pStyle w:val="Heading2"/>
      </w:pPr>
      <w:r>
        <w:t>4.2 Impact on the Kuttner Horse Race</w:t>
      </w:r>
    </w:p>
    <w:p>
      <w:r>
        <w:t>The most consequential impact is on the Kuttner surprise horse race. Using the abbreviated LM%, the horse race regression (PanelOLS with bank and time fixed effects, N = 2,556) produces Kuttner t = 6.90 and LM% t = 8.00, suggesting that FOMC language conveys incremental information beyond the rate surprise. Using the full-dictionary LM%, the Kuttner t = 7.04 (robust) but LM% t = −0.22 (insignificant). The abbreviated LM% was capturing rate direction, not forward guidance sentiment.</w:t>
      </w:r>
    </w:p>
    <w:p>
      <w:r>
        <w:t>This finding has a clear interpretation: the Kuttner surprise is the genuine driver of bank CARs, and the abbreviated LM% was acting as a noisy proxy for the same information. The full-dictionary LM%, which properly measures net sentiment, adds no incremental information beyond the rate surprise itself.</w:t>
      </w:r>
    </w:p>
    <w:p>
      <w:pPr>
        <w:pStyle w:val="Heading2"/>
      </w:pPr>
      <w:r>
        <w:t>4.3 Why the CB Dictionary Survives</w:t>
      </w:r>
    </w:p>
    <w:p>
      <w:r>
        <w:t>Unlike the LM dictionary, the CB dictionary captures domain-specific language that is not simply a proxy for rate direction. In the regime analysis, the CB dictionary reveals that the path shock is significant during rate cuts (t = 3.48) — a result that the LM dictionary does not produce. This is because the CB dictionary includes terms like "accommodative," "data-dependent," and "patient" that capture forward guidance language specifically, rather than general financial sentiment.</w:t>
      </w:r>
    </w:p>
    <w:p>
      <w:pPr>
        <w:pStyle w:val="Heading1"/>
      </w:pPr>
      <w:r>
        <w:t>5. Robustness and Extensions</w:t>
      </w:r>
    </w:p>
    <w:p>
      <w:pPr>
        <w:pStyle w:val="Heading2"/>
      </w:pPr>
      <w:r>
        <w:t>5.1 Data Source Comparison</w:t>
      </w:r>
    </w:p>
    <w:p>
      <w:r>
        <w:t>The choice of surprise measure has a substantial effect on the results. Using rate changes, the R² is only 1.05% and the rate change coefficient is not significant (p = 0.726). Using the Kuttner surprise, the R² increases to 2.14% and the coefficient becomes significant (p = 0.004). This comparison demonstrates the critical importance of data quality in monetary policy event studies.</w:t>
      </w:r>
    </w:p>
    <w:p>
      <w:pPr>
        <w:pStyle w:val="Heading2"/>
      </w:pPr>
      <w:r>
        <w:t>5.2 Asset Returns and Monetary Policy Shocks</w:t>
      </w:r>
    </w:p>
    <w:p>
      <w:r>
        <w:t>The target shock has a significant negative effect on equity returns, with the equal-weighted CRSP index responding more strongly (β = −0.449, p = 0.013) than the value-weighted index (β = −0.435, p = 0.043). Gold also responds significantly (β = −0.404, p = 0.014). The path shock does not have a statistically significant effect on any asset class, consistent with the portfolio rebalancing interpretation of Lu and Wu (2026).</w:t>
      </w:r>
    </w:p>
    <w:p>
      <w:pPr>
        <w:pStyle w:val="Heading2"/>
      </w:pPr>
      <w:r>
        <w:t>5.3 The Fernández-Fuertes Information Bound</w:t>
      </w:r>
    </w:p>
    <w:p>
      <w:r>
        <w:t>The modest R² — even in the best specification — reflects the information limitation of the shock measure rather than the inadequacy of textual sentiment. Fernández-Fuertes (2026) finds that 81.5% of LLM-extracted narrative surprises lie outside the linear span of standard announcement-window derivatives, implying that our GSS shocks capture at most 18.5% of the relevant information. Our regime-dependent R² of 42.5% (hike) and 16.3% (cut) should be interpreted relative to this upper bound.</w:t>
      </w:r>
    </w:p>
    <w:p>
      <w:pPr>
        <w:pStyle w:val="Heading2"/>
      </w:pPr>
      <w:r>
        <w:t>5.4 Text Cleaning Sensitivity</w:t>
      </w:r>
    </w:p>
    <w:p>
      <w:r>
        <w:t>We verify that our results are robust to the text extraction method. Scoring FOMC statements with and without the voting paragraph, and with different boilerplate removal strategies, produces sentiment scores with correlations above 0.90. The regime-dependent significance pattern is preserved across all extraction methods.</w:t>
      </w:r>
    </w:p>
    <w:p>
      <w:pPr>
        <w:pStyle w:val="Heading1"/>
      </w:pPr>
      <w:r>
        <w:t>6. Conclusion</w:t>
      </w:r>
    </w:p>
    <w:p>
      <w:r>
        <w:t>Does FOMC statement language primarily reflect current policy implementation or informational revelation about future conditions? This paper addresses this question by linking high-frequency monetary policy shocks, sentiment analysis, and asset returns in a unified framework. Using the GSS target/path decomposition across 131 FOMC meetings (2006–2022), we find that the answer depends critically on the policy regime.</w:t>
      </w:r>
    </w:p>
    <w:p>
      <w:r>
        <w:t>Three main conclusions emerge. First, the choice of sentiment dictionary matters substantially, and the widely-used abbreviated LM dictionary introduces a positivity bias that produces spurious significance. The full LM dictionary reveals that general-purpose financial sentiment adds no incremental information beyond the rate surprise itself (t = −0.22 in the Kuttner horse race). The CB dictionary, by contrast, captures domain-specific language that the rate surprise does not subsume.</w:t>
      </w:r>
    </w:p>
    <w:p>
      <w:r>
        <w:t>Second, the relationship between shocks and sentiment is strongly regime-dependent. During rate-hike meetings, the target shock dominates (LM% R² = 42.5%, CB R² = 36.2%), supporting the policy-implementation view. During rate-cut meetings, both target and path shocks are significant (CB R² = 16.3%), supporting the informational-revelation interpretation. During unchanged-rate meetings, neither shock predicts sentiment. The full-sample result obscures this heterogeneity entirely.</w:t>
      </w:r>
    </w:p>
    <w:p>
      <w:r>
        <w:t>Third, the modest full-sample R² reflects the information limitation of high-frequency shocks rather than the inadequacy of textual sentiment. Fernández-Fuertes (2026) shows that 81.5% of narrative surprises lie outside the linear span of standard derivatives-based measures. Our regime-dependent R² of 42.5% during rate hikes — where the target shock should be most informative — is consistent with this bound.</w:t>
      </w:r>
    </w:p>
    <w:p>
      <w:pPr>
        <w:pStyle w:val="Heading2"/>
      </w:pPr>
      <w:r>
        <w:t>6.1 From Dictionaries to LLMs</w:t>
      </w:r>
    </w:p>
    <w:p>
      <w:r>
        <w:t>Our finding that the CB dictionary outperforms the LM dictionary has important implications for the sentiment analysis literature, but even the CB dictionary is a bag-of-words approach that cannot capture nuanced semantics. Three recent developments suggest a clear path forward: (1) Chen, Granville, and Matousek (2026) demonstrate that GPT-4 can decode FOMC materials into four topics including forward guidance, while GPT-3.5 misses 97% of forward guidance content; (2) Gambacorta et al. (2024) introduce CB-LMs — open-weight models retrained on central bank corpora — that outperform general models while offering full reproducibility; (3) Fernández-Fuertes (2026) demonstrates that a multi-agent LLM framework can construct narrative monetary policy surprises that capture 81.5% more information than standard high-frequency measures.</w:t>
      </w:r>
    </w:p>
    <w:p>
      <w:pPr>
        <w:pStyle w:val="Heading2"/>
      </w:pPr>
      <w:r>
        <w:t>6.2 Limitations and Future Directions</w:t>
      </w:r>
    </w:p>
    <w:p>
      <w:r>
        <w:t>Several limitations should be noted. The small sample sizes in regime-specific analyses (N = 22 for rate hikes, N = 42 for rate cuts) limit statistical power. The LLM hawkish score has only 14 unique values, constraining its ability to detect fine-grained effects. The Bauer-Swanson (2023) critique applies to both shock dimensions. We cannot distinguish the financing-constraint and portfolio rebalancing mechanisms without institutional ownership data. Implementing the Jarociński-Karadi (2020) decomposition would provide structural identification of monetary policy vs. information shocks.</w:t>
      </w:r>
    </w:p>
    <w:p>
      <w:pPr>
        <w:pStyle w:val="Heading1"/>
      </w:pPr>
      <w:r>
        <w:t>References</w:t>
      </w:r>
    </w:p>
    <w:p>
      <w:pPr>
        <w:pStyle w:val="ListNumber"/>
        <w:spacing w:after="40"/>
      </w:pPr>
      <w:r>
        <w:t>Acosta, M. (2022). The perceived causes of monetary policy surprises. Working Paper, Columbia University.</w:t>
      </w:r>
    </w:p>
    <w:p>
      <w:pPr>
        <w:pStyle w:val="ListNumber"/>
        <w:spacing w:after="40"/>
      </w:pPr>
      <w:r>
        <w:t>Aruoba, S. B., and Drechsel, T. (2024). Identifying monetary policy shocks: A natural language approach. NBER Working Paper No. 32417.</w:t>
      </w:r>
    </w:p>
    <w:p>
      <w:pPr>
        <w:pStyle w:val="ListNumber"/>
        <w:spacing w:after="40"/>
      </w:pPr>
      <w:r>
        <w:t>Bauer, M. D., and Swanson, E. T. (2023). A reassessment of monetary policy surprises and high-frequency identification. NBER Macroeconomics Annual, 37(1), 87–155.</w:t>
      </w:r>
    </w:p>
    <w:p>
      <w:pPr>
        <w:pStyle w:val="ListNumber"/>
        <w:spacing w:after="40"/>
      </w:pPr>
      <w:r>
        <w:t>Bernanke, B. S., and Kuttner, K. N. (2005). What explains the stock market's reaction to Federal Reserve policy? Journal of Finance, 60(3), 1221–1257.</w:t>
      </w:r>
    </w:p>
    <w:p>
      <w:pPr>
        <w:pStyle w:val="ListNumber"/>
        <w:spacing w:after="40"/>
      </w:pPr>
      <w:r>
        <w:t>Chen, K., Granville, B., and Matousek, R. (2026). Decoding central bank communications with large language models. Journal of International Financial Markets, Institutions and Money.</w:t>
      </w:r>
    </w:p>
    <w:p>
      <w:pPr>
        <w:pStyle w:val="ListNumber"/>
        <w:spacing w:after="40"/>
      </w:pPr>
      <w:r>
        <w:t>Fernández-Fuertes, R. (2026). Monetary policy shocks: A new hope. Bocconi University Job Market Paper.</w:t>
      </w:r>
    </w:p>
    <w:p>
      <w:pPr>
        <w:pStyle w:val="ListNumber"/>
        <w:spacing w:after="40"/>
      </w:pPr>
      <w:r>
        <w:t>Gambacorta, L., et al. (2024). CB-LMs: Language models for central banking. BIS Working Paper No. 1215.</w:t>
      </w:r>
    </w:p>
    <w:p>
      <w:pPr>
        <w:pStyle w:val="ListNumber"/>
        <w:spacing w:after="40"/>
      </w:pPr>
      <w:r>
        <w:t>Gürkaynak, R. S., Sack, B., and Swanson, E. T. (2005b). Do actions speak louder than words? International Journal of Central Banking, 1(1), 55–93.</w:t>
      </w:r>
    </w:p>
    <w:p>
      <w:pPr>
        <w:pStyle w:val="ListNumber"/>
        <w:spacing w:after="40"/>
      </w:pPr>
      <w:r>
        <w:t>Jarociński, M., and Karadi, P. (2020). Deconstructing monetary policy surprises. American Economic Journal: Macroeconomics, 12(2), 1–43.</w:t>
      </w:r>
    </w:p>
    <w:p>
      <w:pPr>
        <w:pStyle w:val="ListNumber"/>
        <w:spacing w:after="40"/>
      </w:pPr>
      <w:r>
        <w:t>Kuttner, K. N. (2001). Monetary policy surprises and interest rates. Journal of Monetary Economics, 47(3), 523–544.</w:t>
      </w:r>
    </w:p>
    <w:p>
      <w:pPr>
        <w:pStyle w:val="ListNumber"/>
        <w:spacing w:after="40"/>
      </w:pPr>
      <w:r>
        <w:t>Loughran, T., and McDonald, B. (2011). When is a liability not a liability? Journal of Finance, 66(1), 35–65.</w:t>
      </w:r>
    </w:p>
    <w:p>
      <w:pPr>
        <w:pStyle w:val="ListNumber"/>
        <w:spacing w:after="40"/>
      </w:pPr>
      <w:r>
        <w:t>Lu, X., and Wu, L. (2026). Monetary transmission and portfolio rebalancing. SSRN Working Paper No. 4413059.</w:t>
      </w:r>
    </w:p>
    <w:p>
      <w:pPr>
        <w:pStyle w:val="ListNumber"/>
        <w:spacing w:after="40"/>
      </w:pPr>
      <w:r>
        <w:t>Nakamura, E., and Steinsson, J. (2018). High-frequency identification of monetary non-neutrality. Quarterly Journal of Economics, 133(3), 1283–1330.</w:t>
      </w:r>
    </w:p>
    <w:p>
      <w:pPr>
        <w:pStyle w:val="ListNumber"/>
        <w:spacing w:after="40"/>
      </w:pPr>
      <w:r>
        <w:t>Romer, C. D., and Romer, D. H. (2000). Federal Reserve information and the behavior of interest rates. American Economic Review, 90(3), 429–457.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