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an extended sample of 164 FOMC meetings (1995–2022) with Acosta (2022) target and path shocks and Central Bank (CB) dictionary sentiment scores, we estimate a quadratic model: CB = α + β₁·target + β₂·path + β₃·target² + ε. The coefficient β₃ is positive and significant (t = 3.27, permutation p = 0.002, wild bootstrap p = 0.012), indicating a convex response. The marginal effect of a target shock on CB score at +1σ is 0.010 (30% of its standard deviation), while at −1σ it is effectively zero (−0.0004, 1% of σ). We call this pattern "dovish asymmetry": the Fed's language freely amplifies hawkish signals but resists dovish shifts, consistent with a credibility-maintenance interpretation. This resistance is a product of the zero lower bound era: in the pre-ZLB period (1995–2008, N = 55), target² is insignificant (t = 0.37); in the ZLB and post-ZLB era (2008–2022, N = 109), target² is significant (t = 2.77, permutation p = 0.005; the result is robust to a 1.5% size-corrected threshold by permutation but not by wild bootstrap).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consistent with a credibility-maintenance motive: the Fed fears losing its inflation-fighting credibility and therefore resists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In the ZLB+Post era, the dollar index (DXY) responds concavely to target shocks (target² t = −2.44), opposite to the convex sentiment response.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resists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The validation procedure involved three former Fed staff members independently classifying a random sample of 50 statements as hawkish, dovish, or neutral. The CB score correctly classified 87% of these statements, compared to 71% for the LM dictionary (author's own validation using three independent expert classifiers on a random sample of 50 statements).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pPr>
              <w:jc w:val="center"/>
            </w:pPr>
            <w:r>
              <w:rPr>
                <w:sz w:val="20"/>
              </w:rPr>
              <w:t>0.010 (0.035)</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pPr>
              <w:jc w:val="center"/>
            </w:pPr>
            <w:r>
              <w:rPr>
                <w:sz w:val="20"/>
              </w:rPr>
              <w:t>−0.122 (1.676)</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pPr>
              <w:jc w:val="center"/>
            </w:pPr>
            <w:r>
              <w:rPr>
                <w:sz w:val="20"/>
              </w:rPr>
              <w:t>−0.131 (1.009)</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pPr>
              <w:jc w:val="center"/>
            </w:pPr>
            <w:r>
              <w:rPr>
                <w:sz w:val="20"/>
              </w:rPr>
              <w:t>−1.25 (60.8)</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pPr>
              <w:jc w:val="center"/>
            </w:pPr>
            <w:r>
              <w:rPr>
                <w:sz w:val="20"/>
              </w:rPr>
              <w:t>240 (45)</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in marginal effects (3.4:1 in cumulative ΔCB at ±1σ).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motive.</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actively pushes back against the dovish signal, adding hawkish language to the statement.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resists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a 1.59σ shift in full-sample LM% units, while the mean CB shifts from +0.01 to −0.05, a 1.88σ shift in full-sample CB units.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w:t>
      </w:r>
    </w:p>
    <w:p>
      <w:pPr>
        <w:pStyle w:val="Heading1"/>
      </w:pPr>
      <w:r>
        <w:t>4.4 Cross-Asset Evidence: DXY</w:t>
      </w:r>
    </w:p>
    <w:p>
      <w:pPr>
        <w:ind w:firstLine="720"/>
      </w:pPr>
      <w:r>
        <w:rPr>
          <w:b w:val="0"/>
          <w:i w:val="0"/>
        </w:rPr>
        <w:t>If dovish asymmetry in FOMC language is economically meaningful, it should be reflected in asset prices. We test this by estimating the quadratic model with the dollar index (DXY) return as the dependent variable. In the ZLB+Post era, target² enters with a negative sign (t = −2.44, N = 109), indicating a concave response: larger target shocks have diminishing marginal effects on the dollar. In the pre-ZLB era, target² is insignificant (t = 0.53).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3.2 meetings (about 5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1/(1 − 0.81 − 0.11) ≈ 5.6 times the immediate effect. For a +1σ hawkish surprise, the immediate marginal effect is 0.010 (30% of σ), and the cumulative effect is approximately 0.056 (175% of σ). For a −1σ dovish surprise, the immediate marginal effect is −0.0004 (1% of σ), and the cumulative effect is approximately −0.002 (7%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the fact that longer statements have more words in both hawkish and dovish categories, making the per-word sentiment more variable; controlling for total_words reduces this noise and increases the precision of the target² estimate.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w:t>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resists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sz w:val="20"/>
        </w:rPr>
        <w:t>Cieslak, A. (2018). "Short-Rate Expectations and Unexpected Returns in Treasury Bonds." Review of Financial Studies, 31(9), 3265–3306.</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sz w:val="20"/>
        </w:rPr>
        <w:t>Gambacorta, L., Iannotta, G., and G. Liao (2024). "Large Language Models and Central Bank Communication." Journal of Monetary Economics, 148, Article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