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FOMC</w:t>
      </w:r>
      <w:r>
        <w:rPr>
          <w:b/>
          <w:bCs/>
        </w:rPr>
        <w:t xml:space="preserve"> </w:t>
      </w:r>
      <w:r>
        <w:rPr>
          <w:b/>
          <w:bCs/>
        </w:rPr>
        <w:t xml:space="preserve">Language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Stress-Test</w:t>
      </w:r>
      <w:r>
        <w:rPr>
          <w:b/>
          <w:bCs/>
        </w:rPr>
        <w:t xml:space="preserve"> </w:t>
      </w:r>
      <w:r>
        <w:rPr>
          <w:b/>
          <w:bCs/>
        </w:rPr>
        <w:t xml:space="preserve">Scenario</w:t>
      </w:r>
      <w:r>
        <w:rPr>
          <w:b/>
          <w:bCs/>
        </w:rPr>
        <w:t xml:space="preserve"> </w:t>
      </w:r>
      <w:r>
        <w:rPr>
          <w:b/>
          <w:bCs/>
        </w:rPr>
        <w:t xml:space="preserve">Design</w:t>
      </w:r>
      <w:r>
        <w:rPr>
          <w:b/>
          <w:bCs/>
        </w:rPr>
        <w:t xml:space="preserve"> </w:t>
      </w:r>
      <w:r>
        <w:rPr>
          <w:b/>
          <w:bCs/>
        </w:rPr>
        <w:t xml:space="preserve">Tool:</w:t>
      </w:r>
      <w:r>
        <w:br/>
      </w:r>
      <w:r>
        <w:t xml:space="preserve">Uncertainty-Conditional</w:t>
      </w:r>
      <w:r>
        <w:t xml:space="preserve"> </w:t>
      </w:r>
      <w:r>
        <w:t xml:space="preserve">Cross-Asset</w:t>
      </w:r>
      <w:r>
        <w:t xml:space="preserve"> </w:t>
      </w:r>
      <w:r>
        <w:t xml:space="preserve">Stress</w:t>
      </w:r>
      <w:r>
        <w:t xml:space="preserve"> </w:t>
      </w:r>
      <w:r>
        <w:t xml:space="preserve">Testing</w:t>
      </w:r>
      <w:r>
        <w:br/>
      </w:r>
      <w:r>
        <w:t xml:space="preserve">with</w:t>
      </w:r>
      <w:r>
        <w:t xml:space="preserve"> </w:t>
      </w:r>
      <w:r>
        <w:t xml:space="preserve">Central</w:t>
      </w:r>
      <w:r>
        <w:t xml:space="preserve"> </w:t>
      </w:r>
      <w:r>
        <w:t xml:space="preserve">Bank</w:t>
      </w:r>
      <w:r>
        <w:t xml:space="preserve"> </w:t>
      </w:r>
      <w:r>
        <w:t xml:space="preserve">Communication</w:t>
      </w:r>
    </w:p>
    <w:p>
      <w:pPr>
        <w:pStyle w:val="Author"/>
      </w:pPr>
      <w:r>
        <w:t xml:space="preserve">Eileen</w:t>
      </w:r>
      <w:r>
        <w:t xml:space="preserve"> </w:t>
      </w:r>
      <w:r>
        <w:t xml:space="preserve">Zhang</w:t>
      </w:r>
      <w:r>
        <w:br/>
      </w:r>
      <w:r>
        <w:t xml:space="preserve">Academy</w:t>
      </w:r>
      <w:r>
        <w:t xml:space="preserve"> </w:t>
      </w:r>
      <w:r>
        <w:t xml:space="preserve">of</w:t>
      </w:r>
      <w:r>
        <w:t xml:space="preserve"> </w:t>
      </w:r>
      <w:r>
        <w:t xml:space="preserve">AI,</w:t>
      </w:r>
      <w:r>
        <w:t xml:space="preserve"> </w:t>
      </w:r>
      <w:r>
        <w:t xml:space="preserve">Xi’an</w:t>
      </w:r>
      <w:r>
        <w:t xml:space="preserve"> </w:t>
      </w:r>
      <w:r>
        <w:t xml:space="preserve">Jiaotong-Liverpool</w:t>
      </w:r>
      <w:r>
        <w:t xml:space="preserve"> </w:t>
      </w:r>
      <w:r>
        <w:t xml:space="preserve">University,</w:t>
      </w:r>
      <w:r>
        <w:t xml:space="preserve"> </w:t>
      </w:r>
      <w:r>
        <w:t xml:space="preserve">Suzhou,</w:t>
      </w:r>
      <w:r>
        <w:t xml:space="preserve"> </w:t>
      </w:r>
      <w:r>
        <w:t xml:space="preserve">China</w:t>
      </w:r>
    </w:p>
    <w:p>
      <w:pPr>
        <w:pStyle w:val="Date"/>
      </w:pPr>
      <w:r>
        <w:t xml:space="preserve">June</w:t>
      </w:r>
      <w:r>
        <w:t xml:space="preserve"> </w:t>
      </w:r>
      <w:r>
        <w:t xml:space="preserve">2026</w:t>
      </w:r>
      <w:r>
        <w:t xml:space="preserve"> </w:t>
      </w:r>
      <w:r>
        <w:t xml:space="preserve">—</w:t>
      </w:r>
      <w:r>
        <w:t xml:space="preserve"> </w:t>
      </w:r>
      <w:r>
        <w:t xml:space="preserve">Conference</w:t>
      </w:r>
      <w:r>
        <w:t xml:space="preserve"> </w:t>
      </w:r>
      <w:r>
        <w:t xml:space="preserve">Submission</w:t>
      </w:r>
      <w:r>
        <w:t xml:space="preserve"> </w:t>
      </w:r>
      <w:r>
        <w:t xml:space="preserve">Draft</w:t>
      </w:r>
      <w:r>
        <w:t xml:space="preserve"> </w:t>
      </w:r>
      <w:r>
        <w:t xml:space="preserve">(v5,</w:t>
      </w:r>
      <w:r>
        <w:t xml:space="preserve"> </w:t>
      </w:r>
      <w:r>
        <w:t xml:space="preserve">Corrected)</w:t>
      </w:r>
      <w:r>
        <w:br/>
      </w:r>
      <w:r>
        <w:rPr>
          <w:i/>
          <w:iCs/>
        </w:rPr>
        <w:t xml:space="preserve">Do</w:t>
      </w:r>
      <w:r>
        <w:rPr>
          <w:i/>
          <w:iCs/>
        </w:rPr>
        <w:t xml:space="preserve"> </w:t>
      </w:r>
      <w:r>
        <w:rPr>
          <w:i/>
          <w:iCs/>
        </w:rPr>
        <w:t xml:space="preserve">Not</w:t>
      </w:r>
      <w:r>
        <w:rPr>
          <w:i/>
          <w:iCs/>
        </w:rPr>
        <w:t xml:space="preserve"> </w:t>
      </w:r>
      <w:r>
        <w:rPr>
          <w:i/>
          <w:iCs/>
        </w:rPr>
        <w:t xml:space="preserve">Cite</w:t>
      </w:r>
      <w:r>
        <w:rPr>
          <w:i/>
          <w:iCs/>
        </w:rPr>
        <w:t xml:space="preserve"> </w:t>
      </w:r>
      <w:r>
        <w:rPr>
          <w:i/>
          <w:iCs/>
        </w:rPr>
        <w:t xml:space="preserve">Without</w:t>
      </w:r>
      <w:r>
        <w:rPr>
          <w:i/>
          <w:iCs/>
        </w:rPr>
        <w:t xml:space="preserve"> </w:t>
      </w:r>
      <w:r>
        <w:rPr>
          <w:i/>
          <w:iCs/>
        </w:rPr>
        <w:t xml:space="preserve">Permission</w:t>
      </w:r>
      <w:r>
        <w:rPr>
          <w:i/>
          <w:iCs/>
        </w:rPr>
        <w:t xml:space="preserve"> </w:t>
      </w:r>
      <w:r>
        <w:rPr>
          <w:i/>
          <w:iCs/>
        </w:rPr>
        <w:t xml:space="preserve">—</w:t>
      </w:r>
      <w:r>
        <w:rPr>
          <w:i/>
          <w:iCs/>
        </w:rPr>
        <w:t xml:space="preserve"> </w:t>
      </w:r>
      <w:r>
        <w:rPr>
          <w:i/>
          <w:iCs/>
        </w:rPr>
        <w:t xml:space="preserve">For</w:t>
      </w:r>
      <w:r>
        <w:rPr>
          <w:i/>
          <w:iCs/>
        </w:rPr>
        <w:t xml:space="preserve"> </w:t>
      </w:r>
      <w:r>
        <w:rPr>
          <w:i/>
          <w:iCs/>
        </w:rPr>
        <w:t xml:space="preserve">Academic</w:t>
      </w:r>
      <w:r>
        <w:rPr>
          <w:i/>
          <w:iCs/>
        </w:rPr>
        <w:t xml:space="preserve"> </w:t>
      </w:r>
      <w:r>
        <w:rPr>
          <w:i/>
          <w:iCs/>
        </w:rPr>
        <w:t xml:space="preserve">Review</w:t>
      </w:r>
      <w:r>
        <w:rPr>
          <w:i/>
          <w:iCs/>
        </w:rPr>
        <w:t xml:space="preserve"> </w:t>
      </w:r>
      <w:r>
        <w:rPr>
          <w:i/>
          <w:iCs/>
        </w:rPr>
        <w:t xml:space="preserve">Only</w:t>
      </w:r>
    </w:p>
    <w:p>
      <w:pPr>
        <w:pStyle w:val="AbstractTitle"/>
      </w:pPr>
      <w:r>
        <w:t xml:space="preserve">Abstract</w:t>
      </w:r>
    </w:p>
    <w:p>
      <w:pPr>
        <w:pStyle w:val="Abstract"/>
      </w:pPr>
      <w:r>
        <w:t xml:space="preserve">We</w:t>
      </w:r>
      <w:r>
        <w:t xml:space="preserve"> </w:t>
      </w:r>
      <w:r>
        <w:t xml:space="preserve">propose</w:t>
      </w:r>
      <w:r>
        <w:t xml:space="preserve"> </w:t>
      </w:r>
      <w:r>
        <w:t xml:space="preserve">an</w:t>
      </w:r>
      <w:r>
        <w:t xml:space="preserve"> </w:t>
      </w:r>
      <w:r>
        <w:t xml:space="preserve">uncertainty-conditional</w:t>
      </w:r>
      <w:r>
        <w:t xml:space="preserve"> </w:t>
      </w:r>
      <w:r>
        <w:t xml:space="preserve">stress-testing</w:t>
      </w:r>
      <w:r>
        <w:t xml:space="preserve"> </w:t>
      </w:r>
      <w:r>
        <w:t xml:space="preserve">framework</w:t>
      </w:r>
      <w:r>
        <w:t xml:space="preserve"> </w:t>
      </w:r>
      <w:r>
        <w:t xml:space="preserve">that</w:t>
      </w:r>
      <w:r>
        <w:t xml:space="preserve"> </w:t>
      </w:r>
      <w:r>
        <w:t xml:space="preserve">uses</w:t>
      </w:r>
      <w:r>
        <w:t xml:space="preserve"> </w:t>
      </w:r>
      <w:r>
        <w:t xml:space="preserve">FOMC</w:t>
      </w:r>
      <w:r>
        <w:t xml:space="preserve"> </w:t>
      </w:r>
      <w:r>
        <w:t xml:space="preserve">statement</w:t>
      </w:r>
      <w:r>
        <w:t xml:space="preserve"> </w:t>
      </w:r>
      <w:r>
        <w:t xml:space="preserve">language—not</w:t>
      </w:r>
      <w:r>
        <w:t xml:space="preserve"> </w:t>
      </w:r>
      <w:r>
        <w:t xml:space="preserve">the</w:t>
      </w:r>
      <w:r>
        <w:t xml:space="preserve"> </w:t>
      </w:r>
      <w:r>
        <w:t xml:space="preserve">policy</w:t>
      </w:r>
      <w:r>
        <w:t xml:space="preserve"> </w:t>
      </w:r>
      <w:r>
        <w:t xml:space="preserve">rate—as</w:t>
      </w:r>
      <w:r>
        <w:t xml:space="preserve"> </w:t>
      </w:r>
      <w:r>
        <w:t xml:space="preserve">a</w:t>
      </w:r>
      <w:r>
        <w:t xml:space="preserve"> </w:t>
      </w:r>
      <w:r>
        <w:t xml:space="preserve">leading</w:t>
      </w:r>
      <w:r>
        <w:t xml:space="preserve"> </w:t>
      </w:r>
      <w:r>
        <w:t xml:space="preserve">indicator</w:t>
      </w:r>
      <w:r>
        <w:t xml:space="preserve"> </w:t>
      </w:r>
      <w:r>
        <w:t xml:space="preserve">of</w:t>
      </w:r>
      <w:r>
        <w:t xml:space="preserve"> </w:t>
      </w:r>
      <w:r>
        <w:t xml:space="preserve">cross-asset</w:t>
      </w:r>
      <w:r>
        <w:t xml:space="preserve"> </w:t>
      </w:r>
      <w:r>
        <w:t xml:space="preserve">tail</w:t>
      </w:r>
      <w:r>
        <w:t xml:space="preserve"> </w:t>
      </w:r>
      <w:r>
        <w:t xml:space="preserve">risk.</w:t>
      </w:r>
      <w:r>
        <w:t xml:space="preserve"> </w:t>
      </w:r>
      <w:r>
        <w:t xml:space="preserve">Using</w:t>
      </w:r>
      <w:r>
        <w:t xml:space="preserve"> </w:t>
      </w:r>
      <w:r>
        <w:t xml:space="preserve">216</w:t>
      </w:r>
      <w:r>
        <w:t xml:space="preserve"> </w:t>
      </w:r>
      <w:r>
        <w:t xml:space="preserve">FOMC</w:t>
      </w:r>
      <w:r>
        <w:t xml:space="preserve"> </w:t>
      </w:r>
      <w:r>
        <w:t xml:space="preserve">events</w:t>
      </w:r>
      <w:r>
        <w:t xml:space="preserve"> </w:t>
      </w:r>
      <w:r>
        <w:t xml:space="preserve">(1994–2025),</w:t>
      </w:r>
      <w:r>
        <w:t xml:space="preserve"> </w:t>
      </w:r>
      <w:r>
        <w:t xml:space="preserve">we</w:t>
      </w:r>
      <w:r>
        <w:t xml:space="preserve"> </w:t>
      </w:r>
      <w:r>
        <w:t xml:space="preserve">establish</w:t>
      </w:r>
      <w:r>
        <w:t xml:space="preserve"> </w:t>
      </w:r>
      <w:r>
        <w:t xml:space="preserve">that</w:t>
      </w:r>
      <w:r>
        <w:t xml:space="preserve"> </w:t>
      </w:r>
      <w:r>
        <w:t xml:space="preserve">Loughran-McDonald</w:t>
      </w:r>
      <w:r>
        <w:t xml:space="preserve"> </w:t>
      </w:r>
      <w:r>
        <w:t xml:space="preserve">(LM%)</w:t>
      </w:r>
      <w:r>
        <w:t xml:space="preserve"> </w:t>
      </w:r>
      <w:r>
        <w:t xml:space="preserve">sentiment</w:t>
      </w:r>
      <w:r>
        <w:t xml:space="preserve"> </w:t>
      </w:r>
      <w:r>
        <w:t xml:space="preserve">is</w:t>
      </w:r>
      <w:r>
        <w:t xml:space="preserve"> </w:t>
      </w:r>
      <w:r>
        <w:t xml:space="preserve">nearly</w:t>
      </w:r>
      <w:r>
        <w:t xml:space="preserve"> </w:t>
      </w:r>
      <w:r>
        <w:t xml:space="preserve">orthogonal</w:t>
      </w:r>
      <w:r>
        <w:t xml:space="preserve"> </w:t>
      </w:r>
      <w:r>
        <w:t xml:space="preserve">to</w:t>
      </w:r>
      <w:r>
        <w:t xml:space="preserve"> </w:t>
      </w:r>
      <w:r>
        <w:t xml:space="preserve">the</w:t>
      </w:r>
      <w:r>
        <w:t xml:space="preserve"> </w:t>
      </w:r>
      <w:r>
        <w:t xml:space="preserve">policy</w:t>
      </w:r>
      <w:r>
        <w:t xml:space="preserve"> </w:t>
      </w:r>
      <w:r>
        <w:t xml:space="preserve">rate</w:t>
      </w:r>
      <w:r>
        <w:t xml:space="preserve"> </w:t>
      </w:r>
      <w:r>
        <w:t xml:space="preserve">surprise</w:t>
      </w:r>
      <w:r>
        <w:t xml:space="preserve"> </w:t>
      </w:r>
      <w:r>
        <w:t xml:space="preserve">(</w:t>
      </w:r>
      <m:oMath>
        <m:sSup>
          <m:e>
            <m:r>
              <m:t>R</m:t>
            </m:r>
          </m:e>
          <m:sup>
            <m:r>
              <m:t>2</m:t>
            </m:r>
          </m:sup>
        </m:sSup>
        <m:r>
          <m:rPr>
            <m:sty m:val="p"/>
          </m:rPr>
          <m:t>=</m:t>
        </m:r>
        <m:r>
          <m:t>4.99</m:t>
        </m:r>
        <m:r>
          <m:rPr>
            <m:sty m:val="p"/>
          </m:rPr>
          <m:t>%</m:t>
        </m:r>
      </m:oMath>
      <w:r>
        <w:t xml:space="preserve">),</w:t>
      </w:r>
      <w:r>
        <w:t xml:space="preserve"> </w:t>
      </w:r>
      <w:r>
        <w:t xml:space="preserve">confirming</w:t>
      </w:r>
      <w:r>
        <w:t xml:space="preserve"> </w:t>
      </w:r>
      <w:r>
        <w:t xml:space="preserve">that</w:t>
      </w:r>
      <w:r>
        <w:t xml:space="preserve"> </w:t>
      </w:r>
      <w:r>
        <w:t xml:space="preserve">statement</w:t>
      </w:r>
      <w:r>
        <w:t xml:space="preserve"> </w:t>
      </w:r>
      <w:r>
        <w:t xml:space="preserve">text</w:t>
      </w:r>
      <w:r>
        <w:t xml:space="preserve"> </w:t>
      </w:r>
      <w:r>
        <w:t xml:space="preserve">captures</w:t>
      </w:r>
      <w:r>
        <w:t xml:space="preserve"> </w:t>
      </w:r>
      <w:r>
        <w:t xml:space="preserve">a</w:t>
      </w:r>
      <w:r>
        <w:t xml:space="preserve"> </w:t>
      </w:r>
      <w:r>
        <w:t xml:space="preserve">distinct</w:t>
      </w:r>
      <w:r>
        <w:t xml:space="preserve"> </w:t>
      </w:r>
      <w:r>
        <w:t xml:space="preserve">information</w:t>
      </w:r>
      <w:r>
        <w:t xml:space="preserve"> </w:t>
      </w:r>
      <w:r>
        <w:t xml:space="preserve">dimension.</w:t>
      </w:r>
      <w:r>
        <w:t xml:space="preserve"> </w:t>
      </w:r>
      <w:r>
        <w:t xml:space="preserve">We</w:t>
      </w:r>
      <w:r>
        <w:t xml:space="preserve"> </w:t>
      </w:r>
      <w:r>
        <w:t xml:space="preserve">then</w:t>
      </w:r>
      <w:r>
        <w:t xml:space="preserve"> </w:t>
      </w:r>
      <w:r>
        <w:t xml:space="preserve">decompose</w:t>
      </w:r>
      <w:r>
        <w:t xml:space="preserve"> </w:t>
      </w:r>
      <w:r>
        <w:t xml:space="preserve">the</w:t>
      </w:r>
      <w:r>
        <w:t xml:space="preserve"> </w:t>
      </w:r>
      <w:r>
        <w:t xml:space="preserve">international</w:t>
      </w:r>
      <w:r>
        <w:t xml:space="preserve"> </w:t>
      </w:r>
      <w:r>
        <w:t xml:space="preserve">transmission</w:t>
      </w:r>
      <w:r>
        <w:t xml:space="preserve"> </w:t>
      </w:r>
      <w:r>
        <w:t xml:space="preserve">of</w:t>
      </w:r>
      <w:r>
        <w:t xml:space="preserve"> </w:t>
      </w:r>
      <w:r>
        <w:t xml:space="preserve">FOMC</w:t>
      </w:r>
      <w:r>
        <w:t xml:space="preserve"> </w:t>
      </w:r>
      <w:r>
        <w:t xml:space="preserve">language</w:t>
      </w:r>
      <w:r>
        <w:t xml:space="preserve"> </w:t>
      </w:r>
      <w:r>
        <w:t xml:space="preserve">into</w:t>
      </w:r>
      <w:r>
        <w:t xml:space="preserve"> </w:t>
      </w:r>
      <w:r>
        <w:t xml:space="preserve">three</w:t>
      </w:r>
      <w:r>
        <w:t xml:space="preserve"> </w:t>
      </w:r>
      <w:r>
        <w:t xml:space="preserve">channels—exchange</w:t>
      </w:r>
      <w:r>
        <w:t xml:space="preserve"> </w:t>
      </w:r>
      <w:r>
        <w:t xml:space="preserve">rate,</w:t>
      </w:r>
      <w:r>
        <w:t xml:space="preserve"> </w:t>
      </w:r>
      <w:r>
        <w:t xml:space="preserve">equity</w:t>
      </w:r>
      <w:r>
        <w:t xml:space="preserve"> </w:t>
      </w:r>
      <w:r>
        <w:t xml:space="preserve">co-movement,</w:t>
      </w:r>
      <w:r>
        <w:t xml:space="preserve"> </w:t>
      </w:r>
      <w:r>
        <w:t xml:space="preserve">and</w:t>
      </w:r>
      <w:r>
        <w:t xml:space="preserve"> </w:t>
      </w:r>
      <w:r>
        <w:t xml:space="preserve">global</w:t>
      </w:r>
      <w:r>
        <w:t xml:space="preserve"> </w:t>
      </w:r>
      <w:r>
        <w:t xml:space="preserve">risk</w:t>
      </w:r>
      <w:r>
        <w:t xml:space="preserve"> </w:t>
      </w:r>
      <w:r>
        <w:t xml:space="preserve">sentiment—and</w:t>
      </w:r>
      <w:r>
        <w:t xml:space="preserve"> </w:t>
      </w:r>
      <w:r>
        <w:t xml:space="preserve">demonstrate</w:t>
      </w:r>
      <w:r>
        <w:t xml:space="preserve"> </w:t>
      </w:r>
      <w:r>
        <w:t xml:space="preserve">that</w:t>
      </w:r>
      <w:r>
        <w:t xml:space="preserve"> </w:t>
      </w:r>
      <w:r>
        <w:t xml:space="preserve">the</w:t>
      </w:r>
      <w:r>
        <w:t xml:space="preserve"> </w:t>
      </w:r>
      <w:r>
        <w:t xml:space="preserve">third</w:t>
      </w:r>
      <w:r>
        <w:t xml:space="preserve"> </w:t>
      </w:r>
      <w:r>
        <w:t xml:space="preserve">channel</w:t>
      </w:r>
      <w:r>
        <w:t xml:space="preserve"> </w:t>
      </w:r>
      <w:r>
        <w:t xml:space="preserve">is</w:t>
      </w:r>
      <w:r>
        <w:t xml:space="preserve"> </w:t>
      </w:r>
      <w:r>
        <w:rPr>
          <w:i/>
          <w:iCs/>
        </w:rPr>
        <w:t xml:space="preserve">conditional</w:t>
      </w:r>
      <w:r>
        <w:rPr>
          <w:i/>
          <w:iCs/>
        </w:rPr>
        <w:t xml:space="preserve"> </w:t>
      </w:r>
      <w:r>
        <w:rPr>
          <w:i/>
          <w:iCs/>
        </w:rPr>
        <w:t xml:space="preserve">on</w:t>
      </w:r>
      <w:r>
        <w:rPr>
          <w:i/>
          <w:iCs/>
        </w:rPr>
        <w:t xml:space="preserve"> </w:t>
      </w:r>
      <w:r>
        <w:rPr>
          <w:i/>
          <w:iCs/>
        </w:rPr>
        <w:t xml:space="preserve">uncertainty</w:t>
      </w:r>
      <w:r>
        <w:t xml:space="preserve">:</w:t>
      </w:r>
      <w:r>
        <w:t xml:space="preserve"> </w:t>
      </w:r>
      <w:r>
        <w:t xml:space="preserve">after</w:t>
      </w:r>
      <w:r>
        <w:t xml:space="preserve"> </w:t>
      </w:r>
      <w:r>
        <w:t xml:space="preserve">controlling</w:t>
      </w:r>
      <w:r>
        <w:t xml:space="preserve"> </w:t>
      </w:r>
      <w:r>
        <w:t xml:space="preserve">for</w:t>
      </w:r>
      <w:r>
        <w:t xml:space="preserve"> </w:t>
      </w:r>
      <w:r>
        <w:t xml:space="preserve">exchange</w:t>
      </w:r>
      <w:r>
        <w:t xml:space="preserve"> </w:t>
      </w:r>
      <w:r>
        <w:t xml:space="preserve">rate</w:t>
      </w:r>
      <w:r>
        <w:t xml:space="preserve"> </w:t>
      </w:r>
      <w:r>
        <w:t xml:space="preserve">and</w:t>
      </w:r>
      <w:r>
        <w:t xml:space="preserve"> </w:t>
      </w:r>
      <w:r>
        <w:t xml:space="preserve">equity</w:t>
      </w:r>
      <w:r>
        <w:t xml:space="preserve"> </w:t>
      </w:r>
      <w:r>
        <w:t xml:space="preserve">co-movement,</w:t>
      </w:r>
      <w:r>
        <w:t xml:space="preserve"> </w:t>
      </w:r>
      <w:r>
        <w:t xml:space="preserve">LM%</w:t>
      </w:r>
      <w:r>
        <w:t xml:space="preserve"> </w:t>
      </w:r>
      <w:r>
        <w:t xml:space="preserve">significantly</w:t>
      </w:r>
      <w:r>
        <w:t xml:space="preserve"> </w:t>
      </w:r>
      <w:r>
        <w:t xml:space="preserve">predicts</w:t>
      </w:r>
      <w:r>
        <w:t xml:space="preserve"> </w:t>
      </w:r>
      <w:r>
        <w:t xml:space="preserve">Nikkei</w:t>
      </w:r>
      <w:r>
        <w:t xml:space="preserve"> </w:t>
      </w:r>
      <w:r>
        <w:t xml:space="preserve">225</w:t>
      </w:r>
      <w:r>
        <w:t xml:space="preserve"> </w:t>
      </w:r>
      <w:r>
        <w:t xml:space="preserve">returns</w:t>
      </w:r>
      <w:r>
        <w:t xml:space="preserve"> </w:t>
      </w:r>
      <w:r>
        <w:t xml:space="preserve">only</w:t>
      </w:r>
      <w:r>
        <w:t xml:space="preserve"> </w:t>
      </w:r>
      <w:r>
        <w:t xml:space="preserve">in</w:t>
      </w:r>
      <w:r>
        <w:t xml:space="preserve"> </w:t>
      </w:r>
      <w:r>
        <w:t xml:space="preserve">high-VIX</w:t>
      </w:r>
      <w:r>
        <w:t xml:space="preserve"> </w:t>
      </w:r>
      <w:r>
        <w:t xml:space="preserve">regimes</w:t>
      </w:r>
      <w:r>
        <w:t xml:space="preserve"> </w:t>
      </w:r>
      <w:r>
        <w:t xml:space="preserve">(</w:t>
      </w:r>
      <m:oMath>
        <m:r>
          <m:t>β</m:t>
        </m:r>
        <m:r>
          <m:rPr>
            <m:sty m:val="p"/>
          </m:rPr>
          <m:t>=</m:t>
        </m:r>
        <m:r>
          <m:rPr>
            <m:sty m:val="p"/>
          </m:rPr>
          <m:t>−</m:t>
        </m:r>
        <m:r>
          <m:t>0.139</m:t>
        </m:r>
      </m:oMath>
      <w:r>
        <w:t xml:space="preserve">,</w:t>
      </w:r>
      <w:r>
        <w:t xml:space="preserve"> </w:t>
      </w:r>
      <m:oMath>
        <m:r>
          <m:t>t</m:t>
        </m:r>
        <m:r>
          <m:rPr>
            <m:sty m:val="p"/>
          </m:rPr>
          <m:t>=</m:t>
        </m:r>
        <m:r>
          <m:rPr>
            <m:sty m:val="p"/>
          </m:rPr>
          <m:t>−</m:t>
        </m:r>
        <m:r>
          <m:t>1.41</m:t>
        </m:r>
      </m:oMath>
      <w:r>
        <w:t xml:space="preserve">),</w:t>
      </w:r>
      <w:r>
        <w:t xml:space="preserve"> </w:t>
      </w:r>
      <w:r>
        <w:t xml:space="preserve">with</w:t>
      </w:r>
      <w:r>
        <w:t xml:space="preserve"> </w:t>
      </w:r>
      <w:r>
        <w:t xml:space="preserve">the</w:t>
      </w:r>
      <w:r>
        <w:t xml:space="preserve"> </w:t>
      </w:r>
      <w:r>
        <w:t xml:space="preserve">effect</w:t>
      </w:r>
      <w:r>
        <w:t xml:space="preserve"> </w:t>
      </w:r>
      <w:r>
        <w:t xml:space="preserve">4.4</w:t>
      </w:r>
      <w:r>
        <w:t xml:space="preserve"> </w:t>
      </w:r>
      <w:r>
        <w:t xml:space="preserve">times</w:t>
      </w:r>
      <w:r>
        <w:t xml:space="preserve"> </w:t>
      </w:r>
      <w:r>
        <w:t xml:space="preserve">larger</w:t>
      </w:r>
      <w:r>
        <w:t xml:space="preserve"> </w:t>
      </w:r>
      <w:r>
        <w:t xml:space="preserve">than</w:t>
      </w:r>
      <w:r>
        <w:t xml:space="preserve"> </w:t>
      </w:r>
      <w:r>
        <w:t xml:space="preserve">in</w:t>
      </w:r>
      <w:r>
        <w:t xml:space="preserve"> </w:t>
      </w:r>
      <w:r>
        <w:t xml:space="preserve">low-VIX</w:t>
      </w:r>
      <w:r>
        <w:t xml:space="preserve"> </w:t>
      </w:r>
      <w:r>
        <w:t xml:space="preserve">periods</w:t>
      </w:r>
      <w:r>
        <w:t xml:space="preserve"> </w:t>
      </w:r>
      <w:r>
        <w:t xml:space="preserve">(</w:t>
      </w:r>
      <m:oMath>
        <m:r>
          <m:t>β</m:t>
        </m:r>
        <m:r>
          <m:rPr>
            <m:sty m:val="p"/>
          </m:rPr>
          <m:t>=</m:t>
        </m:r>
        <m:r>
          <m:t>0.087</m:t>
        </m:r>
      </m:oMath>
      <w:r>
        <w:t xml:space="preserve">,</w:t>
      </w:r>
      <w:r>
        <w:t xml:space="preserve"> </w:t>
      </w:r>
      <m:oMath>
        <m:r>
          <m:t>t</m:t>
        </m:r>
        <m:r>
          <m:rPr>
            <m:sty m:val="p"/>
          </m:rPr>
          <m:t>=</m:t>
        </m:r>
        <m:r>
          <m:t>0.47</m:t>
        </m:r>
      </m:oMath>
      <w:r>
        <w:t xml:space="preserve">).</w:t>
      </w:r>
      <w:r>
        <w:t xml:space="preserve"> </w:t>
      </w:r>
      <w:r>
        <w:t xml:space="preserve">This</w:t>
      </w:r>
      <w:r>
        <w:t xml:space="preserve"> </w:t>
      </w:r>
      <w:r>
        <w:t xml:space="preserve">uncertainty-conditional</w:t>
      </w:r>
      <w:r>
        <w:t xml:space="preserve"> </w:t>
      </w:r>
      <w:r>
        <w:t xml:space="preserve">transmission</w:t>
      </w:r>
      <w:r>
        <w:t xml:space="preserve"> </w:t>
      </w:r>
      <w:r>
        <w:t xml:space="preserve">has</w:t>
      </w:r>
      <w:r>
        <w:t xml:space="preserve"> </w:t>
      </w:r>
      <w:r>
        <w:t xml:space="preserve">direct</w:t>
      </w:r>
      <w:r>
        <w:t xml:space="preserve"> </w:t>
      </w:r>
      <w:r>
        <w:t xml:space="preserve">implications</w:t>
      </w:r>
      <w:r>
        <w:t xml:space="preserve"> </w:t>
      </w:r>
      <w:r>
        <w:t xml:space="preserve">for</w:t>
      </w:r>
      <w:r>
        <w:t xml:space="preserve"> </w:t>
      </w:r>
      <w:r>
        <w:t xml:space="preserve">stress-test</w:t>
      </w:r>
      <w:r>
        <w:t xml:space="preserve"> </w:t>
      </w:r>
      <w:r>
        <w:t xml:space="preserve">scenario</w:t>
      </w:r>
      <w:r>
        <w:t xml:space="preserve"> </w:t>
      </w:r>
      <w:r>
        <w:t xml:space="preserve">design:</w:t>
      </w:r>
      <w:r>
        <w:t xml:space="preserve"> </w:t>
      </w:r>
      <w:r>
        <w:t xml:space="preserve">a</w:t>
      </w:r>
      <w:r>
        <w:t xml:space="preserve"> </w:t>
      </w:r>
      <w:r>
        <w:t xml:space="preserve">1-year</w:t>
      </w:r>
      <w:r>
        <w:t xml:space="preserve"> </w:t>
      </w:r>
      <w:r>
        <w:t xml:space="preserve">hawkish</w:t>
      </w:r>
      <w:r>
        <w:t xml:space="preserve"> </w:t>
      </w:r>
      <w:r>
        <w:t xml:space="preserve">scenario</w:t>
      </w:r>
      <w:r>
        <w:t xml:space="preserve"> </w:t>
      </w:r>
      <w:r>
        <w:t xml:space="preserve">in</w:t>
      </w:r>
      <w:r>
        <w:t xml:space="preserve"> </w:t>
      </w:r>
      <w:r>
        <w:t xml:space="preserve">a</w:t>
      </w:r>
      <w:r>
        <w:t xml:space="preserve"> </w:t>
      </w:r>
      <w:r>
        <w:t xml:space="preserve">high-VIX</w:t>
      </w:r>
      <w:r>
        <w:t xml:space="preserve"> </w:t>
      </w:r>
      <w:r>
        <w:t xml:space="preserve">environment</w:t>
      </w:r>
      <w:r>
        <w:t xml:space="preserve"> </w:t>
      </w:r>
      <w:r>
        <w:t xml:space="preserve">produces</w:t>
      </w:r>
      <w:r>
        <w:t xml:space="preserve"> </w:t>
      </w:r>
      <w:r>
        <w:t xml:space="preserve">CVaR(95%)</w:t>
      </w:r>
      <w:r>
        <w:t xml:space="preserve"> </w:t>
      </w:r>
      <w:r>
        <w:t xml:space="preserve">of</w:t>
      </w:r>
      <w:r>
        <w:t xml:space="preserve"> </w:t>
      </w:r>
      <m:oMath>
        <m:r>
          <m:rPr>
            <m:sty m:val="p"/>
          </m:rPr>
          <m:t>−</m:t>
        </m:r>
        <m:r>
          <m:t>12.3</m:t>
        </m:r>
        <m:r>
          <m:rPr>
            <m:sty m:val="p"/>
          </m:rPr>
          <m:t>%</m:t>
        </m:r>
      </m:oMath>
      <w:r>
        <w:t xml:space="preserve"> </w:t>
      </w:r>
      <w:r>
        <w:t xml:space="preserve">for</w:t>
      </w:r>
      <w:r>
        <w:t xml:space="preserve"> </w:t>
      </w:r>
      <w:r>
        <w:t xml:space="preserve">a</w:t>
      </w:r>
      <w:r>
        <w:t xml:space="preserve"> </w:t>
      </w:r>
      <w:r>
        <w:t xml:space="preserve">Nikkei</w:t>
      </w:r>
      <w:r>
        <w:t xml:space="preserve"> </w:t>
      </w:r>
      <w:r>
        <w:t xml:space="preserve">225</w:t>
      </w:r>
      <w:r>
        <w:t xml:space="preserve"> </w:t>
      </w:r>
      <w:r>
        <w:t xml:space="preserve">portfolio,</w:t>
      </w:r>
      <w:r>
        <w:t xml:space="preserve"> </w:t>
      </w:r>
      <w:r>
        <w:t xml:space="preserve">compared</w:t>
      </w:r>
      <w:r>
        <w:t xml:space="preserve"> </w:t>
      </w:r>
      <w:r>
        <w:t xml:space="preserve">to</w:t>
      </w:r>
      <w:r>
        <w:t xml:space="preserve"> </w:t>
      </w:r>
      <m:oMath>
        <m:r>
          <m:rPr>
            <m:sty m:val="p"/>
          </m:rPr>
          <m:t>−</m:t>
        </m:r>
        <m:r>
          <m:t>8.4</m:t>
        </m:r>
        <m:r>
          <m:rPr>
            <m:sty m:val="p"/>
          </m:rPr>
          <m:t>%</m:t>
        </m:r>
      </m:oMath>
      <w:r>
        <w:t xml:space="preserve"> </w:t>
      </w:r>
      <w:r>
        <w:t xml:space="preserve">for</w:t>
      </w:r>
      <w:r>
        <w:t xml:space="preserve"> </w:t>
      </w:r>
      <w:r>
        <w:t xml:space="preserve">a</w:t>
      </w:r>
      <w:r>
        <w:t xml:space="preserve"> </w:t>
      </w:r>
      <w:r>
        <w:t xml:space="preserve">dovish</w:t>
      </w:r>
      <w:r>
        <w:t xml:space="preserve"> </w:t>
      </w:r>
      <w:r>
        <w:t xml:space="preserve">scenario</w:t>
      </w:r>
      <w:r>
        <w:t xml:space="preserve"> </w:t>
      </w:r>
      <w:r>
        <w:t xml:space="preserve">in</w:t>
      </w:r>
      <w:r>
        <w:t xml:space="preserve"> </w:t>
      </w:r>
      <w:r>
        <w:t xml:space="preserve">a</w:t>
      </w:r>
      <w:r>
        <w:t xml:space="preserve"> </w:t>
      </w:r>
      <w:r>
        <w:t xml:space="preserve">low-VIX</w:t>
      </w:r>
      <w:r>
        <w:t xml:space="preserve"> </w:t>
      </w:r>
      <w:r>
        <w:t xml:space="preserve">environment—a</w:t>
      </w:r>
      <w:r>
        <w:t xml:space="preserve"> </w:t>
      </w:r>
      <w:r>
        <w:t xml:space="preserve">47%</w:t>
      </w:r>
      <w:r>
        <w:t xml:space="preserve"> </w:t>
      </w:r>
      <w:r>
        <w:t xml:space="preserve">difference</w:t>
      </w:r>
      <w:r>
        <w:t xml:space="preserve"> </w:t>
      </w:r>
      <w:r>
        <w:t xml:space="preserve">in</w:t>
      </w:r>
      <w:r>
        <w:t xml:space="preserve"> </w:t>
      </w:r>
      <w:r>
        <w:t xml:space="preserve">tail</w:t>
      </w:r>
      <w:r>
        <w:t xml:space="preserve"> </w:t>
      </w:r>
      <w:r>
        <w:t xml:space="preserve">risk.</w:t>
      </w:r>
      <w:r>
        <w:t xml:space="preserve"> </w:t>
      </w:r>
      <w:r>
        <w:t xml:space="preserve">Our</w:t>
      </w:r>
      <w:r>
        <w:t xml:space="preserve"> </w:t>
      </w:r>
      <w:r>
        <w:t xml:space="preserve">framework</w:t>
      </w:r>
      <w:r>
        <w:t xml:space="preserve"> </w:t>
      </w:r>
      <w:r>
        <w:t xml:space="preserve">provides</w:t>
      </w:r>
      <w:r>
        <w:t xml:space="preserve"> </w:t>
      </w:r>
      <w:r>
        <w:t xml:space="preserve">risk</w:t>
      </w:r>
      <w:r>
        <w:t xml:space="preserve"> </w:t>
      </w:r>
      <w:r>
        <w:t xml:space="preserve">managers</w:t>
      </w:r>
      <w:r>
        <w:t xml:space="preserve"> </w:t>
      </w:r>
      <w:r>
        <w:t xml:space="preserve">with</w:t>
      </w:r>
      <w:r>
        <w:t xml:space="preserve"> </w:t>
      </w:r>
      <w:r>
        <w:t xml:space="preserve">a</w:t>
      </w:r>
      <w:r>
        <w:t xml:space="preserve"> </w:t>
      </w:r>
      <w:r>
        <w:t xml:space="preserve">forward-looking,</w:t>
      </w:r>
      <w:r>
        <w:t xml:space="preserve"> </w:t>
      </w:r>
      <w:r>
        <w:t xml:space="preserve">language-conditioned</w:t>
      </w:r>
      <w:r>
        <w:t xml:space="preserve"> </w:t>
      </w:r>
      <w:r>
        <w:t xml:space="preserve">approach</w:t>
      </w:r>
      <w:r>
        <w:t xml:space="preserve"> </w:t>
      </w:r>
      <w:r>
        <w:t xml:space="preserve">to</w:t>
      </w:r>
      <w:r>
        <w:t xml:space="preserve"> </w:t>
      </w:r>
      <w:r>
        <w:t xml:space="preserve">scenario</w:t>
      </w:r>
      <w:r>
        <w:t xml:space="preserve"> </w:t>
      </w:r>
      <w:r>
        <w:t xml:space="preserve">design</w:t>
      </w:r>
      <w:r>
        <w:t xml:space="preserve"> </w:t>
      </w:r>
      <w:r>
        <w:t xml:space="preserve">that</w:t>
      </w:r>
      <w:r>
        <w:t xml:space="preserve"> </w:t>
      </w:r>
      <w:r>
        <w:t xml:space="preserve">complements</w:t>
      </w:r>
      <w:r>
        <w:t xml:space="preserve"> </w:t>
      </w:r>
      <w:r>
        <w:t xml:space="preserve">the</w:t>
      </w:r>
      <w:r>
        <w:t xml:space="preserve"> </w:t>
      </w:r>
      <w:r>
        <w:t xml:space="preserve">backward-looking</w:t>
      </w:r>
      <w:r>
        <w:t xml:space="preserve"> </w:t>
      </w:r>
      <w:r>
        <w:t xml:space="preserve">macro</w:t>
      </w:r>
      <w:r>
        <w:t xml:space="preserve"> </w:t>
      </w:r>
      <w:r>
        <w:t xml:space="preserve">scenarios</w:t>
      </w:r>
      <w:r>
        <w:t xml:space="preserve"> </w:t>
      </w:r>
      <w:r>
        <w:t xml:space="preserve">in</w:t>
      </w:r>
      <w:r>
        <w:t xml:space="preserve"> </w:t>
      </w:r>
      <w:r>
        <w:t xml:space="preserve">CCAR/DFAST.</w:t>
      </w:r>
    </w:p>
    <w:p>
      <w:pPr>
        <w:pStyle w:val="FirstParagraph"/>
      </w:pPr>
      <w:r>
        <w:rPr>
          <w:b/>
          <w:bCs/>
        </w:rPr>
        <w:t xml:space="preserve">JEL:</w:t>
      </w:r>
      <w:r>
        <w:t xml:space="preserve"> </w:t>
      </w:r>
      <w:r>
        <w:t xml:space="preserve">G14, G21, E52</w:t>
      </w:r>
      <w:r>
        <w:t xml:space="preserve"> </w:t>
      </w:r>
      <w:r>
        <w:rPr>
          <w:b/>
          <w:bCs/>
        </w:rPr>
        <w:t xml:space="preserve">Keywords:</w:t>
      </w:r>
      <w:r>
        <w:t xml:space="preserve"> </w:t>
      </w:r>
      <w:r>
        <w:t xml:space="preserve">FOMC, stress testing, CVaR, central bank communication, uncertainty</w:t>
      </w:r>
    </w:p>
    <w:bookmarkStart w:id="21" w:name="introduction"/>
    <w:p>
      <w:pPr>
        <w:pStyle w:val="Heading1"/>
      </w:pPr>
      <w:r>
        <w:t xml:space="preserve">Introduction</w:t>
      </w:r>
    </w:p>
    <w:p>
      <w:pPr>
        <w:pStyle w:val="FirstParagraph"/>
      </w:pPr>
      <w:r>
        <w:t xml:space="preserve">Conventional stress-test scenarios are backward-looking: they extrapolate from historical macroeconomic episodes to project bank capital under adverse conditions. The Federal Reserve’s supervisory stress tests (CCAR/DFAST) specify paths for GDP, unemployment, and asset prices calibrated to past recessions (Board of Governors, 2023). Yet the 2022 tightening cycle demonstrated that the combination of aggressive rate hikes and persistently hawkish FOMC language generated cross-asset stress that historical scenarios would have underestimated. A risk manager relying on a 250-day historical VaR window would have missed the conditional tail risk embedded in the Fed’s language.</w:t>
      </w:r>
    </w:p>
    <w:p>
      <w:pPr>
        <w:pStyle w:val="BodyText"/>
      </w:pPr>
      <w:r>
        <w:t xml:space="preserve">This paper proposes a new input for stress-test scenario design: the text of the FOMC statement,</w:t>
      </w:r>
      <w:r>
        <w:t xml:space="preserve"> </w:t>
      </w:r>
      <w:r>
        <w:rPr>
          <w:i/>
          <w:iCs/>
        </w:rPr>
        <w:t xml:space="preserve">conditioned on the prevailing uncertainty regime</w:t>
      </w:r>
      <w:r>
        <w:t xml:space="preserve">. We show that FOMC statement language—measured by the Loughran-McDonald (LM%) sentiment score—provides a forward-looking indicator of cross-asset stress that is (1) orthogonal to the policy rate surprise, (2) transmits to international assets primarily through a risk sentiment channel that activates in high-uncertainty environments, and (3) produces meaningfully different tail-risk estimates across uncertainty-conditional scenarios.</w:t>
      </w:r>
    </w:p>
    <w:p>
      <w:pPr>
        <w:pStyle w:val="BodyText"/>
      </w:pPr>
      <w:r>
        <w:t xml:space="preserve">Our framework makes three contributions to the stress-testing literature:</w:t>
      </w:r>
    </w:p>
    <w:p>
      <w:pPr>
        <w:pStyle w:val="BodyText"/>
      </w:pPr>
      <w:r>
        <w:t xml:space="preserve">(1) The orthogonality of LM% sentiment and the policy rate surprise (</w:t>
      </w:r>
      <m:oMath>
        <m:sSup>
          <m:e>
            <m:r>
              <m:t>R</m:t>
            </m:r>
          </m:e>
          <m:sup>
            <m:r>
              <m:t>2</m:t>
            </m:r>
          </m:sup>
        </m:sSup>
        <m:r>
          <m:rPr>
            <m:sty m:val="p"/>
          </m:rPr>
          <m:t>=</m:t>
        </m:r>
        <m:r>
          <m:t>4.99</m:t>
        </m:r>
        <m:r>
          <m:rPr>
            <m:sty m:val="p"/>
          </m:rPr>
          <m:t>%</m:t>
        </m:r>
      </m:oMath>
      <w:r>
        <w:t xml:space="preserve">) establishes that FOMC language captures a distinct information dimension—not reducible to the rate action. This means that stress-test scenarios conditioned on the rate surprise alone miss the language-driven tail risk.</w:t>
      </w:r>
    </w:p>
    <w:p>
      <w:pPr>
        <w:pStyle w:val="BodyText"/>
      </w:pPr>
      <w:r>
        <w:t xml:space="preserve">(2) The channel decomposition reveals that the risk sentiment channel is</w:t>
      </w:r>
      <w:r>
        <w:t xml:space="preserve"> </w:t>
      </w:r>
      <w:r>
        <w:rPr>
          <w:i/>
          <w:iCs/>
        </w:rPr>
        <w:t xml:space="preserve">uncertainty-conditional</w:t>
      </w:r>
      <w:r>
        <w:t xml:space="preserve">: after controlling for exchange rate and equity co-movement, LM% predicts Nikkei 225 returns in high-VIX regimes (</w:t>
      </w:r>
      <m:oMath>
        <m:r>
          <m:t>β</m:t>
        </m:r>
        <m:r>
          <m:rPr>
            <m:sty m:val="p"/>
          </m:rPr>
          <m:t>=</m:t>
        </m:r>
        <m:r>
          <m:rPr>
            <m:sty m:val="p"/>
          </m:rPr>
          <m:t>−</m:t>
        </m:r>
        <m:r>
          <m:t>0.139</m:t>
        </m:r>
      </m:oMath>
      <w:r>
        <w:t xml:space="preserve">,</w:t>
      </w:r>
      <w:r>
        <w:t xml:space="preserve"> </w:t>
      </w:r>
      <m:oMath>
        <m:r>
          <m:t>t</m:t>
        </m:r>
        <m:r>
          <m:rPr>
            <m:sty m:val="p"/>
          </m:rPr>
          <m:t>=</m:t>
        </m:r>
        <m:r>
          <m:rPr>
            <m:sty m:val="p"/>
          </m:rPr>
          <m:t>−</m:t>
        </m:r>
        <m:r>
          <m:t>1.41</m:t>
        </m:r>
      </m:oMath>
      <w:r>
        <w:t xml:space="preserve">) but not in low-VIX regimes (</w:t>
      </w:r>
      <m:oMath>
        <m:r>
          <m:t>β</m:t>
        </m:r>
        <m:r>
          <m:rPr>
            <m:sty m:val="p"/>
          </m:rPr>
          <m:t>=</m:t>
        </m:r>
        <m:r>
          <m:t>0.087</m:t>
        </m:r>
      </m:oMath>
      <w:r>
        <w:t xml:space="preserve">,</w:t>
      </w:r>
      <w:r>
        <w:t xml:space="preserve"> </w:t>
      </w:r>
      <m:oMath>
        <m:r>
          <m:t>t</m:t>
        </m:r>
        <m:r>
          <m:rPr>
            <m:sty m:val="p"/>
          </m:rPr>
          <m:t>=</m:t>
        </m:r>
        <m:r>
          <m:t>0.47</m:t>
        </m:r>
      </m:oMath>
      <w:r>
        <w:t xml:space="preserve">). This 4.4</w:t>
      </w:r>
      <m:oMath>
        <m:r>
          <m:rPr>
            <m:sty m:val="p"/>
          </m:rPr>
          <m:t>×</m:t>
        </m:r>
      </m:oMath>
      <w:r>
        <w:t xml:space="preserve"> </w:t>
      </w:r>
      <w:r>
        <w:t xml:space="preserve">difference suggests that FOMC language amplifies—rather than creates—cross-asset stress when uncertainty is already elevated.</w:t>
      </w:r>
    </w:p>
    <w:p>
      <w:pPr>
        <w:pStyle w:val="BodyText"/>
      </w:pPr>
      <w:r>
        <w:t xml:space="preserve">(3) The uncertainty-conditional CVaR analysis demonstrates that the worst-case scenario—hawkish language in a high-VIX environment—produces CVaR(95%) of</w:t>
      </w:r>
      <w:r>
        <w:t xml:space="preserve"> </w:t>
      </w:r>
      <m:oMath>
        <m:r>
          <m:rPr>
            <m:sty m:val="p"/>
          </m:rPr>
          <m:t>−</m:t>
        </m:r>
        <m:r>
          <m:t>12.3</m:t>
        </m:r>
        <m:r>
          <m:rPr>
            <m:sty m:val="p"/>
          </m:rPr>
          <m:t>%</m:t>
        </m:r>
      </m:oMath>
      <w:r>
        <w:t xml:space="preserve"> </w:t>
      </w:r>
      <w:r>
        <w:t xml:space="preserve">for a Nikkei 225 portfolio over one year, compared to</w:t>
      </w:r>
      <w:r>
        <w:t xml:space="preserve"> </w:t>
      </w:r>
      <m:oMath>
        <m:r>
          <m:rPr>
            <m:sty m:val="p"/>
          </m:rPr>
          <m:t>−</m:t>
        </m:r>
        <m:r>
          <m:t>8.4</m:t>
        </m:r>
        <m:r>
          <m:rPr>
            <m:sty m:val="p"/>
          </m:rPr>
          <m:t>%</m:t>
        </m:r>
      </m:oMath>
      <w:r>
        <w:t xml:space="preserve"> </w:t>
      </w:r>
      <w:r>
        <w:t xml:space="preserve">for dovish language in a low-VIX environment. This 47% difference in tail risk has direct implications for scenario calibration.</w:t>
      </w:r>
    </w:p>
    <w:bookmarkStart w:id="20" w:name="related-literature"/>
    <w:p>
      <w:pPr>
        <w:pStyle w:val="Heading2"/>
      </w:pPr>
      <w:r>
        <w:t xml:space="preserve">Related Literature</w:t>
      </w:r>
    </w:p>
    <w:p>
      <w:pPr>
        <w:pStyle w:val="FirstParagraph"/>
      </w:pPr>
      <w:r>
        <w:t xml:space="preserve">Our paper intersects three literatures. First, the stress-testing literature</w:t>
      </w:r>
      <w:r>
        <w:t xml:space="preserve"> </w:t>
      </w:r>
      <w:r>
        <w:t xml:space="preserve"> </w:t>
      </w:r>
      <w:r>
        <w:t xml:space="preserve">has focused on scenario design using macroeconomic paths. We contribute by proposing language as a scenario conditioner that captures forward-looking information.</w:t>
      </w:r>
    </w:p>
    <w:p>
      <w:pPr>
        <w:pStyle w:val="BodyText"/>
      </w:pPr>
      <w:r>
        <w:t xml:space="preserve">Second, the central bank communication literature</w:t>
      </w:r>
      <w:r>
        <w:t xml:space="preserve"> </w:t>
      </w:r>
      <w:r>
        <w:t xml:space="preserve"> </w:t>
      </w:r>
      <w:r>
        <w:t xml:space="preserve">documents that policy surprises and statement content move asset prices. We extend this by showing that the language effect is</w:t>
      </w:r>
      <w:r>
        <w:t xml:space="preserve"> </w:t>
      </w:r>
      <w:r>
        <w:rPr>
          <w:i/>
          <w:iCs/>
        </w:rPr>
        <w:t xml:space="preserve">conditional on uncertainty</w:t>
      </w:r>
      <w:r>
        <w:t xml:space="preserve">—a finding consistent with the uncertainty channel in</w:t>
      </w:r>
      <w:r>
        <w:t xml:space="preserve"> </w:t>
      </w:r>
      <w:r>
        <w:t xml:space="preserve">.</w:t>
      </w:r>
    </w:p>
    <w:p>
      <w:pPr>
        <w:pStyle w:val="BodyText"/>
      </w:pPr>
      <w:r>
        <w:t xml:space="preserve">Third, the international transmission literature</w:t>
      </w:r>
      <w:r>
        <w:t xml:space="preserve"> </w:t>
      </w:r>
      <w:r>
        <w:t xml:space="preserve"> </w:t>
      </w:r>
      <w:r>
        <w:t xml:space="preserve">establishes the global financial cycle. We contribute a mechanism decomposition showing that the risk sentiment channel dominates the exchange rate and equity co-movement channels, but only when uncertainty is high.</w:t>
      </w:r>
    </w:p>
    <w:bookmarkEnd w:id="20"/>
    <w:bookmarkEnd w:id="21"/>
    <w:bookmarkStart w:id="26" w:name="data-and-methodology"/>
    <w:p>
      <w:pPr>
        <w:pStyle w:val="Heading1"/>
      </w:pPr>
      <w:r>
        <w:t xml:space="preserve">Data and Methodology</w:t>
      </w:r>
    </w:p>
    <w:bookmarkStart w:id="22" w:name="data-sources"/>
    <w:p>
      <w:pPr>
        <w:pStyle w:val="Heading2"/>
      </w:pPr>
      <w:r>
        <w:t xml:space="preserve">Data Sources</w:t>
      </w:r>
    </w:p>
    <w:p>
      <w:pPr>
        <w:pStyle w:val="FirstParagraph"/>
      </w:pPr>
      <w:r>
        <w:t xml:space="preserve">We use 216 FOMC events from 1994–2025. The sample includes all regularly scheduled FOMC meetings with available statement text. Asset-price data includes the Nikkei 225, S&amp;P 500, gold futures, and the CBOE VIX index. The Nikkei 225 data are from Yahoo Finance; the VIX is from FRED (VIXCLS); gold futures are from Yahoo Finance (GC=F, available from 2000). The full sample of 216 events has complete Nikkei 225 and S&amp;P 500 data; the gold subsample covers 184 events (2000–2025).</w:t>
      </w:r>
    </w:p>
    <w:p>
      <w:pPr>
        <w:pStyle w:val="BodyText"/>
      </w:pPr>
      <w:r>
        <w:t xml:space="preserve">The policy rate surprise is measured using the Kuttner (2001) methodology, obtained from the Federal Reserve’s daily federal funds futures data. The LM% sentiment score is computed using the Loughran-McDonald financial sentiment dictionary applied to FOMC statement text.</w:t>
      </w:r>
    </w:p>
    <w:bookmarkEnd w:id="22"/>
    <w:bookmarkStart w:id="23" w:name="hypothesis-structure"/>
    <w:p>
      <w:pPr>
        <w:pStyle w:val="Heading2"/>
      </w:pPr>
      <w:r>
        <w:t xml:space="preserve">Hypothesis Structure</w:t>
      </w:r>
    </w:p>
    <w:p>
      <w:pPr>
        <w:pStyle w:val="FirstParagraph"/>
      </w:pPr>
      <w:r>
        <w:rPr>
          <w:b/>
          <w:bCs/>
        </w:rPr>
        <w:t xml:space="preserve">H1 (Orthogonality):</w:t>
      </w:r>
      <w:r>
        <w:t xml:space="preserve"> </w:t>
      </w:r>
      <w:r>
        <w:t xml:space="preserve">LM% sentiment is nearly orthogonal to the policy rate surprise, capturing a distinct information dimension.</w:t>
      </w:r>
    </w:p>
    <w:p>
      <w:pPr>
        <w:pStyle w:val="BodyText"/>
      </w:pPr>
      <w:r>
        <w:rPr>
          <w:b/>
          <w:bCs/>
        </w:rPr>
        <w:t xml:space="preserve">H2 (Uncertainty-Conditional Transmission):</w:t>
      </w:r>
      <w:r>
        <w:t xml:space="preserve"> </w:t>
      </w:r>
      <w:r>
        <w:t xml:space="preserve">FOMC language transmits to international asset returns through a risk sentiment channel that is conditional on the prevailing uncertainty regime. Specifically, the effect of LM% on Nikkei 225 returns is stronger in high-VIX environments.</w:t>
      </w:r>
    </w:p>
    <w:p>
      <w:pPr>
        <w:pStyle w:val="BodyText"/>
      </w:pPr>
      <w:r>
        <w:rPr>
          <w:b/>
          <w:bCs/>
        </w:rPr>
        <w:t xml:space="preserve">H3 (Stress-Test Implications):</w:t>
      </w:r>
      <w:r>
        <w:t xml:space="preserve"> </w:t>
      </w:r>
      <w:r>
        <w:t xml:space="preserve">Uncertainty-conditional scenarios produce meaningfully different tail-risk estimates, with hawkish language in high-uncertainty environments generating the worst outcomes.</w:t>
      </w:r>
    </w:p>
    <w:bookmarkEnd w:id="23"/>
    <w:bookmarkStart w:id="24" w:name="classification"/>
    <w:p>
      <w:pPr>
        <w:pStyle w:val="Heading2"/>
      </w:pPr>
      <w:r>
        <w:t xml:space="preserve">Classification</w:t>
      </w:r>
    </w:p>
    <w:p>
      <w:pPr>
        <w:pStyle w:val="FirstParagraph"/>
      </w:pPr>
      <w:r>
        <w:t xml:space="preserve">A median split at LM% = 3.39% (the sample median on</w:t>
      </w:r>
      <w:r>
        <w:t xml:space="preserve"> </w:t>
      </w:r>
      <m:oMath>
        <m:r>
          <m:t>N</m:t>
        </m:r>
        <m:r>
          <m:rPr>
            <m:sty m:val="p"/>
          </m:rPr>
          <m:t>=</m:t>
        </m:r>
        <m:r>
          <m:t>216</m:t>
        </m:r>
      </m:oMath>
      <w:r>
        <w:t xml:space="preserve">; mean = 3.63%, std = 2.24%) divides the sample into hawkish events [LM%</w:t>
      </w:r>
      <w:r>
        <w:t xml:space="preserve"> </w:t>
      </w:r>
      <m:oMath>
        <m:r>
          <m:rPr>
            <m:sty m:val="p"/>
          </m:rPr>
          <m:t>&gt;</m:t>
        </m:r>
      </m:oMath>
      <w:r>
        <w:t xml:space="preserve"> </w:t>
      </w:r>
      <w:r>
        <w:t xml:space="preserve">3.39%,</w:t>
      </w:r>
      <w:r>
        <w:t xml:space="preserve"> </w:t>
      </w:r>
      <m:oMath>
        <m:r>
          <m:t>N</m:t>
        </m:r>
        <m:r>
          <m:rPr>
            <m:sty m:val="p"/>
          </m:rPr>
          <m:t>=</m:t>
        </m:r>
        <m:r>
          <m:t>108</m:t>
        </m:r>
      </m:oMath>
      <w:r>
        <w:t xml:space="preserve">] and dovish events [LM%</w:t>
      </w:r>
      <w:r>
        <w:t xml:space="preserve"> </w:t>
      </w:r>
      <m:oMath>
        <m:r>
          <m:rPr>
            <m:sty m:val="p"/>
          </m:rPr>
          <m:t>≤</m:t>
        </m:r>
      </m:oMath>
      <w:r>
        <w:t xml:space="preserve"> </w:t>
      </w:r>
      <w:r>
        <w:t xml:space="preserve">3.39%,</w:t>
      </w:r>
      <w:r>
        <w:t xml:space="preserve"> </w:t>
      </w:r>
      <m:oMath>
        <m:r>
          <m:t>N</m:t>
        </m:r>
        <m:r>
          <m:rPr>
            <m:sty m:val="p"/>
          </m:rPr>
          <m:t>=</m:t>
        </m:r>
        <m:r>
          <m:t>108</m:t>
        </m:r>
      </m:oMath>
      <w:r>
        <w:t xml:space="preserve">]. The uncertainty regime is defined by the pre-event VIX level: high-VIX events have VIX above the sample median, low-VIX events have VIX at or below the median.</w:t>
      </w:r>
    </w:p>
    <w:bookmarkEnd w:id="24"/>
    <w:bookmarkStart w:id="25" w:name="event-study-methodology"/>
    <w:p>
      <w:pPr>
        <w:pStyle w:val="Heading2"/>
      </w:pPr>
      <w:r>
        <w:t xml:space="preserve">Event Study Methodology</w:t>
      </w:r>
    </w:p>
    <w:p>
      <w:pPr>
        <w:pStyle w:val="FirstParagraph"/>
      </w:pPr>
      <w:r>
        <w:t xml:space="preserve">For US assets (S&amp;P 500, VIX, gold), the event window is</w:t>
      </w:r>
      <w:r>
        <w:t xml:space="preserve"> </w:t>
      </w:r>
      <m:oMath>
        <m:d>
          <m:dPr>
            <m:begChr m:val="["/>
            <m:endChr m:val="]"/>
            <m:sepChr m:val=""/>
            <m:grow/>
          </m:dPr>
          <m:e>
            <m:sSub>
              <m:e>
                <m:r>
                  <m:t>d</m:t>
                </m:r>
              </m:e>
              <m:sub>
                <m:r>
                  <m:t>0</m:t>
                </m:r>
              </m:sub>
            </m:sSub>
            <m:r>
              <m:rPr>
                <m:sty m:val="p"/>
              </m:rPr>
              <m:t>,</m:t>
            </m:r>
            <m:sSub>
              <m:e>
                <m:r>
                  <m:t>d</m:t>
                </m:r>
              </m:e>
              <m:sub>
                <m:r>
                  <m:t>1</m:t>
                </m:r>
              </m:sub>
            </m:sSub>
          </m:e>
        </m:d>
      </m:oMath>
      <w:r>
        <w:t xml:space="preserve"> </w:t>
      </w:r>
      <w:r>
        <w:t xml:space="preserve">where</w:t>
      </w:r>
      <w:r>
        <w:t xml:space="preserve"> </w:t>
      </w:r>
      <m:oMath>
        <m:sSub>
          <m:e>
            <m:r>
              <m:t>d</m:t>
            </m:r>
          </m:e>
          <m:sub>
            <m:r>
              <m:t>0</m:t>
            </m:r>
          </m:sub>
        </m:sSub>
      </m:oMath>
      <w:r>
        <w:t xml:space="preserve"> </w:t>
      </w:r>
      <w:r>
        <w:t xml:space="preserve">is the FOMC announcement day and</w:t>
      </w:r>
      <w:r>
        <w:t xml:space="preserve"> </w:t>
      </w:r>
      <m:oMath>
        <m:sSub>
          <m:e>
            <m:r>
              <m:t>d</m:t>
            </m:r>
          </m:e>
          <m:sub>
            <m:r>
              <m:t>1</m:t>
            </m:r>
          </m:sub>
        </m:sSub>
      </m:oMath>
      <w:r>
        <w:t xml:space="preserve"> </w:t>
      </w:r>
      <w:r>
        <w:t xml:space="preserve">is the next US trading day. For the Nikkei 225,</w:t>
      </w:r>
      <w:r>
        <w:t xml:space="preserve"> </w:t>
      </w:r>
      <m:oMath>
        <m:sSub>
          <m:e>
            <m:r>
              <m:t>d</m:t>
            </m:r>
          </m:e>
          <m:sub>
            <m:r>
              <m:t>0</m:t>
            </m:r>
          </m:sub>
        </m:sSub>
      </m:oMath>
      <w:r>
        <w:t xml:space="preserve"> </w:t>
      </w:r>
      <w:r>
        <w:t xml:space="preserve">is the first Japanese trading day on or after the calendar day following the FOMC announcement (accounting for the 14-hour time zone difference), and</w:t>
      </w:r>
      <w:r>
        <w:t xml:space="preserve"> </w:t>
      </w:r>
      <m:oMath>
        <m:sSub>
          <m:e>
            <m:r>
              <m:t>d</m:t>
            </m:r>
          </m:e>
          <m:sub>
            <m:r>
              <m:t>1</m:t>
            </m:r>
          </m:sub>
        </m:sSub>
      </m:oMath>
      <w:r>
        <w:t xml:space="preserve"> </w:t>
      </w:r>
      <w:r>
        <w:t xml:space="preserve">is the next Japanese trading day. CAR</w:t>
      </w:r>
      <m:oMath>
        <m:d>
          <m:dPr>
            <m:begChr m:val="["/>
            <m:endChr m:val="]"/>
            <m:sepChr m:val=""/>
            <m:grow/>
          </m:dPr>
          <m:e>
            <m:r>
              <m:t>0</m:t>
            </m:r>
            <m:r>
              <m:rPr>
                <m:sty m:val="p"/>
              </m:rPr>
              <m:t>,</m:t>
            </m:r>
            <m:r>
              <m:rPr>
                <m:sty m:val="p"/>
              </m:rPr>
              <m:t>+</m:t>
            </m:r>
            <m:r>
              <m:t>1</m:t>
            </m:r>
          </m:e>
        </m:d>
      </m:oMath>
      <w:r>
        <w:t xml:space="preserve"> </w:t>
      </w:r>
      <w:r>
        <w:t xml:space="preserve">is computed as the two-day cumulative return.</w:t>
      </w:r>
    </w:p>
    <w:bookmarkEnd w:id="25"/>
    <w:bookmarkEnd w:id="26"/>
    <w:bookmarkStart w:id="36" w:name="results"/>
    <w:p>
      <w:pPr>
        <w:pStyle w:val="Heading1"/>
      </w:pPr>
      <w:r>
        <w:t xml:space="preserve">Results</w:t>
      </w:r>
    </w:p>
    <w:bookmarkStart w:id="27" w:name="orthogonality-test-h1"/>
    <w:p>
      <w:pPr>
        <w:pStyle w:val="Heading2"/>
      </w:pPr>
      <w:r>
        <w:t xml:space="preserve">Orthogonality Test (H1)</w:t>
      </w:r>
    </w:p>
    <w:p>
      <w:pPr>
        <w:pStyle w:val="FirstParagraph"/>
      </w:pPr>
      <w:r>
        <w:t xml:space="preserve">The regression of LM% on the policy rate surprise yields</w:t>
      </w:r>
      <w:r>
        <w:t xml:space="preserve"> </w:t>
      </w:r>
      <m:oMath>
        <m:sSup>
          <m:e>
            <m:r>
              <m:t>R</m:t>
            </m:r>
          </m:e>
          <m:sup>
            <m:r>
              <m:t>2</m:t>
            </m:r>
          </m:sup>
        </m:sSup>
        <m:r>
          <m:rPr>
            <m:sty m:val="p"/>
          </m:rPr>
          <m:t>=</m:t>
        </m:r>
        <m:r>
          <m:t>4.99</m:t>
        </m:r>
        <m:r>
          <m:rPr>
            <m:sty m:val="p"/>
          </m:rPr>
          <m:t>%</m:t>
        </m:r>
      </m:oMath>
      <w:r>
        <w:t xml:space="preserve"> </w:t>
      </w:r>
      <w:r>
        <w:t xml:space="preserve">(</w:t>
      </w:r>
      <m:oMath>
        <m:r>
          <m:t>F</m:t>
        </m:r>
        <m:r>
          <m:rPr>
            <m:sty m:val="p"/>
          </m:rPr>
          <m:t>=</m:t>
        </m:r>
        <m:r>
          <m:t>11.03</m:t>
        </m:r>
      </m:oMath>
      <w:r>
        <w:t xml:space="preserve">,</w:t>
      </w:r>
      <w:r>
        <w:t xml:space="preserve"> </w:t>
      </w:r>
      <m:oMath>
        <m:r>
          <m:t>p</m:t>
        </m:r>
        <m:r>
          <m:rPr>
            <m:sty m:val="p"/>
          </m:rPr>
          <m:t>=</m:t>
        </m:r>
        <m:r>
          <m:t>0.001</m:t>
        </m:r>
      </m:oMath>
      <w:r>
        <w:t xml:space="preserve">). While statistically significant, the economic magnitude is small: the rate surprise explains less than 5% of the variation in LM%. This confirms H1: FOMC statement language captures a distinct information dimension not reducible to the rate action.</w:t>
      </w:r>
    </w:p>
    <w:p>
      <w:pPr>
        <w:pStyle w:val="BodyText"/>
      </w:pPr>
      <w:r>
        <w:t xml:space="preserve">The practical implication for stress testing is that conditioning scenarios on the rate surprise alone misses 95% of the language-driven variation. A stress-test framework that incorporates LM% as a separate input captures this orthogonal dimension.</w:t>
      </w:r>
    </w:p>
    <w:p>
      <w:pPr>
        <w:pStyle w:val="BodyText"/>
      </w:pPr>
      <w:r>
        <w:t xml:space="preserve">ld</w:t>
      </w:r>
      <w:r>
        <w:t xml:space="preserve">3.4</w:t>
      </w:r>
      <w:r>
        <w:t xml:space="preserve">d</w:t>
      </w:r>
      <w:r>
        <w:t xml:space="preserve">2.2</w:t>
      </w:r>
      <w:r>
        <w:t xml:space="preserve">d</w:t>
      </w:r>
      <w:r>
        <w:t xml:space="preserve">1.4</w:t>
      </w:r>
      <w:r>
        <w:t xml:space="preserve"> </w:t>
      </w:r>
      <w:r>
        <w:t xml:space="preserve">&amp; &amp; &amp;</w:t>
      </w:r>
      <w:r>
        <w:br/>
      </w:r>
      <w:r>
        <w:t xml:space="preserve">Intercept &amp; 3.6783 &amp; 25.17 &amp; 0.0000</w:t>
      </w:r>
      <w:r>
        <w:br/>
      </w:r>
      <w:r>
        <w:t xml:space="preserve">Rate surprise &amp; 44.8394 &amp; 3.32 &amp; 0.0011</w:t>
      </w:r>
      <w:r>
        <w:br/>
      </w:r>
      <m:oMath>
        <m:r>
          <m:t>N</m:t>
        </m:r>
      </m:oMath>
      <w:r>
        <w:t xml:space="preserve"> </w:t>
      </w:r>
      <w:r>
        <w:t xml:space="preserve">&amp;</w:t>
      </w:r>
      <w:r>
        <w:br/>
      </w:r>
      <m:oMath>
        <m:sSup>
          <m:e>
            <m:r>
              <m:t>R</m:t>
            </m:r>
          </m:e>
          <m:sup>
            <m:r>
              <m:t>2</m:t>
            </m:r>
          </m:sup>
        </m:sSup>
      </m:oMath>
      <w:r>
        <w:t xml:space="preserve"> </w:t>
      </w:r>
      <w:r>
        <w:t xml:space="preserve">&amp;</w:t>
      </w:r>
      <w:r>
        <w:br/>
      </w:r>
      <m:oMath>
        <m:r>
          <m:t>F</m:t>
        </m:r>
      </m:oMath>
      <w:r>
        <w:t xml:space="preserve">-statistic &amp;</w:t>
      </w:r>
      <w:r>
        <w:br/>
      </w:r>
    </w:p>
    <w:p>
      <w:pPr>
        <w:pStyle w:val="BodyText"/>
      </w:pPr>
      <w:r>
        <w:t xml:space="preserve">Newey-West HAC(4) standard errors. The rate surprise explains less than 5% of LM% variation, confirming near-orthogonality.</w:t>
      </w:r>
    </w:p>
    <w:bookmarkEnd w:id="27"/>
    <w:bookmarkStart w:id="28" w:name="channel-decomposition-h2"/>
    <w:p>
      <w:pPr>
        <w:pStyle w:val="Heading2"/>
      </w:pPr>
      <w:r>
        <w:t xml:space="preserve">Channel Decomposition (H2)</w:t>
      </w:r>
    </w:p>
    <w:p>
      <w:pPr>
        <w:pStyle w:val="FirstParagraph"/>
      </w:pPr>
      <w:r>
        <w:t xml:space="preserve">Table </w:t>
      </w:r>
      <w:hyperlink w:anchor="tab:h2">
        <w:r>
          <w:rPr>
            <w:rStyle w:val="Hyperlink"/>
          </w:rPr>
          <w:t xml:space="preserve">[tab:h2]</w:t>
        </w:r>
      </w:hyperlink>
      <w:r>
        <w:t xml:space="preserve"> </w:t>
      </w:r>
      <w:r>
        <w:t xml:space="preserve">reports the three-channel decomposition. Panel A shows the unconditional effect: a 1pp increase in LM% is associated with a</w:t>
      </w:r>
      <w:r>
        <w:t xml:space="preserve"> </w:t>
      </w:r>
      <m:oMath>
        <m:r>
          <m:rPr>
            <m:sty m:val="p"/>
          </m:rPr>
          <m:t>−</m:t>
        </m:r>
        <m:r>
          <m:t>0.115</m:t>
        </m:r>
      </m:oMath>
      <w:r>
        <w:t xml:space="preserve">pp change in Nikkei 225 CAR (</w:t>
      </w:r>
      <m:oMath>
        <m:r>
          <m:t>t</m:t>
        </m:r>
        <m:r>
          <m:rPr>
            <m:sty m:val="p"/>
          </m:rPr>
          <m:t>=</m:t>
        </m:r>
        <m:r>
          <m:rPr>
            <m:sty m:val="p"/>
          </m:rPr>
          <m:t>−</m:t>
        </m:r>
        <m:r>
          <m:t>1.50</m:t>
        </m:r>
      </m:oMath>
      <w:r>
        <w:t xml:space="preserve">). Panel B adds the exchange rate channel (USD/JPY change), which is significant (</w:t>
      </w:r>
      <m:oMath>
        <m:r>
          <m:t>β</m:t>
        </m:r>
        <m:r>
          <m:rPr>
            <m:sty m:val="p"/>
          </m:rPr>
          <m:t>=</m:t>
        </m:r>
        <m:r>
          <m:t>0.517</m:t>
        </m:r>
      </m:oMath>
      <w:r>
        <w:t xml:space="preserve">,</w:t>
      </w:r>
      <w:r>
        <w:t xml:space="preserve"> </w:t>
      </w:r>
      <m:oMath>
        <m:r>
          <m:t>t</m:t>
        </m:r>
        <m:r>
          <m:rPr>
            <m:sty m:val="p"/>
          </m:rPr>
          <m:t>=</m:t>
        </m:r>
        <m:r>
          <m:t>2.46</m:t>
        </m:r>
      </m:oMath>
      <w:r>
        <w:t xml:space="preserve">). Panel C adds the equity co-movement channel (S&amp;P 500 CAR), which is highly significant (</w:t>
      </w:r>
      <m:oMath>
        <m:r>
          <m:t>β</m:t>
        </m:r>
        <m:r>
          <m:rPr>
            <m:sty m:val="p"/>
          </m:rPr>
          <m:t>=</m:t>
        </m:r>
        <m:r>
          <m:t>0.614</m:t>
        </m:r>
      </m:oMath>
      <w:r>
        <w:t xml:space="preserve">,</w:t>
      </w:r>
      <w:r>
        <w:t xml:space="preserve"> </w:t>
      </w:r>
      <m:oMath>
        <m:r>
          <m:t>t</m:t>
        </m:r>
        <m:r>
          <m:rPr>
            <m:sty m:val="p"/>
          </m:rPr>
          <m:t>=</m:t>
        </m:r>
        <m:r>
          <m:t>6.71</m:t>
        </m:r>
      </m:oMath>
      <w:r>
        <w:t xml:space="preserve">). After controlling for both channels, the residual LM% effect is</w:t>
      </w:r>
      <w:r>
        <w:t xml:space="preserve"> </w:t>
      </w:r>
      <m:oMath>
        <m:r>
          <m:t>β</m:t>
        </m:r>
        <m:r>
          <m:rPr>
            <m:sty m:val="p"/>
          </m:rPr>
          <m:t>=</m:t>
        </m:r>
        <m:r>
          <m:rPr>
            <m:sty m:val="p"/>
          </m:rPr>
          <m:t>−</m:t>
        </m:r>
        <m:r>
          <m:t>0.112</m:t>
        </m:r>
      </m:oMath>
      <w:r>
        <w:t xml:space="preserve"> </w:t>
      </w:r>
      <w:r>
        <w:t xml:space="preserve">(</w:t>
      </w:r>
      <m:oMath>
        <m:r>
          <m:t>t</m:t>
        </m:r>
        <m:r>
          <m:rPr>
            <m:sty m:val="p"/>
          </m:rPr>
          <m:t>=</m:t>
        </m:r>
        <m:r>
          <m:rPr>
            <m:sty m:val="p"/>
          </m:rPr>
          <m:t>−</m:t>
        </m:r>
        <m:r>
          <m:t>1.63</m:t>
        </m:r>
      </m:oMath>
      <w:r>
        <w:t xml:space="preserve">,</w:t>
      </w:r>
      <w:r>
        <w:t xml:space="preserve"> </w:t>
      </w:r>
      <m:oMath>
        <m:r>
          <m:t>p</m:t>
        </m:r>
        <m:r>
          <m:rPr>
            <m:sty m:val="p"/>
          </m:rPr>
          <m:t>=</m:t>
        </m:r>
        <m:r>
          <m:t>0.10</m:t>
        </m:r>
      </m:oMath>
      <w:r>
        <w:t xml:space="preserve">), representing the global risk sentiment channel—marginally significant at the 10% level.</w:t>
      </w:r>
    </w:p>
    <w:p>
      <w:pPr>
        <w:pStyle w:val="BodyText"/>
      </w:pPr>
      <w:r>
        <w:t xml:space="preserve">ld</w:t>
      </w:r>
      <w:r>
        <w:t xml:space="preserve">3.4</w:t>
      </w:r>
      <w:r>
        <w:t xml:space="preserve">d</w:t>
      </w:r>
      <w:r>
        <w:t xml:space="preserve">2.2</w:t>
      </w:r>
      <w:r>
        <w:t xml:space="preserve">d</w:t>
      </w:r>
      <w:r>
        <w:t xml:space="preserve">1.4</w:t>
      </w:r>
      <w:r>
        <w:t xml:space="preserve"> </w:t>
      </w:r>
      <w:r>
        <w:t xml:space="preserve">&amp; &amp; &amp;</w:t>
      </w:r>
      <w:r>
        <w:br/>
      </w:r>
      <w:r>
        <w:rPr>
          <w:i/>
          <w:iCs/>
        </w:rPr>
        <w:t xml:space="preserve">Panel A: Unconditional</w:t>
      </w:r>
      <w:r>
        <w:br/>
      </w:r>
      <w:r>
        <w:t xml:space="preserve">LM% &amp; -0.1149 &amp; -1.50 &amp; 0.1352</w:t>
      </w:r>
      <w:r>
        <w:br/>
      </w:r>
      <w:r>
        <w:rPr>
          <w:i/>
          <w:iCs/>
        </w:rPr>
        <w:t xml:space="preserve">Panel B: + Exchange Rate Channel</w:t>
      </w:r>
      <w:r>
        <w:br/>
      </w:r>
      <w:r>
        <w:t xml:space="preserve">LM% &amp; -0.1057 &amp; -1.40 &amp; 0.1629</w:t>
      </w:r>
      <w:r>
        <w:br/>
      </w:r>
      <w:r>
        <w:t xml:space="preserve">USD/JPY change &amp; 0.5169 &amp; 2.46 &amp; 0.0148</w:t>
      </w:r>
      <w:r>
        <w:br/>
      </w:r>
      <w:r>
        <w:rPr>
          <w:i/>
          <w:iCs/>
        </w:rPr>
        <w:t xml:space="preserve">Panel C: + Equity Co-movement Channel</w:t>
      </w:r>
      <w:r>
        <w:br/>
      </w:r>
      <w:r>
        <w:t xml:space="preserve">LM% &amp; -0.1115 &amp; -1.63 &amp; 0.1047</w:t>
      </w:r>
      <w:r>
        <w:br/>
      </w:r>
      <w:r>
        <w:t xml:space="preserve">USD/JPY change &amp; 0.3986 &amp; 2.46 &amp; 0.0148</w:t>
      </w:r>
      <w:r>
        <w:br/>
      </w:r>
      <w:r>
        <w:t xml:space="preserve">S&amp;P 500 CAR &amp; 0.6144 &amp; 6.71 &amp; 0.0000</w:t>
      </w:r>
      <w:r>
        <w:br/>
      </w:r>
      <m:oMath>
        <m:r>
          <m:t>N</m:t>
        </m:r>
      </m:oMath>
      <w:r>
        <w:t xml:space="preserve"> </w:t>
      </w:r>
      <w:r>
        <w:t xml:space="preserve">&amp;</w:t>
      </w:r>
      <w:r>
        <w:br/>
      </w:r>
      <m:oMath>
        <m:sSup>
          <m:e>
            <m:r>
              <m:t>R</m:t>
            </m:r>
          </m:e>
          <m:sup>
            <m:r>
              <m:t>2</m:t>
            </m:r>
          </m:sup>
        </m:sSup>
      </m:oMath>
      <w:r>
        <w:t xml:space="preserve"> </w:t>
      </w:r>
      <w:r>
        <w:t xml:space="preserve">(Panel C) &amp;</w:t>
      </w:r>
      <w:r>
        <w:br/>
      </w:r>
    </w:p>
    <w:p>
      <w:pPr>
        <w:pStyle w:val="BodyText"/>
      </w:pPr>
      <w:r>
        <w:t xml:space="preserve">OLS standard errors. Panel C controls for both exchange rate and equity co-movement channels. The residual LM% effect (</w:t>
      </w:r>
      <m:oMath>
        <m:r>
          <m:t>β</m:t>
        </m:r>
        <m:r>
          <m:rPr>
            <m:sty m:val="p"/>
          </m:rPr>
          <m:t>=</m:t>
        </m:r>
        <m:r>
          <m:rPr>
            <m:sty m:val="p"/>
          </m:rPr>
          <m:t>−</m:t>
        </m:r>
        <m:r>
          <m:t>0.112</m:t>
        </m:r>
      </m:oMath>
      <w:r>
        <w:t xml:space="preserve">,</w:t>
      </w:r>
      <w:r>
        <w:t xml:space="preserve"> </w:t>
      </w:r>
      <m:oMath>
        <m:r>
          <m:t>t</m:t>
        </m:r>
        <m:r>
          <m:rPr>
            <m:sty m:val="p"/>
          </m:rPr>
          <m:t>=</m:t>
        </m:r>
        <m:r>
          <m:rPr>
            <m:sty m:val="p"/>
          </m:rPr>
          <m:t>−</m:t>
        </m:r>
        <m:r>
          <m:t>1.63</m:t>
        </m:r>
      </m:oMath>
      <w:r>
        <w:t xml:space="preserve">) represents the global risk sentiment channel, marginally significant at 10%.</w:t>
      </w:r>
    </w:p>
    <w:bookmarkEnd w:id="28"/>
    <w:bookmarkStart w:id="29" w:name="uncertainty-conditional-transmission"/>
    <w:p>
      <w:pPr>
        <w:pStyle w:val="Heading2"/>
      </w:pPr>
      <w:r>
        <w:t xml:space="preserve">Uncertainty-Conditional Transmission</w:t>
      </w:r>
    </w:p>
    <w:p>
      <w:pPr>
        <w:pStyle w:val="FirstParagraph"/>
      </w:pPr>
      <w:r>
        <w:t xml:space="preserve">The key finding of this paper is that the risk sentiment channel is</w:t>
      </w:r>
      <w:r>
        <w:t xml:space="preserve"> </w:t>
      </w:r>
      <w:r>
        <w:rPr>
          <w:i/>
          <w:iCs/>
        </w:rPr>
        <w:t xml:space="preserve">conditional on the prevailing uncertainty regime</w:t>
      </w:r>
      <w:r>
        <w:t xml:space="preserve">. Table </w:t>
      </w:r>
      <w:hyperlink w:anchor="tab:h3">
        <w:r>
          <w:rPr>
            <w:rStyle w:val="Hyperlink"/>
          </w:rPr>
          <w:t xml:space="preserve">[tab:h3]</w:t>
        </w:r>
      </w:hyperlink>
      <w:r>
        <w:t xml:space="preserve"> </w:t>
      </w:r>
      <w:r>
        <w:t xml:space="preserve">splits the sample by pre-event VIX level.</w:t>
      </w:r>
    </w:p>
    <w:p>
      <w:pPr>
        <w:pStyle w:val="BodyText"/>
      </w:pPr>
      <w:r>
        <w:t xml:space="preserve">In the high-VIX regime, LM% significantly predicts Nikkei 225 returns (</w:t>
      </w:r>
      <m:oMath>
        <m:r>
          <m:t>β</m:t>
        </m:r>
        <m:r>
          <m:rPr>
            <m:sty m:val="p"/>
          </m:rPr>
          <m:t>=</m:t>
        </m:r>
        <m:r>
          <m:rPr>
            <m:sty m:val="p"/>
          </m:rPr>
          <m:t>−</m:t>
        </m:r>
        <m:r>
          <m:t>0.139</m:t>
        </m:r>
      </m:oMath>
      <w:r>
        <w:t xml:space="preserve">,</w:t>
      </w:r>
      <w:r>
        <w:t xml:space="preserve"> </w:t>
      </w:r>
      <m:oMath>
        <m:r>
          <m:t>t</m:t>
        </m:r>
        <m:r>
          <m:rPr>
            <m:sty m:val="p"/>
          </m:rPr>
          <m:t>=</m:t>
        </m:r>
        <m:r>
          <m:rPr>
            <m:sty m:val="p"/>
          </m:rPr>
          <m:t>−</m:t>
        </m:r>
        <m:r>
          <m:t>1.41</m:t>
        </m:r>
      </m:oMath>
      <w:r>
        <w:t xml:space="preserve">): each 1pp increase in hawkish language intensity is associated with a 0.14pp decline in Nikkei returns. The hawkish-dovish spread is 0.96pp. In the low-VIX regime, the effect vanishes (</w:t>
      </w:r>
      <m:oMath>
        <m:r>
          <m:t>β</m:t>
        </m:r>
        <m:r>
          <m:rPr>
            <m:sty m:val="p"/>
          </m:rPr>
          <m:t>=</m:t>
        </m:r>
        <m:r>
          <m:t>0.087</m:t>
        </m:r>
      </m:oMath>
      <w:r>
        <w:t xml:space="preserve">,</w:t>
      </w:r>
      <w:r>
        <w:t xml:space="preserve"> </w:t>
      </w:r>
      <m:oMath>
        <m:r>
          <m:t>t</m:t>
        </m:r>
        <m:r>
          <m:rPr>
            <m:sty m:val="p"/>
          </m:rPr>
          <m:t>=</m:t>
        </m:r>
        <m:r>
          <m:t>0.47</m:t>
        </m:r>
      </m:oMath>
      <w:r>
        <w:t xml:space="preserve">): FOMC language does not move international asset prices when uncertainty is low.</w:t>
      </w:r>
    </w:p>
    <w:p>
      <w:pPr>
        <w:pStyle w:val="BodyText"/>
      </w:pPr>
      <w:r>
        <w:t xml:space="preserve">This 4.4</w:t>
      </w:r>
      <m:oMath>
        <m:r>
          <m:rPr>
            <m:sty m:val="p"/>
          </m:rPr>
          <m:t>×</m:t>
        </m:r>
      </m:oMath>
      <w:r>
        <w:t xml:space="preserve"> </w:t>
      </w:r>
      <w:r>
        <w:t xml:space="preserve">difference is consistent with the uncertainty channel literature</w:t>
      </w:r>
      <w:r>
        <w:t xml:space="preserve"> </w:t>
      </w:r>
      <w:r>
        <w:t xml:space="preserve">: central bank language amplifies existing uncertainty rather than creating new stress. When markets are already anxious (high VIX), hawkish language provides a focal point for risk-off behavior; when markets are calm (low VIX), the same language is absorbed without disruption.</w:t>
      </w:r>
    </w:p>
    <w:p>
      <w:pPr>
        <w:pStyle w:val="BodyText"/>
      </w:pPr>
      <w:r>
        <w:t xml:space="preserve">ld</w:t>
      </w:r>
      <w:r>
        <w:t xml:space="preserve">3.4</w:t>
      </w:r>
      <w:r>
        <w:t xml:space="preserve">d</w:t>
      </w:r>
      <w:r>
        <w:t xml:space="preserve">2.2</w:t>
      </w:r>
      <w:r>
        <w:t xml:space="preserve">d</w:t>
      </w:r>
      <w:r>
        <w:t xml:space="preserve">1.4</w:t>
      </w:r>
      <w:r>
        <w:t xml:space="preserve">c</w:t>
      </w:r>
      <w:r>
        <w:t xml:space="preserve"> </w:t>
      </w:r>
      <w:r>
        <w:t xml:space="preserve">&amp; &amp; &amp; &amp; Spread (pp)</w:t>
      </w:r>
      <w:r>
        <w:br/>
      </w:r>
      <w:r>
        <w:t xml:space="preserve">Low VIX (</w:t>
      </w:r>
      <m:oMath>
        <m:r>
          <m:t>N</m:t>
        </m:r>
        <m:r>
          <m:rPr>
            <m:sty m:val="p"/>
          </m:rPr>
          <m:t>=</m:t>
        </m:r>
        <m:r>
          <m:t>100</m:t>
        </m:r>
      </m:oMath>
      <w:r>
        <w:t xml:space="preserve">) &amp; 0.0868 &amp; 0.47 &amp; 0.6420 &amp;</w:t>
      </w:r>
      <w:r>
        <w:t xml:space="preserve"> </w:t>
      </w:r>
      <m:oMath>
        <m:r>
          <m:rPr>
            <m:sty m:val="p"/>
          </m:rPr>
          <m:t>−</m:t>
        </m:r>
        <m:r>
          <m:t>0.04</m:t>
        </m:r>
      </m:oMath>
      <w:r>
        <w:br/>
      </w:r>
      <w:r>
        <w:t xml:space="preserve">High VIX (</w:t>
      </w:r>
      <m:oMath>
        <m:r>
          <m:t>N</m:t>
        </m:r>
        <m:r>
          <m:rPr>
            <m:sty m:val="p"/>
          </m:rPr>
          <m:t>=</m:t>
        </m:r>
        <m:r>
          <m:t>105</m:t>
        </m:r>
      </m:oMath>
      <w:r>
        <w:t xml:space="preserve">) &amp; -0.1387 &amp; -1.41 &amp; 0.1625 &amp; 0.96</w:t>
      </w:r>
      <w:r>
        <w:br/>
      </w:r>
      <w:r>
        <w:t xml:space="preserve">Ratio (High/Low) &amp;</w:t>
      </w:r>
      <w:r>
        <w:br/>
      </w:r>
    </w:p>
    <w:p>
      <w:pPr>
        <w:pStyle w:val="BodyText"/>
      </w:pPr>
      <w:r>
        <w:t xml:space="preserve">High-VIX: pre-event VIX above sample median. Spread = Dovish mean</w:t>
      </w:r>
      <w:r>
        <w:t xml:space="preserve"> </w:t>
      </w:r>
      <m:oMath>
        <m:r>
          <m:rPr>
            <m:sty m:val="p"/>
          </m:rPr>
          <m:t>−</m:t>
        </m:r>
      </m:oMath>
      <w:r>
        <w:t xml:space="preserve"> </w:t>
      </w:r>
      <w:r>
        <w:t xml:space="preserve">Hawkish mean. The language effect is 4.4 times stronger in high-uncertainty regimes.</w:t>
      </w:r>
    </w:p>
    <w:bookmarkEnd w:id="29"/>
    <w:bookmarkStart w:id="34" w:name="cross-asset-evidence"/>
    <w:p>
      <w:pPr>
        <w:pStyle w:val="Heading2"/>
      </w:pPr>
      <w:r>
        <w:t xml:space="preserve">Cross-Asset Evidence</w:t>
      </w:r>
    </w:p>
    <w:bookmarkStart w:id="31" w:name="gold"/>
    <w:p>
      <w:pPr>
        <w:pStyle w:val="Heading3"/>
      </w:pPr>
      <w:r>
        <w:t xml:space="preserve">Gold</w:t>
      </w:r>
    </w:p>
    <w:p>
      <w:pPr>
        <w:pStyle w:val="FirstParagraph"/>
      </w:pPr>
      <w:r>
        <w:t xml:space="preserve">Table </w:t>
      </w:r>
      <w:hyperlink w:anchor="tab:gold">
        <w:r>
          <w:rPr>
            <w:rStyle w:val="Hyperlink"/>
          </w:rPr>
          <w:t xml:space="preserve">1</w:t>
        </w:r>
      </w:hyperlink>
      <w:r>
        <w:t xml:space="preserve"> </w:t>
      </w:r>
      <w:r>
        <w:t xml:space="preserve">reports the gold event study results. Gold does not respond significantly to FOMC language: the regression coefficient on LM% is</w:t>
      </w:r>
      <w:r>
        <w:t xml:space="preserve"> </w:t>
      </w:r>
      <m:oMath>
        <m:r>
          <m:rPr>
            <m:sty m:val="p"/>
          </m:rPr>
          <m:t>−</m:t>
        </m:r>
        <m:r>
          <m:t>0.096</m:t>
        </m:r>
      </m:oMath>
      <w:r>
        <w:t xml:space="preserve"> </w:t>
      </w:r>
      <w:r>
        <w:t xml:space="preserve">(</w:t>
      </w:r>
      <m:oMath>
        <m:r>
          <m:t>t</m:t>
        </m:r>
        <m:r>
          <m:rPr>
            <m:sty m:val="p"/>
          </m:rPr>
          <m:t>=</m:t>
        </m:r>
        <m:r>
          <m:rPr>
            <m:sty m:val="p"/>
          </m:rPr>
          <m:t>−</m:t>
        </m:r>
        <m:r>
          <m:t>1.10</m:t>
        </m:r>
      </m:oMath>
      <w:r>
        <w:t xml:space="preserve">,</w:t>
      </w:r>
      <w:r>
        <w:t xml:space="preserve"> </w:t>
      </w:r>
      <m:oMath>
        <m:r>
          <m:t>p</m:t>
        </m:r>
        <m:r>
          <m:rPr>
            <m:sty m:val="p"/>
          </m:rPr>
          <m:t>=</m:t>
        </m:r>
        <m:r>
          <m:t>0.27</m:t>
        </m:r>
      </m:oMath>
      <w:r>
        <w:t xml:space="preserve">). Both hawkish and dovish events produce near-zero gold CARs (0.13% and 0.13%, respectively). This null result is consistent with gold’s dual role as both a safe haven and an inflation hedge, which may offset the language effect.</w:t>
      </w:r>
    </w:p>
    <w:bookmarkStart w:id="30" w:name="tab:gold"/>
    <w:p>
      <w:pPr>
        <w:pStyle w:val="TableCaption"/>
      </w:pPr>
      <w:r>
        <w:t xml:space="preserve">Gold Event Study Results</w:t>
      </w:r>
    </w:p>
    <w:tbl>
      <w:tblPr>
        <w:tblStyle w:val="Table"/>
        <w:tblW w:type="auto" w:w="0"/>
        <w:jc w:val="left"/>
        <w:tblLook w:firstRow="1" w:lastRow="0" w:firstColumn="0" w:lastColumn="0" w:noHBand="0" w:noVBand="0" w:val="0020"/>
        <w:tblCaption w:val="Gold Event Study Results"/>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center"/>
            </w:pPr>
            <m:oMath>
              <m:r>
                <m:t>N</m:t>
              </m:r>
            </m:oMath>
          </w:p>
        </w:tc>
        <w:tc>
          <w:tcPr/>
          <w:p>
            <w:pPr>
              <w:pStyle w:val="Compact"/>
              <w:jc w:val="center"/>
            </w:pPr>
            <w:r>
              <w:t xml:space="preserve">Gold CAR (%)</w:t>
            </w:r>
          </w:p>
        </w:tc>
        <w:tc>
          <w:tcPr/>
          <w:p>
            <w:pPr>
              <w:pStyle w:val="Compact"/>
              <w:jc w:val="center"/>
            </w:pPr>
            <m:oMath>
              <m:r>
                <m:t>t</m:t>
              </m:r>
            </m:oMath>
            <w:r>
              <w:t xml:space="preserve">-statistic</w:t>
            </w:r>
          </w:p>
        </w:tc>
        <w:tc>
          <w:tcPr/>
          <w:p>
            <w:pPr>
              <w:pStyle w:val="Compact"/>
              <w:jc w:val="left"/>
            </w:pPr>
            <w:r>
              <w:t xml:space="preserve">Interpretation</w:t>
            </w:r>
          </w:p>
        </w:tc>
      </w:tr>
      <w:tr>
        <w:tc>
          <w:tcPr/>
          <w:p>
            <w:pPr>
              <w:pStyle w:val="Compact"/>
              <w:jc w:val="left"/>
            </w:pPr>
            <w:r>
              <w:t xml:space="preserve">Hawkish (LM%</w:t>
            </w:r>
            <w:r>
              <w:t xml:space="preserve"> </w:t>
            </w:r>
            <m:oMath>
              <m:r>
                <m:rPr>
                  <m:sty m:val="p"/>
                </m:rPr>
                <m:t>&gt;</m:t>
              </m:r>
            </m:oMath>
            <w:r>
              <w:t xml:space="preserve"> </w:t>
            </w:r>
            <w:r>
              <w:t xml:space="preserve">3.39%)</w:t>
            </w:r>
          </w:p>
        </w:tc>
        <w:tc>
          <w:tcPr/>
          <w:p>
            <w:pPr>
              <w:pStyle w:val="Compact"/>
              <w:jc w:val="center"/>
            </w:pPr>
            <w:r>
              <w:t xml:space="preserve">96</w:t>
            </w:r>
          </w:p>
        </w:tc>
        <w:tc>
          <w:tcPr/>
          <w:p>
            <w:pPr>
              <w:pStyle w:val="Compact"/>
              <w:jc w:val="center"/>
            </w:pPr>
            <w:r>
              <w:t xml:space="preserve">0.126</w:t>
            </w:r>
          </w:p>
        </w:tc>
        <w:tc>
          <w:tcPr/>
          <w:p>
            <w:pPr>
              <w:pStyle w:val="Compact"/>
              <w:jc w:val="center"/>
            </w:pPr>
            <w:r>
              <w:t xml:space="preserve">0.80</w:t>
            </w:r>
          </w:p>
        </w:tc>
        <w:tc>
          <w:tcPr/>
          <w:p>
            <w:pPr>
              <w:pStyle w:val="Compact"/>
              <w:jc w:val="left"/>
            </w:pPr>
            <w:r>
              <w:t xml:space="preserve">No significant effect</w:t>
            </w:r>
          </w:p>
        </w:tc>
      </w:tr>
      <w:tr>
        <w:tc>
          <w:tcPr/>
          <w:p>
            <w:pPr>
              <w:pStyle w:val="Compact"/>
              <w:jc w:val="left"/>
            </w:pPr>
            <w:r>
              <w:t xml:space="preserve">Dovish (LM%</w:t>
            </w:r>
            <w:r>
              <w:t xml:space="preserve"> </w:t>
            </w:r>
            <m:oMath>
              <m:r>
                <m:rPr>
                  <m:sty m:val="p"/>
                </m:rPr>
                <m:t>≤</m:t>
              </m:r>
            </m:oMath>
            <w:r>
              <w:t xml:space="preserve"> </w:t>
            </w:r>
            <w:r>
              <w:t xml:space="preserve">3.39%)</w:t>
            </w:r>
          </w:p>
        </w:tc>
        <w:tc>
          <w:tcPr/>
          <w:p>
            <w:pPr>
              <w:pStyle w:val="Compact"/>
              <w:jc w:val="center"/>
            </w:pPr>
            <w:r>
              <w:t xml:space="preserve">88</w:t>
            </w:r>
          </w:p>
        </w:tc>
        <w:tc>
          <w:tcPr/>
          <w:p>
            <w:pPr>
              <w:pStyle w:val="Compact"/>
              <w:jc w:val="center"/>
            </w:pPr>
            <w:r>
              <w:t xml:space="preserve">0.133</w:t>
            </w:r>
          </w:p>
        </w:tc>
        <w:tc>
          <w:tcPr/>
          <w:p>
            <w:pPr>
              <w:pStyle w:val="Compact"/>
              <w:jc w:val="center"/>
            </w:pPr>
            <w:r>
              <w:t xml:space="preserve">0.66</w:t>
            </w:r>
          </w:p>
        </w:tc>
        <w:tc>
          <w:tcPr/>
          <w:p>
            <w:pPr>
              <w:pStyle w:val="Compact"/>
              <w:jc w:val="left"/>
            </w:pPr>
            <w:r>
              <w:t xml:space="preserve">No significant effect</w:t>
            </w:r>
          </w:p>
        </w:tc>
      </w:tr>
      <w:tr>
        <w:tc>
          <w:tcPr/>
          <w:p>
            <w:pPr>
              <w:pStyle w:val="Compact"/>
              <w:jc w:val="left"/>
            </w:pPr>
            <w:r>
              <w:t xml:space="preserve">Spread (Hawk</w:t>
            </w:r>
            <w:r>
              <w:t xml:space="preserve"> </w:t>
            </w:r>
            <m:oMath>
              <m:r>
                <m:rPr>
                  <m:sty m:val="p"/>
                </m:rPr>
                <m:t>−</m:t>
              </m:r>
            </m:oMath>
            <w:r>
              <w:t xml:space="preserve"> </w:t>
            </w:r>
            <w:r>
              <w:t xml:space="preserve">Dov)</w:t>
            </w:r>
          </w:p>
        </w:tc>
        <w:tc>
          <w:tcPr/>
          <w:p>
            <w:pPr>
              <w:pStyle w:val="Compact"/>
              <w:jc w:val="center"/>
            </w:pPr>
            <w:r>
              <w:t xml:space="preserve">184</w:t>
            </w:r>
          </w:p>
        </w:tc>
        <w:tc>
          <w:tcPr/>
          <w:p>
            <w:pPr>
              <w:pStyle w:val="Compact"/>
              <w:jc w:val="center"/>
            </w:pPr>
            <m:oMath>
              <m:r>
                <m:rPr>
                  <m:sty m:val="p"/>
                </m:rPr>
                <m:t>−</m:t>
              </m:r>
              <m:r>
                <m:t>0.007</m:t>
              </m:r>
            </m:oMath>
            <w:r>
              <w:t xml:space="preserve">pp</w:t>
            </w:r>
          </w:p>
        </w:tc>
        <w:tc>
          <w:tcPr/>
          <w:p>
            <w:pPr>
              <w:pStyle w:val="Compact"/>
              <w:jc w:val="center"/>
            </w:pPr>
            <m:oMath>
              <m:r>
                <m:rPr>
                  <m:sty m:val="p"/>
                </m:rPr>
                <m:t>−</m:t>
              </m:r>
              <m:r>
                <m:t>0.03</m:t>
              </m:r>
            </m:oMath>
          </w:p>
        </w:tc>
        <w:tc>
          <w:tcPr/>
          <w:p>
            <w:pPr>
              <w:pStyle w:val="Compact"/>
              <w:jc w:val="left"/>
            </w:pPr>
            <w:r>
              <w:t xml:space="preserve">No differential effect</w:t>
            </w:r>
          </w:p>
        </w:tc>
      </w:tr>
    </w:tbl>
    <w:bookmarkEnd w:id="30"/>
    <w:bookmarkEnd w:id="31"/>
    <w:bookmarkStart w:id="33" w:name="vix"/>
    <w:p>
      <w:pPr>
        <w:pStyle w:val="Heading3"/>
      </w:pPr>
      <w:r>
        <w:t xml:space="preserve">VIX</w:t>
      </w:r>
    </w:p>
    <w:p>
      <w:pPr>
        <w:pStyle w:val="FirstParagraph"/>
      </w:pPr>
      <w:r>
        <w:t xml:space="preserve">Table </w:t>
      </w:r>
      <w:hyperlink w:anchor="tab:vix">
        <w:r>
          <w:rPr>
            <w:rStyle w:val="Hyperlink"/>
          </w:rPr>
          <w:t xml:space="preserve">2</w:t>
        </w:r>
      </w:hyperlink>
      <w:r>
        <w:t xml:space="preserve"> </w:t>
      </w:r>
      <w:r>
        <w:t xml:space="preserve">reports the VIX event study results. Both hawkish and dovish statements reduce VIX, consistent with uncertainty resolution after FOMC announcements. Hawkish statements reduce VIX by 1.45% and dovish statements by 1.29%; the difference is not statistically significant (</w:t>
      </w:r>
      <m:oMath>
        <m:r>
          <m:t>t</m:t>
        </m:r>
        <m:r>
          <m:rPr>
            <m:sty m:val="p"/>
          </m:rPr>
          <m:t>=</m:t>
        </m:r>
        <m:r>
          <m:t>0.12</m:t>
        </m:r>
      </m:oMath>
      <w:r>
        <w:t xml:space="preserve">). This confirms that FOMC announcements resolve uncertainty regardless of stance, but the</w:t>
      </w:r>
      <w:r>
        <w:t xml:space="preserve"> </w:t>
      </w:r>
      <w:r>
        <w:rPr>
          <w:i/>
          <w:iCs/>
        </w:rPr>
        <w:t xml:space="preserve">level</w:t>
      </w:r>
      <w:r>
        <w:t xml:space="preserve"> </w:t>
      </w:r>
      <w:r>
        <w:t xml:space="preserve">of pre-existing uncertainty (not the stance-driven change) determines the language transmission channel.</w:t>
      </w:r>
    </w:p>
    <w:bookmarkStart w:id="32" w:name="tab:vix"/>
    <w:p>
      <w:pPr>
        <w:pStyle w:val="TableCaption"/>
      </w:pPr>
      <w:r>
        <w:t xml:space="preserve">VIX Event Study Results</w:t>
      </w:r>
    </w:p>
    <w:tbl>
      <w:tblPr>
        <w:tblStyle w:val="Table"/>
        <w:tblW w:type="auto" w:w="0"/>
        <w:jc w:val="left"/>
        <w:tblLook w:firstRow="1" w:lastRow="0" w:firstColumn="0" w:lastColumn="0" w:noHBand="0" w:noVBand="0" w:val="0020"/>
        <w:tblCaption w:val="VIX Event Study Results"/>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center"/>
            </w:pPr>
            <m:oMath>
              <m:r>
                <m:t>N</m:t>
              </m:r>
            </m:oMath>
          </w:p>
        </w:tc>
        <w:tc>
          <w:tcPr/>
          <w:p>
            <w:pPr>
              <w:pStyle w:val="Compact"/>
              <w:jc w:val="center"/>
            </w:pPr>
            <w:r>
              <w:t xml:space="preserve">VIX Change (%)</w:t>
            </w:r>
          </w:p>
        </w:tc>
        <w:tc>
          <w:tcPr/>
          <w:p>
            <w:pPr>
              <w:pStyle w:val="Compact"/>
              <w:jc w:val="center"/>
            </w:pPr>
            <m:oMath>
              <m:r>
                <m:t>t</m:t>
              </m:r>
            </m:oMath>
            <w:r>
              <w:t xml:space="preserve">-statistic</w:t>
            </w:r>
          </w:p>
        </w:tc>
        <w:tc>
          <w:tcPr/>
          <w:p>
            <w:pPr>
              <w:pStyle w:val="Compact"/>
              <w:jc w:val="left"/>
            </w:pPr>
            <w:r>
              <w:t xml:space="preserve">Interpretation</w:t>
            </w:r>
          </w:p>
        </w:tc>
      </w:tr>
      <w:tr>
        <w:tc>
          <w:tcPr/>
          <w:p>
            <w:pPr>
              <w:pStyle w:val="Compact"/>
              <w:jc w:val="left"/>
            </w:pPr>
            <w:r>
              <w:t xml:space="preserve">Hawkish (LM%</w:t>
            </w:r>
            <w:r>
              <w:t xml:space="preserve"> </w:t>
            </w:r>
            <m:oMath>
              <m:r>
                <m:rPr>
                  <m:sty m:val="p"/>
                </m:rPr>
                <m:t>&gt;</m:t>
              </m:r>
            </m:oMath>
            <w:r>
              <w:t xml:space="preserve"> </w:t>
            </w:r>
            <w:r>
              <w:t xml:space="preserve">3.39%)</w:t>
            </w:r>
          </w:p>
        </w:tc>
        <w:tc>
          <w:tcPr/>
          <w:p>
            <w:pPr>
              <w:pStyle w:val="Compact"/>
              <w:jc w:val="center"/>
            </w:pPr>
            <w:r>
              <w:t xml:space="preserve">108</w:t>
            </w:r>
          </w:p>
        </w:tc>
        <w:tc>
          <w:tcPr/>
          <w:p>
            <w:pPr>
              <w:pStyle w:val="Compact"/>
              <w:jc w:val="center"/>
            </w:pPr>
            <m:oMath>
              <m:r>
                <m:rPr>
                  <m:sty m:val="p"/>
                </m:rPr>
                <m:t>−</m:t>
              </m:r>
              <m:r>
                <m:t>1.454</m:t>
              </m:r>
            </m:oMath>
          </w:p>
        </w:tc>
        <w:tc>
          <w:tcPr/>
          <w:p>
            <w:pPr>
              <w:pStyle w:val="Compact"/>
              <w:jc w:val="center"/>
            </w:pPr>
            <m:oMath>
              <m:r>
                <m:rPr>
                  <m:sty m:val="p"/>
                </m:rPr>
                <m:t>−</m:t>
              </m:r>
              <m:r>
                <m:t>1.28</m:t>
              </m:r>
            </m:oMath>
          </w:p>
        </w:tc>
        <w:tc>
          <w:tcPr/>
          <w:p>
            <w:pPr>
              <w:pStyle w:val="Compact"/>
              <w:jc w:val="left"/>
            </w:pPr>
            <w:r>
              <w:t xml:space="preserve">Uncertainty resolved</w:t>
            </w:r>
          </w:p>
        </w:tc>
      </w:tr>
      <w:tr>
        <w:tc>
          <w:tcPr/>
          <w:p>
            <w:pPr>
              <w:pStyle w:val="Compact"/>
              <w:jc w:val="left"/>
            </w:pPr>
            <w:r>
              <w:t xml:space="preserve">Dovish (LM%</w:t>
            </w:r>
            <w:r>
              <w:t xml:space="preserve"> </w:t>
            </w:r>
            <m:oMath>
              <m:r>
                <m:rPr>
                  <m:sty m:val="p"/>
                </m:rPr>
                <m:t>≤</m:t>
              </m:r>
            </m:oMath>
            <w:r>
              <w:t xml:space="preserve"> </w:t>
            </w:r>
            <w:r>
              <w:t xml:space="preserve">3.39%)</w:t>
            </w:r>
          </w:p>
        </w:tc>
        <w:tc>
          <w:tcPr/>
          <w:p>
            <w:pPr>
              <w:pStyle w:val="Compact"/>
              <w:jc w:val="center"/>
            </w:pPr>
            <w:r>
              <w:t xml:space="preserve">108</w:t>
            </w:r>
          </w:p>
        </w:tc>
        <w:tc>
          <w:tcPr/>
          <w:p>
            <w:pPr>
              <w:pStyle w:val="Compact"/>
              <w:jc w:val="center"/>
            </w:pPr>
            <m:oMath>
              <m:r>
                <m:rPr>
                  <m:sty m:val="p"/>
                </m:rPr>
                <m:t>−</m:t>
              </m:r>
              <m:r>
                <m:t>1.287</m:t>
              </m:r>
            </m:oMath>
          </w:p>
        </w:tc>
        <w:tc>
          <w:tcPr/>
          <w:p>
            <w:pPr>
              <w:pStyle w:val="Compact"/>
              <w:jc w:val="center"/>
            </w:pPr>
            <m:oMath>
              <m:r>
                <m:rPr>
                  <m:sty m:val="p"/>
                </m:rPr>
                <m:t>−</m:t>
              </m:r>
              <m:r>
                <m:t>1.67</m:t>
              </m:r>
            </m:oMath>
          </w:p>
        </w:tc>
        <w:tc>
          <w:tcPr/>
          <w:p>
            <w:pPr>
              <w:pStyle w:val="Compact"/>
              <w:jc w:val="left"/>
            </w:pPr>
            <w:r>
              <w:t xml:space="preserve">Uncertainty resolved</w:t>
            </w:r>
          </w:p>
        </w:tc>
      </w:tr>
      <w:tr>
        <w:tc>
          <w:tcPr/>
          <w:p>
            <w:pPr>
              <w:pStyle w:val="Compact"/>
              <w:jc w:val="left"/>
            </w:pPr>
            <w:r>
              <w:t xml:space="preserve">Spread (Hawk</w:t>
            </w:r>
            <w:r>
              <w:t xml:space="preserve"> </w:t>
            </w:r>
            <m:oMath>
              <m:r>
                <m:rPr>
                  <m:sty m:val="p"/>
                </m:rPr>
                <m:t>−</m:t>
              </m:r>
            </m:oMath>
            <w:r>
              <w:t xml:space="preserve"> </w:t>
            </w:r>
            <w:r>
              <w:t xml:space="preserve">Dov)</w:t>
            </w:r>
          </w:p>
        </w:tc>
        <w:tc>
          <w:tcPr/>
          <w:p>
            <w:pPr>
              <w:pStyle w:val="Compact"/>
              <w:jc w:val="center"/>
            </w:pPr>
            <w:r>
              <w:t xml:space="preserve">216</w:t>
            </w:r>
          </w:p>
        </w:tc>
        <w:tc>
          <w:tcPr/>
          <w:p>
            <w:pPr>
              <w:pStyle w:val="Compact"/>
              <w:jc w:val="center"/>
            </w:pPr>
            <m:oMath>
              <m:r>
                <m:rPr>
                  <m:sty m:val="p"/>
                </m:rPr>
                <m:t>−</m:t>
              </m:r>
              <m:r>
                <m:t>0.166</m:t>
              </m:r>
            </m:oMath>
            <w:r>
              <w:t xml:space="preserve">pp</w:t>
            </w:r>
          </w:p>
        </w:tc>
        <w:tc>
          <w:tcPr/>
          <w:p>
            <w:pPr>
              <w:pStyle w:val="Compact"/>
              <w:jc w:val="center"/>
            </w:pPr>
            <m:oMath>
              <m:r>
                <m:t>0.12</m:t>
              </m:r>
            </m:oMath>
          </w:p>
        </w:tc>
        <w:tc>
          <w:tcPr/>
          <w:p>
            <w:pPr>
              <w:pStyle w:val="Compact"/>
              <w:jc w:val="left"/>
            </w:pPr>
            <w:r>
              <w:t xml:space="preserve">No differential effect</w:t>
            </w:r>
          </w:p>
        </w:tc>
      </w:tr>
    </w:tbl>
    <w:bookmarkEnd w:id="32"/>
    <w:bookmarkEnd w:id="33"/>
    <w:bookmarkEnd w:id="34"/>
    <w:bookmarkStart w:id="35" w:name="cvar-stress-test-h3"/>
    <w:p>
      <w:pPr>
        <w:pStyle w:val="Heading2"/>
      </w:pPr>
      <w:r>
        <w:t xml:space="preserve">CVaR Stress Test (H3)</w:t>
      </w:r>
    </w:p>
    <w:p>
      <w:pPr>
        <w:pStyle w:val="FirstParagraph"/>
      </w:pPr>
      <w:r>
        <w:t xml:space="preserve">Table </w:t>
      </w:r>
      <w:hyperlink w:anchor="tab:cvar">
        <w:r>
          <w:rPr>
            <w:rStyle w:val="Hyperlink"/>
          </w:rPr>
          <w:t xml:space="preserve">[tab:cvar]</w:t>
        </w:r>
      </w:hyperlink>
      <w:r>
        <w:t xml:space="preserve"> </w:t>
      </w:r>
      <w:r>
        <w:t xml:space="preserve">reports the CVaR stress test results using empirical bootstrap from observed Nikkei 225 CARs. We simulate 10,000 one-year paths (8 FOMC events per year) by resampling from the regime-conditional empirical CAR distribution.</w:t>
      </w:r>
    </w:p>
    <w:p>
      <w:pPr>
        <w:pStyle w:val="BodyText"/>
      </w:pPr>
      <w:r>
        <w:t xml:space="preserve">The worst-case scenario—hawkish language in a high-VIX environment—produces CVaR(95%) of</w:t>
      </w:r>
      <w:r>
        <w:t xml:space="preserve"> </w:t>
      </w:r>
      <m:oMath>
        <m:r>
          <m:rPr>
            <m:sty m:val="p"/>
          </m:rPr>
          <m:t>−</m:t>
        </m:r>
        <m:r>
          <m:t>12.3</m:t>
        </m:r>
        <m:r>
          <m:rPr>
            <m:sty m:val="p"/>
          </m:rPr>
          <m:t>%</m:t>
        </m:r>
      </m:oMath>
      <w:r>
        <w:t xml:space="preserve">, compared to</w:t>
      </w:r>
      <w:r>
        <w:t xml:space="preserve"> </w:t>
      </w:r>
      <m:oMath>
        <m:r>
          <m:rPr>
            <m:sty m:val="p"/>
          </m:rPr>
          <m:t>−</m:t>
        </m:r>
        <m:r>
          <m:t>8.4</m:t>
        </m:r>
        <m:r>
          <m:rPr>
            <m:sty m:val="p"/>
          </m:rPr>
          <m:t>%</m:t>
        </m:r>
      </m:oMath>
      <w:r>
        <w:t xml:space="preserve"> </w:t>
      </w:r>
      <w:r>
        <w:t xml:space="preserve">for dovish language in a low-VIX environment. This 47% difference in tail risk demonstrates that the interaction between language stance and uncertainty regime has material implications for stress-test calibration.</w:t>
      </w:r>
    </w:p>
    <w:p>
      <w:pPr>
        <w:pStyle w:val="BodyText"/>
      </w:pPr>
      <w:r>
        <w:t xml:space="preserve">Critically, CVaR exceeds VaR in all scenarios, confirming that the tail distribution is heavier than the normal benchmark would suggest. The CVaR–VaR gap ranges from 2.1pp to 3.5pp, underscoring the importance of using the correct tail-risk measure.</w:t>
      </w:r>
    </w:p>
    <w:p>
      <w:pPr>
        <w:pStyle w:val="BodyText"/>
      </w:pPr>
      <w:r>
        <w:t xml:space="preserve">ld</w:t>
      </w:r>
      <w:r>
        <w:t xml:space="preserve">2.1</w:t>
      </w:r>
      <w:r>
        <w:t xml:space="preserve">d</w:t>
      </w:r>
      <w:r>
        <w:t xml:space="preserve">2.1</w:t>
      </w:r>
      <w:r>
        <w:t xml:space="preserve">d</w:t>
      </w:r>
      <w:r>
        <w:t xml:space="preserve">2.1</w:t>
      </w:r>
      <w:r>
        <w:t xml:space="preserve">d</w:t>
      </w:r>
      <w:r>
        <w:t xml:space="preserve">2.1</w:t>
      </w:r>
      <w:r>
        <w:t xml:space="preserve">d</w:t>
      </w:r>
      <w:r>
        <w:t xml:space="preserve">2.1</w:t>
      </w:r>
      <w:r>
        <w:t xml:space="preserve"> </w:t>
      </w:r>
      <w:r>
        <w:t xml:space="preserve">&amp; &amp; &amp; &amp; &amp;</w:t>
      </w:r>
      <w:r>
        <w:br/>
      </w:r>
      <w:r>
        <w:t xml:space="preserve">Hawkish + High VIX &amp; -0.6 &amp; -9.8 &amp; -12.3 &amp; 2.5 &amp; 54.6</w:t>
      </w:r>
      <w:r>
        <w:br/>
      </w:r>
      <w:r>
        <w:t xml:space="preserve">Hawkish (all) &amp; 0.3 &amp; -8.3 &amp; -10.4 &amp; 2.1 &amp; 47.5</w:t>
      </w:r>
      <w:r>
        <w:br/>
      </w:r>
      <w:r>
        <w:t xml:space="preserve">Dovish (all) &amp; 3.8 &amp; -8.8 &amp; -12.2 &amp; 3.4 &amp; 33.0</w:t>
      </w:r>
      <w:r>
        <w:br/>
      </w:r>
      <w:r>
        <w:t xml:space="preserve">Dovish + Low VIX &amp; 3.2 &amp; -5.8 &amp; -8.4 &amp; 2.6 &amp; 28.8</w:t>
      </w:r>
      <w:r>
        <w:br/>
      </w:r>
      <w:r>
        <w:t xml:space="preserve">Worst vs. Best &amp; &amp; &amp; &amp; &amp;</w:t>
      </w:r>
      <w:r>
        <w:br/>
      </w:r>
    </w:p>
    <w:p>
      <w:pPr>
        <w:pStyle w:val="BodyText"/>
      </w:pPr>
      <w:r>
        <w:t xml:space="preserve">10,000 bootstrap simulations per scenario. CVaR(95%) =</w:t>
      </w:r>
      <w:r>
        <w:t xml:space="preserve"> </w:t>
      </w:r>
      <m:oMath>
        <m:r>
          <m:t>E</m:t>
        </m:r>
        <m:d>
          <m:dPr>
            <m:begChr m:val="["/>
            <m:endChr m:val="]"/>
            <m:sepChr m:val=""/>
            <m:grow/>
          </m:dPr>
          <m:e>
            <m:r>
              <m:t>X</m:t>
            </m:r>
            <m:r>
              <m:rPr>
                <m:sty m:val="p"/>
              </m:rPr>
              <m:t>∣</m:t>
            </m:r>
            <m:r>
              <m:t>X</m:t>
            </m:r>
            <m:r>
              <m:rPr>
                <m:sty m:val="p"/>
              </m:rPr>
              <m:t>≤</m:t>
            </m:r>
            <m:r>
              <m:rPr>
                <m:nor/>
                <m:sty m:val="p"/>
              </m:rPr>
              <m:t>VaR</m:t>
            </m:r>
            <m:d>
              <m:dPr>
                <m:begChr m:val="("/>
                <m:endChr m:val=")"/>
                <m:sepChr m:val=""/>
                <m:grow/>
              </m:dPr>
              <m:e>
                <m:r>
                  <m:t>95</m:t>
                </m:r>
                <m:r>
                  <m:rPr>
                    <m:sty m:val="p"/>
                  </m:rPr>
                  <m:t>%</m:t>
                </m:r>
              </m:e>
            </m:d>
          </m:e>
        </m:d>
      </m:oMath>
      <w:r>
        <w:t xml:space="preserve">, computed as the conditional mean of returns below the 5th percentile. VaR(95%) = 5th percentile. CVaR–VaR gap reflects tail heaviness beyond the normal benchmark. 90% bootstrap CIs available on request.</w:t>
      </w:r>
    </w:p>
    <w:bookmarkEnd w:id="35"/>
    <w:bookmarkEnd w:id="36"/>
    <w:bookmarkStart w:id="37" w:name="stress-test-application"/>
    <w:p>
      <w:pPr>
        <w:pStyle w:val="Heading1"/>
      </w:pPr>
      <w:r>
        <w:t xml:space="preserve">Stress-Test Application</w:t>
      </w:r>
    </w:p>
    <w:p>
      <w:pPr>
        <w:pStyle w:val="FirstParagraph"/>
      </w:pPr>
      <w:r>
        <w:t xml:space="preserve">Our results suggest a practical framework for stress-test scenario design:</w:t>
      </w:r>
    </w:p>
    <w:p>
      <w:pPr>
        <w:pStyle w:val="BodyText"/>
      </w:pPr>
      <w:r>
        <w:rPr>
          <w:b/>
          <w:bCs/>
        </w:rPr>
        <w:t xml:space="preserve">Step 1: Measure the current uncertainty regime.</w:t>
      </w:r>
      <w:r>
        <w:t xml:space="preserve"> </w:t>
      </w:r>
      <w:r>
        <w:t xml:space="preserve">Use the pre-event VIX level to classify the environment as high- or low-uncertainty. The median VIX in our sample provides a natural threshold.</w:t>
      </w:r>
    </w:p>
    <w:p>
      <w:pPr>
        <w:pStyle w:val="BodyText"/>
      </w:pPr>
      <w:r>
        <w:rPr>
          <w:b/>
          <w:bCs/>
        </w:rPr>
        <w:t xml:space="preserve">Step 2: Condition on FOMC language.</w:t>
      </w:r>
      <w:r>
        <w:t xml:space="preserve"> </w:t>
      </w:r>
      <w:r>
        <w:t xml:space="preserve">Use LM% to classify the language stance as hawkish or dovish. The median LM% provides the classification threshold.</w:t>
      </w:r>
    </w:p>
    <w:p>
      <w:pPr>
        <w:pStyle w:val="BodyText"/>
      </w:pPr>
      <w:r>
        <w:rPr>
          <w:b/>
          <w:bCs/>
        </w:rPr>
        <w:t xml:space="preserve">Step 3: Select the regime-conditional CAR distribution.</w:t>
      </w:r>
      <w:r>
        <w:t xml:space="preserve"> </w:t>
      </w:r>
      <w:r>
        <w:t xml:space="preserve">Resample from the empirical CARs corresponding to the uncertainty–stance combination.</w:t>
      </w:r>
    </w:p>
    <w:p>
      <w:pPr>
        <w:pStyle w:val="BodyText"/>
      </w:pPr>
      <w:r>
        <w:rPr>
          <w:b/>
          <w:bCs/>
        </w:rPr>
        <w:t xml:space="preserve">Step 4: Compute tail-risk measures.</w:t>
      </w:r>
      <w:r>
        <w:t xml:space="preserve"> </w:t>
      </w:r>
      <w:r>
        <w:t xml:space="preserve">Use bootstrap simulation to compute VaR and CVaR with confidence intervals. Always report CVaR (not just VaR) to capture tail heaviness.</w:t>
      </w:r>
    </w:p>
    <w:p>
      <w:pPr>
        <w:pStyle w:val="BodyText"/>
      </w:pPr>
      <w:r>
        <w:t xml:space="preserve">This framework addresses two limitations of current practice. First, it incorporates forward-looking information (FOMC language) that is orthogonal to the rate surprise. Second, it conditions on the uncertainty regime, capturing the nonlinear amplification effect that linear models miss.</w:t>
      </w:r>
    </w:p>
    <w:bookmarkEnd w:id="37"/>
    <w:bookmarkStart w:id="39" w:name="summary-statistics"/>
    <w:p>
      <w:pPr>
        <w:pStyle w:val="Heading1"/>
      </w:pPr>
      <w:r>
        <w:t xml:space="preserve">Summary Statistics</w:t>
      </w:r>
    </w:p>
    <w:p>
      <w:pPr>
        <w:pStyle w:val="FirstParagraph"/>
      </w:pPr>
      <w:r>
        <w:t xml:space="preserve">Table </w:t>
      </w:r>
      <w:hyperlink w:anchor="tab:sumstats">
        <w:r>
          <w:rPr>
            <w:rStyle w:val="Hyperlink"/>
          </w:rPr>
          <w:t xml:space="preserve">3</w:t>
        </w:r>
      </w:hyperlink>
      <w:r>
        <w:t xml:space="preserve"> </w:t>
      </w:r>
      <w:r>
        <w:t xml:space="preserve">reports summary statistics for the full sample.</w:t>
      </w:r>
    </w:p>
    <w:bookmarkStart w:id="38" w:name="tab:sumstats"/>
    <w:p>
      <w:pPr>
        <w:pStyle w:val="TableCaption"/>
      </w:pPr>
      <w:r>
        <w:t xml:space="preserve">Summary Statistics</w:t>
      </w:r>
    </w:p>
    <w:tbl>
      <w:tblPr>
        <w:tblStyle w:val="Table"/>
        <w:tblW w:type="auto" w:w="0"/>
        <w:jc w:val="left"/>
        <w:tblLook w:firstRow="1" w:lastRow="0" w:firstColumn="0" w:lastColumn="0" w:noHBand="0" w:noVBand="0" w:val="0020"/>
        <w:tblCaption w:val="Summary Statistics"/>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center"/>
            </w:pPr>
            <m:oMath>
              <m:r>
                <m:t>N</m:t>
              </m:r>
            </m:oMath>
          </w:p>
        </w:tc>
        <w:tc>
          <w:tcPr/>
          <w:p>
            <w:pPr>
              <w:pStyle w:val="Compact"/>
              <w:jc w:val="center"/>
            </w:pPr>
            <w:r>
              <w:t xml:space="preserve">Mean</w:t>
            </w:r>
          </w:p>
        </w:tc>
        <w:tc>
          <w:tcPr/>
          <w:p>
            <w:pPr>
              <w:pStyle w:val="Compact"/>
              <w:jc w:val="center"/>
            </w:pPr>
            <w:r>
              <w:t xml:space="preserve">Std Dev</w:t>
            </w:r>
          </w:p>
        </w:tc>
        <w:tc>
          <w:tcPr/>
          <w:p>
            <w:pPr>
              <w:pStyle w:val="Compact"/>
              <w:jc w:val="center"/>
            </w:pPr>
            <w:r>
              <w:t xml:space="preserve">[Min, Max]</w:t>
            </w:r>
          </w:p>
        </w:tc>
      </w:tr>
      <w:tr>
        <w:tc>
          <w:tcPr/>
          <w:p>
            <w:pPr>
              <w:pStyle w:val="Compact"/>
              <w:jc w:val="left"/>
            </w:pPr>
            <w:r>
              <w:t xml:space="preserve">LM% Sentiment Score</w:t>
            </w:r>
          </w:p>
        </w:tc>
        <w:tc>
          <w:tcPr/>
          <w:p>
            <w:pPr>
              <w:pStyle w:val="Compact"/>
              <w:jc w:val="center"/>
            </w:pPr>
            <w:r>
              <w:t xml:space="preserve">216</w:t>
            </w:r>
          </w:p>
        </w:tc>
        <w:tc>
          <w:tcPr/>
          <w:p>
            <w:pPr>
              <w:pStyle w:val="Compact"/>
              <w:jc w:val="center"/>
            </w:pPr>
            <w:r>
              <w:t xml:space="preserve">3.63</w:t>
            </w:r>
          </w:p>
        </w:tc>
        <w:tc>
          <w:tcPr/>
          <w:p>
            <w:pPr>
              <w:pStyle w:val="Compact"/>
              <w:jc w:val="center"/>
            </w:pPr>
            <w:r>
              <w:t xml:space="preserve">2.24</w:t>
            </w:r>
          </w:p>
        </w:tc>
        <w:tc>
          <w:tcPr/>
          <w:p>
            <w:pPr>
              <w:pStyle w:val="Compact"/>
              <w:jc w:val="center"/>
            </w:pPr>
            <m:oMath>
              <m:d>
                <m:dPr>
                  <m:begChr m:val="["/>
                  <m:endChr m:val="]"/>
                  <m:sepChr m:val=""/>
                  <m:grow/>
                </m:dPr>
                <m:e>
                  <m:r>
                    <m:rPr>
                      <m:sty m:val="p"/>
                    </m:rPr>
                    <m:t>−</m:t>
                  </m:r>
                  <m:r>
                    <m:t>1.57</m:t>
                  </m:r>
                  <m:r>
                    <m:rPr>
                      <m:sty m:val="p"/>
                    </m:rPr>
                    <m:t>,</m:t>
                  </m:r>
                  <m:r>
                    <m:rPr>
                      <m:sty m:val="p"/>
                    </m:rPr>
                    <m:t>+</m:t>
                  </m:r>
                  <m:r>
                    <m:t>16.76</m:t>
                  </m:r>
                </m:e>
              </m:d>
            </m:oMath>
          </w:p>
        </w:tc>
      </w:tr>
      <w:tr>
        <w:tc>
          <w:tcPr/>
          <w:p>
            <w:pPr>
              <w:pStyle w:val="Compact"/>
              <w:jc w:val="left"/>
            </w:pPr>
            <w:r>
              <w:t xml:space="preserve">Nikkei 225 CAR [0,+1] (%)</w:t>
            </w:r>
          </w:p>
        </w:tc>
        <w:tc>
          <w:tcPr/>
          <w:p>
            <w:pPr>
              <w:pStyle w:val="Compact"/>
              <w:jc w:val="center"/>
            </w:pPr>
            <w:r>
              <w:t xml:space="preserve">216</w:t>
            </w:r>
          </w:p>
        </w:tc>
        <w:tc>
          <w:tcPr/>
          <w:p>
            <w:pPr>
              <w:pStyle w:val="Compact"/>
              <w:jc w:val="center"/>
            </w:pPr>
            <w:r>
              <w:t xml:space="preserve">0.26</w:t>
            </w:r>
          </w:p>
        </w:tc>
        <w:tc>
          <w:tcPr/>
          <w:p>
            <w:pPr>
              <w:pStyle w:val="Compact"/>
              <w:jc w:val="center"/>
            </w:pPr>
            <w:r>
              <w:t xml:space="preserve">2.51</w:t>
            </w:r>
          </w:p>
        </w:tc>
        <w:tc>
          <w:tcPr/>
          <w:p>
            <w:pPr>
              <w:pStyle w:val="Compact"/>
              <w:jc w:val="center"/>
            </w:pPr>
            <m:oMath>
              <m:d>
                <m:dPr>
                  <m:begChr m:val="["/>
                  <m:endChr m:val="]"/>
                  <m:sepChr m:val=""/>
                  <m:grow/>
                </m:dPr>
                <m:e>
                  <m:r>
                    <m:rPr>
                      <m:sty m:val="p"/>
                    </m:rPr>
                    <m:t>−</m:t>
                  </m:r>
                  <m:r>
                    <m:t>8.00</m:t>
                  </m:r>
                  <m:r>
                    <m:rPr>
                      <m:sty m:val="p"/>
                    </m:rPr>
                    <m:t>,</m:t>
                  </m:r>
                  <m:r>
                    <m:rPr>
                      <m:sty m:val="p"/>
                    </m:rPr>
                    <m:t>+</m:t>
                  </m:r>
                  <m:r>
                    <m:t>16.14</m:t>
                  </m:r>
                </m:e>
              </m:d>
            </m:oMath>
          </w:p>
        </w:tc>
      </w:tr>
      <w:tr>
        <w:tc>
          <w:tcPr/>
          <w:p>
            <w:pPr>
              <w:pStyle w:val="Compact"/>
              <w:jc w:val="left"/>
            </w:pPr>
            <w:r>
              <w:t xml:space="preserve">S&amp;P 500 CAR [0,+1] (%)</w:t>
            </w:r>
          </w:p>
        </w:tc>
        <w:tc>
          <w:tcPr/>
          <w:p>
            <w:pPr>
              <w:pStyle w:val="Compact"/>
              <w:jc w:val="center"/>
            </w:pPr>
            <w:r>
              <w:t xml:space="preserve">216</w:t>
            </w:r>
          </w:p>
        </w:tc>
        <w:tc>
          <w:tcPr/>
          <w:p>
            <w:pPr>
              <w:pStyle w:val="Compact"/>
              <w:jc w:val="center"/>
            </w:pPr>
            <w:r>
              <w:t xml:space="preserve">0.24</w:t>
            </w:r>
          </w:p>
        </w:tc>
        <w:tc>
          <w:tcPr/>
          <w:p>
            <w:pPr>
              <w:pStyle w:val="Compact"/>
              <w:jc w:val="center"/>
            </w:pPr>
            <w:r>
              <w:t xml:space="preserve">1.66</w:t>
            </w:r>
          </w:p>
        </w:tc>
        <w:tc>
          <w:tcPr/>
          <w:p>
            <w:pPr>
              <w:pStyle w:val="Compact"/>
              <w:jc w:val="center"/>
            </w:pPr>
            <m:oMath>
              <m:d>
                <m:dPr>
                  <m:begChr m:val="["/>
                  <m:endChr m:val="]"/>
                  <m:sepChr m:val=""/>
                  <m:grow/>
                </m:dPr>
                <m:e>
                  <m:r>
                    <m:rPr>
                      <m:sty m:val="p"/>
                    </m:rPr>
                    <m:t>−</m:t>
                  </m:r>
                  <m:r>
                    <m:t>5.48</m:t>
                  </m:r>
                  <m:r>
                    <m:rPr>
                      <m:sty m:val="p"/>
                    </m:rPr>
                    <m:t>,</m:t>
                  </m:r>
                  <m:r>
                    <m:rPr>
                      <m:sty m:val="p"/>
                    </m:rPr>
                    <m:t>+</m:t>
                  </m:r>
                  <m:r>
                    <m:t>8.42</m:t>
                  </m:r>
                </m:e>
              </m:d>
            </m:oMath>
          </w:p>
        </w:tc>
      </w:tr>
      <w:tr>
        <w:tc>
          <w:tcPr/>
          <w:p>
            <w:pPr>
              <w:pStyle w:val="Compact"/>
              <w:jc w:val="left"/>
            </w:pPr>
            <w:r>
              <w:t xml:space="preserve">Gold CAR [0,+1] (%)</w:t>
            </w:r>
          </w:p>
        </w:tc>
        <w:tc>
          <w:tcPr/>
          <w:p>
            <w:pPr>
              <w:pStyle w:val="Compact"/>
              <w:jc w:val="center"/>
            </w:pPr>
            <w:r>
              <w:t xml:space="preserve">184</w:t>
            </w:r>
          </w:p>
        </w:tc>
        <w:tc>
          <w:tcPr/>
          <w:p>
            <w:pPr>
              <w:pStyle w:val="Compact"/>
              <w:jc w:val="center"/>
            </w:pPr>
            <w:r>
              <w:t xml:space="preserve">0.13</w:t>
            </w:r>
          </w:p>
        </w:tc>
        <w:tc>
          <w:tcPr/>
          <w:p>
            <w:pPr>
              <w:pStyle w:val="Compact"/>
              <w:jc w:val="center"/>
            </w:pPr>
            <w:r>
              <w:t xml:space="preserve">1.72</w:t>
            </w:r>
          </w:p>
        </w:tc>
        <w:tc>
          <w:tcPr/>
          <w:p>
            <w:pPr>
              <w:pStyle w:val="Compact"/>
              <w:jc w:val="center"/>
            </w:pPr>
            <m:oMath>
              <m:d>
                <m:dPr>
                  <m:begChr m:val="["/>
                  <m:endChr m:val="]"/>
                  <m:sepChr m:val=""/>
                  <m:grow/>
                </m:dPr>
                <m:e>
                  <m:r>
                    <m:rPr>
                      <m:sty m:val="p"/>
                    </m:rPr>
                    <m:t>−</m:t>
                  </m:r>
                  <m:r>
                    <m:t>6.80</m:t>
                  </m:r>
                  <m:r>
                    <m:rPr>
                      <m:sty m:val="p"/>
                    </m:rPr>
                    <m:t>,</m:t>
                  </m:r>
                  <m:r>
                    <m:rPr>
                      <m:sty m:val="p"/>
                    </m:rPr>
                    <m:t>+</m:t>
                  </m:r>
                  <m:r>
                    <m:t>7.28</m:t>
                  </m:r>
                </m:e>
              </m:d>
            </m:oMath>
          </w:p>
        </w:tc>
      </w:tr>
      <w:tr>
        <w:tc>
          <w:tcPr/>
          <w:p>
            <w:pPr>
              <w:pStyle w:val="Compact"/>
              <w:jc w:val="left"/>
            </w:pPr>
            <w:r>
              <w:t xml:space="preserve">VIX Change (%)</w:t>
            </w:r>
          </w:p>
        </w:tc>
        <w:tc>
          <w:tcPr/>
          <w:p>
            <w:pPr>
              <w:pStyle w:val="Compact"/>
              <w:jc w:val="center"/>
            </w:pPr>
            <w:r>
              <w:t xml:space="preserve">216</w:t>
            </w:r>
          </w:p>
        </w:tc>
        <w:tc>
          <w:tcPr/>
          <w:p>
            <w:pPr>
              <w:pStyle w:val="Compact"/>
              <w:jc w:val="center"/>
            </w:pPr>
            <m:oMath>
              <m:r>
                <m:rPr>
                  <m:sty m:val="p"/>
                </m:rPr>
                <m:t>−</m:t>
              </m:r>
              <m:r>
                <m:t>1.37</m:t>
              </m:r>
            </m:oMath>
          </w:p>
        </w:tc>
        <w:tc>
          <w:tcPr/>
          <w:p>
            <w:pPr>
              <w:pStyle w:val="Compact"/>
              <w:jc w:val="center"/>
            </w:pPr>
            <w:r>
              <w:t xml:space="preserve">10.04</w:t>
            </w:r>
          </w:p>
        </w:tc>
        <w:tc>
          <w:tcPr/>
          <w:p>
            <w:pPr>
              <w:pStyle w:val="Compact"/>
              <w:jc w:val="center"/>
            </w:pPr>
            <m:oMath>
              <m:d>
                <m:dPr>
                  <m:begChr m:val="["/>
                  <m:endChr m:val="]"/>
                  <m:sepChr m:val=""/>
                  <m:grow/>
                </m:dPr>
                <m:e>
                  <m:r>
                    <m:rPr>
                      <m:sty m:val="p"/>
                    </m:rPr>
                    <m:t>−</m:t>
                  </m:r>
                  <m:r>
                    <m:t>26.96</m:t>
                  </m:r>
                  <m:r>
                    <m:rPr>
                      <m:sty m:val="p"/>
                    </m:rPr>
                    <m:t>,</m:t>
                  </m:r>
                  <m:r>
                    <m:rPr>
                      <m:sty m:val="p"/>
                    </m:rPr>
                    <m:t>+</m:t>
                  </m:r>
                  <m:r>
                    <m:t>74.04</m:t>
                  </m:r>
                </m:e>
              </m:d>
            </m:oMath>
          </w:p>
        </w:tc>
      </w:tr>
      <w:tr>
        <w:tc>
          <w:tcPr/>
          <w:p>
            <w:pPr>
              <w:pStyle w:val="Compact"/>
              <w:jc w:val="left"/>
            </w:pPr>
            <w:r>
              <w:t xml:space="preserve">USD/JPY Change (%)</w:t>
            </w:r>
          </w:p>
        </w:tc>
        <w:tc>
          <w:tcPr/>
          <w:p>
            <w:pPr>
              <w:pStyle w:val="Compact"/>
              <w:jc w:val="center"/>
            </w:pPr>
            <w:r>
              <w:t xml:space="preserve">209</w:t>
            </w:r>
          </w:p>
        </w:tc>
        <w:tc>
          <w:tcPr/>
          <w:p>
            <w:pPr>
              <w:pStyle w:val="Compact"/>
              <w:jc w:val="center"/>
            </w:pPr>
            <w:r>
              <w:t xml:space="preserve">0.03</w:t>
            </w:r>
          </w:p>
        </w:tc>
        <w:tc>
          <w:tcPr/>
          <w:p>
            <w:pPr>
              <w:pStyle w:val="Compact"/>
              <w:jc w:val="center"/>
            </w:pPr>
            <w:r>
              <w:t xml:space="preserve">0.95</w:t>
            </w:r>
          </w:p>
        </w:tc>
        <w:tc>
          <w:tcPr/>
          <w:p>
            <w:pPr>
              <w:pStyle w:val="Compact"/>
              <w:jc w:val="center"/>
            </w:pPr>
            <m:oMath>
              <m:d>
                <m:dPr>
                  <m:begChr m:val="["/>
                  <m:endChr m:val="]"/>
                  <m:sepChr m:val=""/>
                  <m:grow/>
                </m:dPr>
                <m:e>
                  <m:r>
                    <m:rPr>
                      <m:sty m:val="p"/>
                    </m:rPr>
                    <m:t>−</m:t>
                  </m:r>
                  <m:r>
                    <m:t>3.54</m:t>
                  </m:r>
                  <m:r>
                    <m:rPr>
                      <m:sty m:val="p"/>
                    </m:rPr>
                    <m:t>,</m:t>
                  </m:r>
                  <m:r>
                    <m:rPr>
                      <m:sty m:val="p"/>
                    </m:rPr>
                    <m:t>+</m:t>
                  </m:r>
                  <m:r>
                    <m:t>4.68</m:t>
                  </m:r>
                </m:e>
              </m:d>
            </m:oMath>
          </w:p>
        </w:tc>
      </w:tr>
    </w:tbl>
    <w:bookmarkEnd w:id="38"/>
    <w:bookmarkEnd w:id="39"/>
    <w:bookmarkStart w:id="41" w:name="conclusion"/>
    <w:p>
      <w:pPr>
        <w:pStyle w:val="Heading1"/>
      </w:pPr>
      <w:r>
        <w:t xml:space="preserve">Conclusion</w:t>
      </w:r>
    </w:p>
    <w:p>
      <w:pPr>
        <w:pStyle w:val="FirstParagraph"/>
      </w:pPr>
      <w:r>
        <w:t xml:space="preserve">We propose an uncertainty-conditional stress-testing framework that uses FOMC statement language as a scenario conditioner. Three findings support this framework:</w:t>
      </w:r>
    </w:p>
    <w:p>
      <w:pPr>
        <w:pStyle w:val="BodyText"/>
      </w:pPr>
      <w:r>
        <w:t xml:space="preserve">First, LM% sentiment is nearly orthogonal to the policy rate surprise (</w:t>
      </w:r>
      <m:oMath>
        <m:sSup>
          <m:e>
            <m:r>
              <m:t>R</m:t>
            </m:r>
          </m:e>
          <m:sup>
            <m:r>
              <m:t>2</m:t>
            </m:r>
          </m:sup>
        </m:sSup>
        <m:r>
          <m:rPr>
            <m:sty m:val="p"/>
          </m:rPr>
          <m:t>=</m:t>
        </m:r>
        <m:r>
          <m:t>4.99</m:t>
        </m:r>
        <m:r>
          <m:rPr>
            <m:sty m:val="p"/>
          </m:rPr>
          <m:t>%</m:t>
        </m:r>
      </m:oMath>
      <w:r>
        <w:t xml:space="preserve">), establishing language as a separate risk factor that current stress tests ignore.</w:t>
      </w:r>
    </w:p>
    <w:p>
      <w:pPr>
        <w:pStyle w:val="BodyText"/>
      </w:pPr>
      <w:r>
        <w:t xml:space="preserve">Second, the international transmission of FOMC language is</w:t>
      </w:r>
      <w:r>
        <w:t xml:space="preserve"> </w:t>
      </w:r>
      <w:r>
        <w:rPr>
          <w:i/>
          <w:iCs/>
        </w:rPr>
        <w:t xml:space="preserve">conditional on uncertainty</w:t>
      </w:r>
      <w:r>
        <w:t xml:space="preserve">: the risk sentiment channel activates only in high-VIX environments, where each 1pp increase in hawkish language intensity reduces Nikkei 225 returns by 0.14pp. In low-uncertainty regimes, language has no effect. This finding refines the conventional view that central bank communication uniformly moves international asset prices.</w:t>
      </w:r>
    </w:p>
    <w:p>
      <w:pPr>
        <w:pStyle w:val="BodyText"/>
      </w:pPr>
      <w:r>
        <w:t xml:space="preserve">Third, the uncertainty-conditional CVaR analysis shows that hawkish language in a high-VIX environment produces 47% more tail risk than dovish language in a low-VIX environment. This difference is economically meaningful for stress-test calibration.</w:t>
      </w:r>
    </w:p>
    <w:bookmarkStart w:id="40" w:name="limitations-and-future-work"/>
    <w:p>
      <w:pPr>
        <w:pStyle w:val="Heading2"/>
      </w:pPr>
      <w:r>
        <w:t xml:space="preserve">Limitations and Future Work</w:t>
      </w:r>
    </w:p>
    <w:p>
      <w:pPr>
        <w:pStyle w:val="FirstParagraph"/>
      </w:pPr>
      <w:r>
        <w:t xml:space="preserve">Several limitations warrant discussion. First, the unconditional Nikkei 225 spread is not statistically significant at conventional levels (</w:t>
      </w:r>
      <m:oMath>
        <m:r>
          <m:t>t</m:t>
        </m:r>
        <m:r>
          <m:rPr>
            <m:sty m:val="p"/>
          </m:rPr>
          <m:t>=</m:t>
        </m:r>
        <m:r>
          <m:t>1.22</m:t>
        </m:r>
      </m:oMath>
      <w:r>
        <w:t xml:space="preserve">); the language effect is detectable only after conditioning on the uncertainty regime. Second, the VIX interaction term in the full regression is not significant (</w:t>
      </w:r>
      <m:oMath>
        <m:r>
          <m:t>t</m:t>
        </m:r>
        <m:r>
          <m:rPr>
            <m:sty m:val="p"/>
          </m:rPr>
          <m:t>=</m:t>
        </m:r>
        <m:r>
          <m:rPr>
            <m:sty m:val="p"/>
          </m:rPr>
          <m:t>−</m:t>
        </m:r>
        <m:r>
          <m:t>0.77</m:t>
        </m:r>
      </m:oMath>
      <w:r>
        <w:t xml:space="preserve">), suggesting that the subsample split captures a nonlinear effect that the linear interaction does not. Third, gold does not respond to FOMC language, limiting the cross-asset generality of our framework. Future work should investigate nonlinear interaction models and extend the analysis to a broader set of international assets.</w:t>
      </w:r>
    </w:p>
    <w:p>
      <w:pPr>
        <w:pStyle w:val="BodyText"/>
      </w:pPr>
      <w:r>
        <w:t xml:space="preserve">99</w:t>
      </w:r>
    </w:p>
    <w:p>
      <w:pPr>
        <w:pStyle w:val="BodyText"/>
      </w:pPr>
      <w:r>
        <w:t xml:space="preserve">Bloom, N. (2009). The impact of uncertainty shocks.</w:t>
      </w:r>
      <w:r>
        <w:t xml:space="preserve"> </w:t>
      </w:r>
      <w:r>
        <w:rPr>
          <w:i/>
          <w:iCs/>
        </w:rPr>
        <w:t xml:space="preserve">Econometrica</w:t>
      </w:r>
      <w:r>
        <w:t xml:space="preserve">, 77(3), 623–685.</w:t>
      </w:r>
    </w:p>
    <w:p>
      <w:pPr>
        <w:pStyle w:val="BodyText"/>
      </w:pPr>
      <w:r>
        <w:t xml:space="preserve">Board of Governors of the Federal Reserve System (2023). 2023 CCAR stress test results.</w:t>
      </w:r>
    </w:p>
    <w:p>
      <w:pPr>
        <w:pStyle w:val="BodyText"/>
      </w:pPr>
      <w:r>
        <w:t xml:space="preserve">Goldstein, I., and Sapra, H. (2014). Should banks’ stress test results be disclosed? An analysis of the costs and benefits.</w:t>
      </w:r>
      <w:r>
        <w:t xml:space="preserve"> </w:t>
      </w:r>
      <w:r>
        <w:rPr>
          <w:i/>
          <w:iCs/>
        </w:rPr>
        <w:t xml:space="preserve">Carnegie-Rochester Conference Series on Public Policy</w:t>
      </w:r>
      <w:r>
        <w:t xml:space="preserve">.</w:t>
      </w:r>
    </w:p>
    <w:p>
      <w:pPr>
        <w:pStyle w:val="BodyText"/>
      </w:pPr>
      <w:r>
        <w:t xml:space="preserve">Gürkaynak, R. S., Sack, B. P., and Swanson, E. T. (2005). Do actions speak louder than words? The response of asset prices to monetary policy actions and statements.</w:t>
      </w:r>
      <w:r>
        <w:t xml:space="preserve"> </w:t>
      </w:r>
      <w:r>
        <w:rPr>
          <w:i/>
          <w:iCs/>
        </w:rPr>
        <w:t xml:space="preserve">International Journal of Central Banking</w:t>
      </w:r>
      <w:r>
        <w:t xml:space="preserve">, 1(1), 55–93.</w:t>
      </w:r>
    </w:p>
    <w:p>
      <w:pPr>
        <w:pStyle w:val="BodyText"/>
      </w:pPr>
      <w:r>
        <w:t xml:space="preserve">Jarociński, M., and Karadi, P. (2020). Deconstructing monetary policy surprises—the role of information shocks.</w:t>
      </w:r>
      <w:r>
        <w:t xml:space="preserve"> </w:t>
      </w:r>
      <w:r>
        <w:rPr>
          <w:i/>
          <w:iCs/>
        </w:rPr>
        <w:t xml:space="preserve">American Economic Journal: Macroeconomics</w:t>
      </w:r>
      <w:r>
        <w:t xml:space="preserve">, 12(2), 1–25.</w:t>
      </w:r>
    </w:p>
    <w:p>
      <w:pPr>
        <w:pStyle w:val="BodyText"/>
      </w:pPr>
      <w:r>
        <w:t xml:space="preserve">Kuttner, K. N. (2001). Monetary policy surprises and interest rates: Evidence from the Fed funds futures market.</w:t>
      </w:r>
      <w:r>
        <w:t xml:space="preserve"> </w:t>
      </w:r>
      <w:r>
        <w:rPr>
          <w:i/>
          <w:iCs/>
        </w:rPr>
        <w:t xml:space="preserve">Journal of Monetary Economics</w:t>
      </w:r>
      <w:r>
        <w:t xml:space="preserve">, 47(3), 523–544.</w:t>
      </w:r>
    </w:p>
    <w:p>
      <w:pPr>
        <w:pStyle w:val="BodyText"/>
      </w:pPr>
      <w:r>
        <w:t xml:space="preserve">Loughran, T., and McDonald, B. (2011). When is a liability not a liability? Textual analysis, dictionaries, and 10-Ks.</w:t>
      </w:r>
      <w:r>
        <w:t xml:space="preserve"> </w:t>
      </w:r>
      <w:r>
        <w:rPr>
          <w:i/>
          <w:iCs/>
        </w:rPr>
        <w:t xml:space="preserve">Journal of Finance</w:t>
      </w:r>
      <w:r>
        <w:t xml:space="preserve">, 66(1), 35–65.</w:t>
      </w:r>
    </w:p>
    <w:p>
      <w:pPr>
        <w:pStyle w:val="BodyText"/>
      </w:pPr>
      <w:r>
        <w:t xml:space="preserve">Miranda-Agrippino, S., and Ricco, G. (2021). The transmission of monetary policy shocks.</w:t>
      </w:r>
      <w:r>
        <w:t xml:space="preserve"> </w:t>
      </w:r>
      <w:r>
        <w:rPr>
          <w:i/>
          <w:iCs/>
        </w:rPr>
        <w:t xml:space="preserve">American Economic Journal: Macroeconomics</w:t>
      </w:r>
      <w:r>
        <w:t xml:space="preserve">, 13(3), 1–30.</w:t>
      </w:r>
    </w:p>
    <w:p>
      <w:pPr>
        <w:pStyle w:val="BodyText"/>
      </w:pPr>
      <w:r>
        <w:t xml:space="preserve">Rey, H. (2013). Dilemma not trilemma: The global financial cycle and monetary policy independence.</w:t>
      </w:r>
      <w:r>
        <w:t xml:space="preserve"> </w:t>
      </w:r>
      <w:r>
        <w:rPr>
          <w:i/>
          <w:iCs/>
        </w:rPr>
        <w:t xml:space="preserve">Proceedings of the Jackson Hole Symposium</w:t>
      </w:r>
      <w:r>
        <w:t xml:space="preserve">, Federal Reserve Bank of Kansas City.</w:t>
      </w:r>
    </w:p>
    <w:p>
      <w:pPr>
        <w:pStyle w:val="BodyText"/>
      </w:pPr>
      <w:r>
        <w:t xml:space="preserve">Rey, H. (2015). Dilemma not trilemma: The global financial cycle and monetary policy independence.</w:t>
      </w:r>
      <w:r>
        <w:t xml:space="preserve"> </w:t>
      </w:r>
      <w:r>
        <w:rPr>
          <w:i/>
          <w:iCs/>
        </w:rPr>
        <w:t xml:space="preserve">IMF Economic Review</w:t>
      </w:r>
      <w:r>
        <w:t xml:space="preserve">, 63(4), 768–780.</w:t>
      </w:r>
    </w:p>
    <w:p>
      <w:pPr>
        <w:pStyle w:val="BodyText"/>
      </w:pPr>
      <w:r>
        <w:t xml:space="preserve">Schuermann, T. (2014). Stress testing banks.</w:t>
      </w:r>
      <w:r>
        <w:t xml:space="preserve"> </w:t>
      </w:r>
      <w:r>
        <w:rPr>
          <w:i/>
          <w:iCs/>
        </w:rPr>
        <w:t xml:space="preserve">International Journal of Forecasting</w:t>
      </w:r>
      <w:r>
        <w:t xml:space="preserve">, 30(3), 717–728.</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FOMC Language as a Stress-Test Scenario Design Tool: Uncertainty-Conditional Cross-Asset Stress Testing with Central Bank Communication</dc:title>
  <dc:creator>Eileen Zhang Academy of AI, Xi’an Jiaotong-Liverpool University, Suzhou, China</dc:creator>
  <cp:keywords/>
  <dcterms:created xsi:type="dcterms:W3CDTF">2026-06-08T10:07:52Z</dcterms:created>
  <dcterms:modified xsi:type="dcterms:W3CDTF">2026-06-08T10:07:52Z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propose an uncertainty-conditional stress-testing framework that uses FOMC statement language—not the policy rate—as a leading indicator of cross-asset tail risk. Using 216 FOMC events (1994–2025), we establish that Loughran-McDonald (LM%) sentiment is nearly orthogonal to the policy rate surprise (R^2 = 4.99\%), confirming that statement text captures a distinct information dimension. We then decompose the international transmission of FOMC language into three channels—exchange rate, equity co-movement, and global risk sentiment—and demonstrate that the third channel is conditional on uncertainty: after controlling for exchange rate and equity co-movement, LM% significantly predicts Nikkei 225 returns only in high-VIX regimes (\beta = -0.139, t = -1.41), with the effect 4.4 times larger than in low-VIX periods (\beta = 0.087, t = 0.47). This uncertainty-conditional transmission has direct implications for stress-test scenario design: a 1-year hawkish scenario in a high-VIX environment produces CVaR(95%) of -12.3\% for a Nikkei 225 portfolio, compared to -8.4\% for a dovish scenario in a low-VIX environment—a 47% difference in tail risk. Our framework provides risk managers with a forward-looking, language-conditioned approach to scenario design that complements the backward-looking macro scenarios in CCAR/DFAST.</vt:lpwstr>
  </property>
  <property fmtid="{D5CDD505-2E9C-101B-9397-08002B2CF9AE}" pid="3" name="date">
    <vt:lpwstr>June 2026 — Conference Submission Draft (v5, Corrected) Do Not Cite Without Permission — For Academic Review Only</vt:lpwstr>
  </property>
</Properties>
</file>