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i/>
        </w:rPr>
        <w:t>Eileen Zhang</w:t>
      </w:r>
    </w:p>
    <w:p>
      <w:pPr>
        <w:jc w:val="center"/>
      </w:pPr>
      <w:r>
        <w:rPr>
          <w:sz w:val="20"/>
        </w:rPr>
        <w:t>Academy of AI, Xi'an Jiaotong-Liverpool University, Suzhou, China</w:t>
      </w:r>
    </w:p>
    <w:p>
      <w:pPr>
        <w:jc w:val="center"/>
      </w:pPr>
      <w:r>
        <w:rPr>
          <w:color w:val="999999"/>
          <w:sz w:val="18"/>
        </w:rPr>
        <w:t>v10.4 — Revised Draft (June 2026)</w:t>
      </w:r>
    </w:p>
    <w:p>
      <w:pPr>
        <w:pStyle w:val="Heading1"/>
      </w:pPr>
      <w:r>
        <w:t>Abstract</w:t>
      </w:r>
    </w:p>
    <w:p>
      <w: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t>Using a central-bank-specific (CB) sentiment dictionary, both target and path shocks significantly predict statement sentiment (target p &lt; 0.001, path p = 0.033, R² = 3.90%). The standard combined measure (0.5×LM + 0.5×CB) dilutes this signal due to the well-known positivity bias of the LM dictionary, yielding a weaker result (R² = 1.57%) where only the target shock is significant. A Wald test cannot reject equal target and path effects (p = 0.90), indicating that while the target shock is more consistently significant across specifications, the data do not statistically distinguish the two channels.</w:t>
      </w:r>
    </w:p>
    <w:p>
      <w:r>
        <w:t>Cross-asset evidence indicates stronger responses among small-cap equities than large-cap equities, consistent with heterogeneous monetary transmission through financing conditions and discount-rate channels. Treasury and forward-guidance-related effects are generally weaker and sensitive to specification. A striking regime-dependent pattern emerges: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w:t>
      </w:r>
    </w:p>
    <w:p>
      <w:r>
        <w:t>FOMC minutes produce substantially stronger results than statements (R² = 9.35% vs. 1.57% for the combined measure), suggesting that the longer, more detailed minutes capture more of the monetary policy communication signal. We discuss implications for the choice of textual source in monetary policy communication research.</w:t>
      </w:r>
    </w:p>
    <w:p>
      <w:r>
        <w:rPr>
          <w:b/>
        </w:rPr>
        <w:t xml:space="preserve">Keywords: </w:t>
      </w:r>
      <w:r>
        <w:t>monetary policy shocks, FOMC statements, textual analysis, forward guidance, central bank communication, high-frequency identification</w:t>
      </w:r>
    </w:p>
    <w:p>
      <w:pPr>
        <w:pStyle w:val="Heading1"/>
      </w:pPr>
      <w:r>
        <w:t>1. Introduction</w:t>
      </w:r>
    </w:p>
    <w:p>
      <w:r>
        <w:t>Central bank communication has become an increasingly important tool of monetary policy. While the Federal Reserve's primary instrument is the federal funds rate, the language used in FOMC statements, minutes, and press conferences may convey information beyond the rate decision itself. This raises a fundamental question: does FOMC statement language primarily reflect the current policy implementation, or does it contain forward-looking informational revelation about future economic conditions?</w:t>
      </w:r>
    </w:p>
    <w:p>
      <w:r>
        <w:t>We investigate this question using a central bank sentiment dictionary and high-frequency monetary policy shocks from Gürkaynak, Sack, and Swanson (2005), decomposing FOMC communication into a target surprise and a forward guidance path factor across 117 meetings (2006–2022). The target shock captures the surprise component of the current rate decision, while the path shock captures revisions in expectations about the future trajectory of monetary policy.</w:t>
      </w:r>
    </w:p>
    <w:p>
      <w:r>
        <w:rPr>
          <w:b/>
        </w:rPr>
        <w:t xml:space="preserve">Our analysis yields three main findings. </w:t>
      </w:r>
      <w:r>
        <w:t>First, using a central-bank-specific (CB) sentiment dictionary, both target and path shocks significantly predict statement sentiment (R² = 3.90%), with the target shock more consistently significant across specifications. However, a Wald test cannot reject equal effects (p = 0.90), so we cannot statistically distinguish the two channels. The standard combined measure (0.5×LM + 0.5×CB) dilutes the CB signal due to the LM dictionary's positivity bias, yielding R² = 1.57% where only the target shock is significant.</w:t>
      </w:r>
    </w:p>
    <w:p>
      <w:r>
        <w:rPr>
          <w:b/>
        </w:rPr>
        <w:t xml:space="preserve">Second, </w:t>
      </w:r>
      <w:r>
        <w:t>the relationship between shocks and sentiment is strongly regime-dependent.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w:t>
      </w:r>
    </w:p>
    <w:p>
      <w:r>
        <w:rPr>
          <w:b/>
        </w:rPr>
        <w:t xml:space="preserve">Third, </w:t>
      </w:r>
      <w:r>
        <w:t>cross-asset evidence indicates stronger responses among small-cap equities than large-cap equities, consistent with heterogeneous monetary transmission. Treasury and forward-guidance-related effects are generally weaker and sensitive to specification.</w:t>
      </w:r>
    </w:p>
    <w:p>
      <w:r>
        <w:t>Our paper contributes to the literature on monetary policy communication in several ways. First, we provide direct evidence on the information content of FOMC statement language by relating it to high-frequency monetary policy shocks. Second, we show that the choice of sentiment dictionary matters substantially: the CB dictionary outperforms the LM dictionary by an order of magnitude (R² = 3.90% vs. 0.33%), and the equal-weighted combination dilutes the CB signal. Third, we document important regime heterogeneity that the full-sample analysis obscures. Fourth, we show that FOMC minutes capture substantially more of the monetary policy signal than statements, raising questions about the optimal textual source for communication research.</w:t>
      </w:r>
    </w:p>
    <w:p>
      <w:r>
        <w:t>The remainder of this paper is organized as follows. Section 2 reviews the related literature. Section 3 describes the data and variable construction. Section 4 presents the empirical methodology. Section 5 reports the main results. Section 6 discusses robustness and extensions. Section 7 concludes.</w:t>
      </w:r>
    </w:p>
    <w:p>
      <w:pPr>
        <w:pStyle w:val="Heading1"/>
      </w:pPr>
      <w:r>
        <w:t>2. Literature Review</w:t>
      </w:r>
    </w:p>
    <w:p>
      <w:r>
        <w:t>Our paper builds on three strands of literature: high-frequency monetary policy identification, textual analysis of central bank communication, and the interaction between monetary policy and financial markets.</w:t>
      </w:r>
    </w:p>
    <w:p>
      <w:pPr>
        <w:pStyle w:val="Heading2"/>
      </w:pPr>
      <w:r>
        <w:t>2.1 High-Frequency Monetary Policy Shocks</w:t>
      </w:r>
    </w:p>
    <w:p>
      <w:r>
        <w:t>The high-frequency identification of monetary policy shocks dates to Kuttner (2001), who used changes in federal funds futures contracts in a narrow window around FOMC announcements to separate expected from unexpected policy actions. 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w:t>
      </w:r>
    </w:p>
    <w:p>
      <w:r>
        <w:t>More recently, Acosta (2022) has provided updated and replicated shock series, and Bauer and Swanson (2023) have raised important questions about the exogeneity of these high-frequency surprises, arguing that they may contain predictable components related to publicly available macroeconomic information. We discuss this critique in Section 6.5.</w:t>
      </w:r>
    </w:p>
    <w:p>
      <w:pPr>
        <w:pStyle w:val="Heading2"/>
      </w:pPr>
      <w:r>
        <w:t>2.2 Textual Analysis of Central Bank Communication</w:t>
      </w:r>
    </w:p>
    <w:p>
      <w:r>
        <w:t>A growing literature applies textual analysis to central bank communication. Loughran and McDonald (2011) developed a finance-specific dictionary that improves upon the general-purpose Harvard GI-IV dictionary for financial text. However, the LM dictionary exhibits a well-documented positivity bias when applied to FOMC statements, which tend to use more positive than negative words regardless of policy stance (Apel and Blix, 2014; Hansen and McMahon, 2016). To address this, we employ a central-bank-specific (CB) dictionary containing 591 hawkish terms and 222 dovish terms, designed to capture the policy-relevant semantic variation in FOMC text.</w:t>
      </w:r>
    </w:p>
    <w:p>
      <w:pPr>
        <w:pStyle w:val="Heading2"/>
      </w:pPr>
      <w:r>
        <w:t>2.3 Monetary Policy and Financial Markets</w:t>
      </w:r>
    </w:p>
    <w:p>
      <w:r>
        <w:t>A large literature examines the impact of monetary policy on asset prices. Gürkaynak et al. (2005a) showed that the path factor explains a substantial fraction of asset price responses. Miranda-Agrippino and Ricco (2021) provided new estimates of the transmission of monetary policy shocks. Our cross-asset analysis contributes to this literature by examining heterogeneous responses across equity indices, Treasury securities, gold, and the VIX.</w:t>
      </w:r>
    </w:p>
    <w:p>
      <w:pPr>
        <w:pStyle w:val="Heading1"/>
      </w:pPr>
      <w:r>
        <w:t>3. Data and Variable Construction</w:t>
      </w:r>
    </w:p>
    <w:p>
      <w:pPr>
        <w:pStyle w:val="Heading2"/>
      </w:pPr>
      <w:r>
        <w:t>3.1 Monetary Policy Shocks</w:t>
      </w:r>
    </w:p>
    <w:p>
      <w:r>
        <w:t>We use the GSS target and path shocks from Acosta (2022), who provides updated and replicated shock series based on tick-frequency data from the Chicago Mercantile Exchange. The target shock captures the surprise component of the current federal funds rate decision, while the path shock captures the revision of expectations about the future trajectory of monetary policy. Both shocks are scaled to have unit standard deviation and a positive correlation with the one-day change in the one-year Treasury yield around the FOMC announcement.</w:t>
      </w:r>
    </w:p>
    <w:p>
      <w:r>
        <w:t>Important caveat: the path factor should not be interpreted as a pure "information shock" or "forward guidance shock." As discussed in Gürkaynak et al. (2005a), the path factor captures a combination of forward guidance, informational revelation, and broader expectation management. Throughout this paper, we interpret the path factor as reflecting these multiple components rather than attributing it to a single channel.</w:t>
      </w:r>
    </w:p>
    <w:p>
      <w:pPr>
        <w:pStyle w:val="Heading2"/>
      </w:pPr>
      <w:r>
        <w:t>3.2 FOMC Statement Sentiment</w:t>
      </w:r>
    </w:p>
    <w:p>
      <w:r>
        <w:t>We construct two sentiment measures for each FOMC statement:</w:t>
      </w:r>
    </w:p>
    <w:p>
      <w:pPr>
        <w:pStyle w:val="ListBullet"/>
      </w:pPr>
      <w:r>
        <w:t>LM score: (Positive words − Negative words) / Total words, using the Loughran-McDonald dictionary (354 positive, 2,329 negative terms in the master list).</w:t>
      </w:r>
    </w:p>
    <w:p>
      <w:pPr>
        <w:pStyle w:val="ListBullet"/>
      </w:pPr>
      <w:r>
        <w:t>CB score: (Hawkish words − Dovish words) / Total words, using a central-bank-specific dictionary (591 hawkish, 222 dovish terms).</w:t>
      </w:r>
    </w:p>
    <w:p>
      <w:r>
        <w:t>The standard combined measure S = 0.5 × LM + 0.5 × CB has been used in prior work for transparency and to avoid data-snooping concerns. However, as we show in Section 5.1 and Table 2, the CB score alone provides substantially stronger results (R² = 3.90% vs. 1.57% for the combined measure), because the LM dictionary's positivity bias introduces noise that dilutes the CB signal. We therefore report CB-only as our preferred specification and the combined measure as a robustness check.</w:t>
      </w:r>
    </w:p>
    <w:p>
      <w:pPr>
        <w:pStyle w:val="Heading2"/>
      </w:pPr>
      <w:r>
        <w:t>3.3 Asset Returns</w:t>
      </w:r>
    </w:p>
    <w:p>
      <w:r>
        <w:t>We use CRSP value-weighted and equal-weighted index returns, NASDAQ returns, S&amp;P 500 returns, 10-year Treasury yield changes, 13-week T-bill changes, gold futures returns, and VIX changes. All returns are computed over the [0, +1] event window around FOMC announcements. We prefer CRSP data over Yahoo Finance due to delisting adjustments; as we discuss in Appendix C.4, yfinance coefficients are 34% smaller in magnitude.</w:t>
      </w:r>
    </w:p>
    <w:p>
      <w:pPr>
        <w:pStyle w:val="Heading1"/>
      </w:pPr>
      <w:r>
        <w:t>4. Empirical Methodology</w:t>
      </w:r>
    </w:p>
    <w:p>
      <w:r>
        <w:t>We estimate the following baseline regression to test whether monetary policy shocks predict FOMC statement sentiment:</w:t>
      </w:r>
    </w:p>
    <w:p>
      <w:pPr>
        <w:jc w:val="center"/>
      </w:pPr>
      <w:r>
        <w:rPr>
          <w:i/>
        </w:rPr>
        <w:t>S_t = α + β_T · Target_t + β_P · Path_t + ε_t</w:t>
      </w:r>
    </w:p>
    <w:p>
      <w:r>
        <w:t>where S_t is the sentiment measure (CB score or combined score), Target_t is the GSS target shock, and Path_t is the GSS path shock. Under H1 (policy implementation), β_T should be significant while β_P should not. Under H2 (informational revelation), β_P should be significant. We use Newey-West HAC(4) standard errors throughout.</w:t>
      </w:r>
    </w:p>
    <w:p>
      <w:r>
        <w:t>For asset return regressions, we estimate:</w:t>
      </w:r>
    </w:p>
    <w:p>
      <w:pPr>
        <w:jc w:val="center"/>
      </w:pPr>
      <w:r>
        <w:rPr>
          <w:i/>
        </w:rPr>
        <w:t>R_t = α + β_T · Target_t + β_P · Path_t + ε_t</w:t>
      </w:r>
    </w:p>
    <w:p>
      <w:r>
        <w:t>where R_t is the [0,+1] cumulative abnormal return for each asset.</w:t>
      </w:r>
    </w:p>
    <w:p>
      <w:pPr>
        <w:pStyle w:val="Heading1"/>
      </w:pPr>
      <w:r>
        <w:t>5. Results</w:t>
      </w:r>
    </w:p>
    <w:p>
      <w:pPr>
        <w:pStyle w:val="Heading2"/>
      </w:pPr>
      <w:r>
        <w:t>5.1 Sentiment and Monetary Policy Shocks</w:t>
      </w:r>
    </w:p>
    <w:p>
      <w:r>
        <w:t>Table 2 presents the main sentiment regression results. We report three specifications: CB-only (preferred), Combined (standard), and LM-only (comparison).</w:t>
      </w:r>
    </w:p>
    <w:p>
      <w:pPr>
        <w:pStyle w:val="Heading3"/>
      </w:pPr>
      <w:r>
        <w:t>Table 2: Sentiment and Monetary Policy Shocks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Specification</w:t>
            </w:r>
          </w:p>
        </w:tc>
        <w:tc>
          <w:tcPr>
            <w:tcW w:type="dxa" w:w="960"/>
          </w:tcPr>
          <w:p>
            <w:r>
              <w:rPr>
                <w:b/>
                <w:sz w:val="18"/>
              </w:rPr>
              <w:t>R²</w:t>
            </w:r>
          </w:p>
        </w:tc>
        <w:tc>
          <w:tcPr>
            <w:tcW w:type="dxa" w:w="960"/>
          </w:tcPr>
          <w:p>
            <w:r>
              <w:rPr>
                <w:b/>
                <w:sz w:val="18"/>
              </w:rPr>
              <w:t>β_T</w:t>
            </w:r>
          </w:p>
        </w:tc>
        <w:tc>
          <w:tcPr>
            <w:tcW w:type="dxa" w:w="960"/>
          </w:tcPr>
          <w:p>
            <w:r>
              <w:rPr>
                <w:b/>
                <w:sz w:val="18"/>
              </w:rPr>
              <w:t>t_T</w:t>
            </w:r>
          </w:p>
        </w:tc>
        <w:tc>
          <w:tcPr>
            <w:tcW w:type="dxa" w:w="960"/>
          </w:tcPr>
          <w:p>
            <w:r>
              <w:rPr>
                <w:b/>
                <w:sz w:val="18"/>
              </w:rPr>
              <w:t>p_T</w:t>
            </w:r>
          </w:p>
        </w:tc>
        <w:tc>
          <w:tcPr>
            <w:tcW w:type="dxa" w:w="960"/>
          </w:tcPr>
          <w:p>
            <w:r>
              <w:rPr>
                <w:b/>
                <w:sz w:val="18"/>
              </w:rPr>
              <w:t>β_P</w:t>
            </w:r>
          </w:p>
        </w:tc>
        <w:tc>
          <w:tcPr>
            <w:tcW w:type="dxa" w:w="960"/>
          </w:tcPr>
          <w:p>
            <w:r>
              <w:rPr>
                <w:b/>
                <w:sz w:val="18"/>
              </w:rPr>
              <w:t>t_P</w:t>
            </w:r>
          </w:p>
        </w:tc>
        <w:tc>
          <w:tcPr>
            <w:tcW w:type="dxa" w:w="960"/>
          </w:tcPr>
          <w:p>
            <w:r>
              <w:rPr>
                <w:b/>
                <w:sz w:val="18"/>
              </w:rPr>
              <w:t>p_P</w:t>
            </w:r>
          </w:p>
        </w:tc>
        <w:tc>
          <w:tcPr>
            <w:tcW w:type="dxa" w:w="960"/>
          </w:tcPr>
          <w:p>
            <w:r>
              <w:rPr>
                <w:b/>
                <w:sz w:val="18"/>
              </w:rPr>
              <w:t>N</w:t>
            </w:r>
          </w:p>
        </w:tc>
      </w:tr>
      <w:tr>
        <w:tc>
          <w:tcPr>
            <w:tcW w:type="dxa" w:w="960"/>
          </w:tcPr>
          <w:p>
            <w:r>
              <w:rPr>
                <w:sz w:val="18"/>
              </w:rPr>
              <w:t>CB only (preferred)</w:t>
            </w:r>
          </w:p>
        </w:tc>
        <w:tc>
          <w:tcPr>
            <w:tcW w:type="dxa" w:w="960"/>
          </w:tcPr>
          <w:p>
            <w:r>
              <w:rPr>
                <w:sz w:val="18"/>
              </w:rPr>
              <w:t>3.90%</w:t>
            </w:r>
          </w:p>
        </w:tc>
        <w:tc>
          <w:tcPr>
            <w:tcW w:type="dxa" w:w="960"/>
          </w:tcPr>
          <w:p>
            <w:r>
              <w:rPr>
                <w:sz w:val="18"/>
              </w:rPr>
              <w:t>0.000865</w:t>
            </w:r>
          </w:p>
        </w:tc>
        <w:tc>
          <w:tcPr>
            <w:tcW w:type="dxa" w:w="960"/>
          </w:tcPr>
          <w:p>
            <w:r>
              <w:rPr>
                <w:sz w:val="18"/>
              </w:rPr>
              <w:t>3.72</w:t>
            </w:r>
          </w:p>
        </w:tc>
        <w:tc>
          <w:tcPr>
            <w:tcW w:type="dxa" w:w="960"/>
          </w:tcPr>
          <w:p>
            <w:r>
              <w:rPr>
                <w:sz w:val="18"/>
              </w:rPr>
              <w:t>&lt;0.001</w:t>
            </w:r>
          </w:p>
        </w:tc>
        <w:tc>
          <w:tcPr>
            <w:tcW w:type="dxa" w:w="960"/>
          </w:tcPr>
          <w:p>
            <w:r>
              <w:rPr>
                <w:sz w:val="18"/>
              </w:rPr>
              <w:t>0.000800</w:t>
            </w:r>
          </w:p>
        </w:tc>
        <w:tc>
          <w:tcPr>
            <w:tcW w:type="dxa" w:w="960"/>
          </w:tcPr>
          <w:p>
            <w:r>
              <w:rPr>
                <w:sz w:val="18"/>
              </w:rPr>
              <w:t>2.15</w:t>
            </w:r>
          </w:p>
        </w:tc>
        <w:tc>
          <w:tcPr>
            <w:tcW w:type="dxa" w:w="960"/>
          </w:tcPr>
          <w:p>
            <w:r>
              <w:rPr>
                <w:sz w:val="18"/>
              </w:rPr>
              <w:t>0.033</w:t>
            </w:r>
          </w:p>
        </w:tc>
        <w:tc>
          <w:tcPr>
            <w:tcW w:type="dxa" w:w="960"/>
          </w:tcPr>
          <w:p>
            <w:r>
              <w:rPr>
                <w:sz w:val="18"/>
              </w:rPr>
              <w:t>117</w:t>
            </w:r>
          </w:p>
        </w:tc>
      </w:tr>
      <w:tr>
        <w:tc>
          <w:tcPr>
            <w:tcW w:type="dxa" w:w="960"/>
          </w:tcPr>
          <w:p>
            <w:r>
              <w:rPr>
                <w:sz w:val="18"/>
              </w:rPr>
              <w:t>Combined (0.5LM+0.5CB)</w:t>
            </w:r>
          </w:p>
        </w:tc>
        <w:tc>
          <w:tcPr>
            <w:tcW w:type="dxa" w:w="960"/>
          </w:tcPr>
          <w:p>
            <w:r>
              <w:rPr>
                <w:sz w:val="18"/>
              </w:rPr>
              <w:t>1.57%</w:t>
            </w:r>
          </w:p>
        </w:tc>
        <w:tc>
          <w:tcPr>
            <w:tcW w:type="dxa" w:w="960"/>
          </w:tcPr>
          <w:p>
            <w:r>
              <w:rPr>
                <w:sz w:val="18"/>
              </w:rPr>
              <w:t>0.000577</w:t>
            </w:r>
          </w:p>
        </w:tc>
        <w:tc>
          <w:tcPr>
            <w:tcW w:type="dxa" w:w="960"/>
          </w:tcPr>
          <w:p>
            <w:r>
              <w:rPr>
                <w:sz w:val="18"/>
              </w:rPr>
              <w:t>2.43</w:t>
            </w:r>
          </w:p>
        </w:tc>
        <w:tc>
          <w:tcPr>
            <w:tcW w:type="dxa" w:w="960"/>
          </w:tcPr>
          <w:p>
            <w:r>
              <w:rPr>
                <w:sz w:val="18"/>
              </w:rPr>
              <w:t>0.017</w:t>
            </w:r>
          </w:p>
        </w:tc>
        <w:tc>
          <w:tcPr>
            <w:tcW w:type="dxa" w:w="960"/>
          </w:tcPr>
          <w:p>
            <w:r>
              <w:rPr>
                <w:sz w:val="18"/>
              </w:rPr>
              <w:t>0.000633</w:t>
            </w:r>
          </w:p>
        </w:tc>
        <w:tc>
          <w:tcPr>
            <w:tcW w:type="dxa" w:w="960"/>
          </w:tcPr>
          <w:p>
            <w:r>
              <w:rPr>
                <w:sz w:val="18"/>
              </w:rPr>
              <w:t>1.44</w:t>
            </w:r>
          </w:p>
        </w:tc>
        <w:tc>
          <w:tcPr>
            <w:tcW w:type="dxa" w:w="960"/>
          </w:tcPr>
          <w:p>
            <w:r>
              <w:rPr>
                <w:sz w:val="18"/>
              </w:rPr>
              <w:t>0.152</w:t>
            </w:r>
          </w:p>
        </w:tc>
        <w:tc>
          <w:tcPr>
            <w:tcW w:type="dxa" w:w="960"/>
          </w:tcPr>
          <w:p>
            <w:r>
              <w:rPr>
                <w:sz w:val="18"/>
              </w:rPr>
              <w:t>117</w:t>
            </w:r>
          </w:p>
        </w:tc>
      </w:tr>
      <w:tr>
        <w:tc>
          <w:tcPr>
            <w:tcW w:type="dxa" w:w="960"/>
          </w:tcPr>
          <w:p>
            <w:r>
              <w:rPr>
                <w:sz w:val="18"/>
              </w:rPr>
              <w:t>LM only</w:t>
            </w:r>
          </w:p>
        </w:tc>
        <w:tc>
          <w:tcPr>
            <w:tcW w:type="dxa" w:w="960"/>
          </w:tcPr>
          <w:p>
            <w:r>
              <w:rPr>
                <w:sz w:val="18"/>
              </w:rPr>
              <w:t>0.33%</w:t>
            </w:r>
          </w:p>
        </w:tc>
        <w:tc>
          <w:tcPr>
            <w:tcW w:type="dxa" w:w="960"/>
          </w:tcPr>
          <w:p>
            <w:r>
              <w:rPr>
                <w:sz w:val="18"/>
              </w:rPr>
              <w:t>0.000288</w:t>
            </w:r>
          </w:p>
        </w:tc>
        <w:tc>
          <w:tcPr>
            <w:tcW w:type="dxa" w:w="960"/>
          </w:tcPr>
          <w:p>
            <w:r>
              <w:rPr>
                <w:sz w:val="18"/>
              </w:rPr>
              <w:t>0.72</w:t>
            </w:r>
          </w:p>
        </w:tc>
        <w:tc>
          <w:tcPr>
            <w:tcW w:type="dxa" w:w="960"/>
          </w:tcPr>
          <w:p>
            <w:r>
              <w:rPr>
                <w:sz w:val="18"/>
              </w:rPr>
              <w:t>0.476</w:t>
            </w:r>
          </w:p>
        </w:tc>
        <w:tc>
          <w:tcPr>
            <w:tcW w:type="dxa" w:w="960"/>
          </w:tcPr>
          <w:p>
            <w:r>
              <w:rPr>
                <w:sz w:val="18"/>
              </w:rPr>
              <w:t>0.000465</w:t>
            </w:r>
          </w:p>
        </w:tc>
        <w:tc>
          <w:tcPr>
            <w:tcW w:type="dxa" w:w="960"/>
          </w:tcPr>
          <w:p>
            <w:r>
              <w:rPr>
                <w:sz w:val="18"/>
              </w:rPr>
              <w:t>0.59</w:t>
            </w:r>
          </w:p>
        </w:tc>
        <w:tc>
          <w:tcPr>
            <w:tcW w:type="dxa" w:w="960"/>
          </w:tcPr>
          <w:p>
            <w:r>
              <w:rPr>
                <w:sz w:val="18"/>
              </w:rPr>
              <w:t>0.553</w:t>
            </w:r>
          </w:p>
        </w:tc>
        <w:tc>
          <w:tcPr>
            <w:tcW w:type="dxa" w:w="960"/>
          </w:tcPr>
          <w:p>
            <w:r>
              <w:rPr>
                <w:sz w:val="18"/>
              </w:rPr>
              <w:t>117</w:t>
            </w:r>
          </w:p>
        </w:tc>
      </w:tr>
    </w:tbl>
    <w:p>
      <w:r>
        <w:rPr>
          <w:b/>
        </w:rPr>
        <w:t xml:space="preserve">Note: </w:t>
      </w:r>
      <w:r>
        <w:t>Newey-West HAC(4) standard errors. The CB-only specification is preferred because the LM dictionary exhibits a positivity bias for FOMC text, and the equal-weighted combination dilutes the CB signal with noisy LM variation.</w:t>
      </w:r>
    </w:p>
    <w:p/>
    <w:p>
      <w:r>
        <w:rPr>
          <w:b/>
        </w:rPr>
        <w:t>Key findings from Table 2:</w:t>
      </w:r>
    </w:p>
    <w:p>
      <w:pPr>
        <w:pStyle w:val="ListBullet"/>
      </w:pPr>
      <w:r>
        <w:t>The CB dictionary substantially outperforms the LM dictionary, both in terms of R² (3.90% vs. 0.33%) and statistical significance. When the CB score is the dependent variable, both target and path shocks are significant (target p &lt; 0.001, path p = 0.033). This provides evidence that monetary policy shocks affect FOMC language through both the current-decision and forward-guidance channels.</w:t>
      </w:r>
    </w:p>
    <w:p>
      <w:pPr>
        <w:pStyle w:val="ListBullet"/>
      </w:pPr>
      <w:r>
        <w:t>The combined score performs worse than CB-only (R² = 1.57% vs. 3.90%), and the path shock loses significance (p = 0.152). This is because the equal-weighted combination dilutes the CB signal with the noisy LM component. The LM dictionary's positivity bias means that most of its variance reflects stylistic rather than policy-relevant variation.</w:t>
      </w:r>
    </w:p>
    <w:p>
      <w:pPr>
        <w:pStyle w:val="ListBullet"/>
      </w:pPr>
      <w:r>
        <w:t>A Wald test cannot reject β_T = β_P (p = 0.90). While the target shock is more consistently significant across specifications, the data do not statistically distinguish the two channels. We therefore interpret the results as evidence that both channels affect statement language, with the target channel somewhat more robust.</w:t>
      </w:r>
    </w:p>
    <w:p>
      <w:r>
        <w:rPr>
          <w:b/>
        </w:rPr>
        <w:t xml:space="preserve">Economic magnitude: </w:t>
      </w:r>
      <w:r>
        <w:t>The standardized coefficient for the target shock in the CB-only specification is β_T × σ_T / σ_S = 0.000865 × 0.78 / 0.005 = 0.135, meaning a one-standard-deviation target shock moves sentiment by 0.135 standard deviations. This is a modest but meaningful effect. For comparison, Gürkaynak et al. (2005a) report R² of 5–30% in asset return regressions; our R² = 3.90% is at the lower end, consistent with the noisier nature of textual sentiment measures.</w:t>
      </w:r>
    </w:p>
    <w:p>
      <w:pPr>
        <w:pStyle w:val="Heading2"/>
      </w:pPr>
      <w:r>
        <w:t>5.2 Cross-Asset Evidence</w:t>
      </w:r>
    </w:p>
    <w:p>
      <w:r>
        <w:t>Table 4 presents the asset return regressions. The target shock has a significant negative effect on CRSP equal-weighted returns (β = −0.541, p = 0.013), while the path shock effect is weaker and not consistently significant. Small-cap equities (equal-weighted index) respond more strongly than large-cap equities (value-weighted index), consistent with heterogeneous monetary transmission through financing conditions and discount-rate channels.</w:t>
      </w:r>
    </w:p>
    <w:p>
      <w:pPr>
        <w:pStyle w:val="Heading3"/>
      </w:pPr>
      <w:r>
        <w:t>Table 4: Asset Returns and Monetary Policy Shocks (CRSP Data)</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Asset</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CRSP VW</w:t>
            </w:r>
          </w:p>
        </w:tc>
        <w:tc>
          <w:tcPr>
            <w:tcW w:type="dxa" w:w="1234"/>
          </w:tcPr>
          <w:p>
            <w:r>
              <w:rPr>
                <w:sz w:val="18"/>
              </w:rPr>
              <w:t>−0.391</w:t>
            </w:r>
          </w:p>
        </w:tc>
        <w:tc>
          <w:tcPr>
            <w:tcW w:type="dxa" w:w="1234"/>
          </w:tcPr>
          <w:p>
            <w:r>
              <w:rPr>
                <w:sz w:val="18"/>
              </w:rPr>
              <w:t>0.073</w:t>
            </w:r>
          </w:p>
        </w:tc>
        <w:tc>
          <w:tcPr>
            <w:tcW w:type="dxa" w:w="1234"/>
          </w:tcPr>
          <w:p>
            <w:r>
              <w:rPr>
                <w:sz w:val="18"/>
              </w:rPr>
              <w:t>−0.098</w:t>
            </w:r>
          </w:p>
        </w:tc>
        <w:tc>
          <w:tcPr>
            <w:tcW w:type="dxa" w:w="1234"/>
          </w:tcPr>
          <w:p>
            <w:r>
              <w:rPr>
                <w:sz w:val="18"/>
              </w:rPr>
              <w:t>0.676</w:t>
            </w:r>
          </w:p>
        </w:tc>
        <w:tc>
          <w:tcPr>
            <w:tcW w:type="dxa" w:w="1234"/>
          </w:tcPr>
          <w:p>
            <w:r>
              <w:rPr>
                <w:sz w:val="18"/>
              </w:rPr>
              <w:t>7.8%</w:t>
            </w:r>
          </w:p>
        </w:tc>
        <w:tc>
          <w:tcPr>
            <w:tcW w:type="dxa" w:w="1234"/>
          </w:tcPr>
          <w:p>
            <w:r>
              <w:rPr>
                <w:sz w:val="18"/>
              </w:rPr>
              <w:t>117</w:t>
            </w:r>
          </w:p>
        </w:tc>
      </w:tr>
      <w:tr>
        <w:tc>
          <w:tcPr>
            <w:tcW w:type="dxa" w:w="1234"/>
          </w:tcPr>
          <w:p>
            <w:r>
              <w:rPr>
                <w:sz w:val="18"/>
              </w:rPr>
              <w:t>CRSP EW</w:t>
            </w:r>
          </w:p>
        </w:tc>
        <w:tc>
          <w:tcPr>
            <w:tcW w:type="dxa" w:w="1234"/>
          </w:tcPr>
          <w:p>
            <w:r>
              <w:rPr>
                <w:sz w:val="18"/>
              </w:rPr>
              <w:t>−0.541</w:t>
            </w:r>
          </w:p>
        </w:tc>
        <w:tc>
          <w:tcPr>
            <w:tcW w:type="dxa" w:w="1234"/>
          </w:tcPr>
          <w:p>
            <w:r>
              <w:rPr>
                <w:sz w:val="18"/>
              </w:rPr>
              <w:t>0.013</w:t>
            </w:r>
          </w:p>
        </w:tc>
        <w:tc>
          <w:tcPr>
            <w:tcW w:type="dxa" w:w="1234"/>
          </w:tcPr>
          <w:p>
            <w:r>
              <w:rPr>
                <w:sz w:val="18"/>
              </w:rPr>
              <w:t>−0.223</w:t>
            </w:r>
          </w:p>
        </w:tc>
        <w:tc>
          <w:tcPr>
            <w:tcW w:type="dxa" w:w="1234"/>
          </w:tcPr>
          <w:p>
            <w:r>
              <w:rPr>
                <w:sz w:val="18"/>
              </w:rPr>
              <w:t>0.336</w:t>
            </w:r>
          </w:p>
        </w:tc>
        <w:tc>
          <w:tcPr>
            <w:tcW w:type="dxa" w:w="1234"/>
          </w:tcPr>
          <w:p>
            <w:r>
              <w:rPr>
                <w:sz w:val="18"/>
              </w:rPr>
              <w:t>5.4%</w:t>
            </w:r>
          </w:p>
        </w:tc>
        <w:tc>
          <w:tcPr>
            <w:tcW w:type="dxa" w:w="1234"/>
          </w:tcPr>
          <w:p>
            <w:r>
              <w:rPr>
                <w:sz w:val="18"/>
              </w:rPr>
              <w:t>117</w:t>
            </w:r>
          </w:p>
        </w:tc>
      </w:tr>
      <w:tr>
        <w:tc>
          <w:tcPr>
            <w:tcW w:type="dxa" w:w="1234"/>
          </w:tcPr>
          <w:p>
            <w:r>
              <w:rPr>
                <w:sz w:val="18"/>
              </w:rPr>
              <w:t>NASDAQ</w:t>
            </w:r>
          </w:p>
        </w:tc>
        <w:tc>
          <w:tcPr>
            <w:tcW w:type="dxa" w:w="1234"/>
          </w:tcPr>
          <w:p>
            <w:r>
              <w:rPr>
                <w:sz w:val="18"/>
              </w:rPr>
              <w:t>−0.259</w:t>
            </w:r>
          </w:p>
        </w:tc>
        <w:tc>
          <w:tcPr>
            <w:tcW w:type="dxa" w:w="1234"/>
          </w:tcPr>
          <w:p>
            <w:r>
              <w:rPr>
                <w:sz w:val="18"/>
              </w:rPr>
              <w:t>0.030</w:t>
            </w:r>
          </w:p>
        </w:tc>
        <w:tc>
          <w:tcPr>
            <w:tcW w:type="dxa" w:w="1234"/>
          </w:tcPr>
          <w:p>
            <w:r>
              <w:rPr>
                <w:sz w:val="18"/>
              </w:rPr>
              <w:t>−0.089</w:t>
            </w:r>
          </w:p>
        </w:tc>
        <w:tc>
          <w:tcPr>
            <w:tcW w:type="dxa" w:w="1234"/>
          </w:tcPr>
          <w:p>
            <w:r>
              <w:rPr>
                <w:sz w:val="18"/>
              </w:rPr>
              <w:t>0.622</w:t>
            </w:r>
          </w:p>
        </w:tc>
        <w:tc>
          <w:tcPr>
            <w:tcW w:type="dxa" w:w="1234"/>
          </w:tcPr>
          <w:p>
            <w:r>
              <w:rPr>
                <w:sz w:val="18"/>
              </w:rPr>
              <w:t>2.9%</w:t>
            </w:r>
          </w:p>
        </w:tc>
        <w:tc>
          <w:tcPr>
            <w:tcW w:type="dxa" w:w="1234"/>
          </w:tcPr>
          <w:p>
            <w:r>
              <w:rPr>
                <w:sz w:val="18"/>
              </w:rPr>
              <w:t>117</w:t>
            </w:r>
          </w:p>
        </w:tc>
      </w:tr>
      <w:tr>
        <w:tc>
          <w:tcPr>
            <w:tcW w:type="dxa" w:w="1234"/>
          </w:tcPr>
          <w:p>
            <w:r>
              <w:rPr>
                <w:sz w:val="18"/>
              </w:rPr>
              <w:t>10Y Treasury</w:t>
            </w:r>
          </w:p>
        </w:tc>
        <w:tc>
          <w:tcPr>
            <w:tcW w:type="dxa" w:w="1234"/>
          </w:tcPr>
          <w:p>
            <w:r>
              <w:rPr>
                <w:sz w:val="18"/>
              </w:rPr>
              <w:t>−0.029</w:t>
            </w:r>
          </w:p>
        </w:tc>
        <w:tc>
          <w:tcPr>
            <w:tcW w:type="dxa" w:w="1234"/>
          </w:tcPr>
          <w:p>
            <w:r>
              <w:rPr>
                <w:sz w:val="18"/>
              </w:rPr>
              <w:t>0.624</w:t>
            </w:r>
          </w:p>
        </w:tc>
        <w:tc>
          <w:tcPr>
            <w:tcW w:type="dxa" w:w="1234"/>
          </w:tcPr>
          <w:p>
            <w:r>
              <w:rPr>
                <w:sz w:val="18"/>
              </w:rPr>
              <w:t>0.055</w:t>
            </w:r>
          </w:p>
        </w:tc>
        <w:tc>
          <w:tcPr>
            <w:tcW w:type="dxa" w:w="1234"/>
          </w:tcPr>
          <w:p>
            <w:r>
              <w:rPr>
                <w:sz w:val="18"/>
              </w:rPr>
              <w:t>0.352</w:t>
            </w:r>
          </w:p>
        </w:tc>
        <w:tc>
          <w:tcPr>
            <w:tcW w:type="dxa" w:w="1234"/>
          </w:tcPr>
          <w:p>
            <w:r>
              <w:rPr>
                <w:sz w:val="18"/>
              </w:rPr>
              <w:t>1.2%</w:t>
            </w:r>
          </w:p>
        </w:tc>
        <w:tc>
          <w:tcPr>
            <w:tcW w:type="dxa" w:w="1234"/>
          </w:tcPr>
          <w:p>
            <w:r>
              <w:rPr>
                <w:sz w:val="18"/>
              </w:rPr>
              <w:t>117</w:t>
            </w:r>
          </w:p>
        </w:tc>
      </w:tr>
      <w:tr>
        <w:tc>
          <w:tcPr>
            <w:tcW w:type="dxa" w:w="1234"/>
          </w:tcPr>
          <w:p>
            <w:r>
              <w:rPr>
                <w:sz w:val="18"/>
              </w:rPr>
              <w:t>13W T-bill</w:t>
            </w:r>
          </w:p>
        </w:tc>
        <w:tc>
          <w:tcPr>
            <w:tcW w:type="dxa" w:w="1234"/>
          </w:tcPr>
          <w:p>
            <w:r>
              <w:rPr>
                <w:sz w:val="18"/>
              </w:rPr>
              <w:t>0.020</w:t>
            </w:r>
          </w:p>
        </w:tc>
        <w:tc>
          <w:tcPr>
            <w:tcW w:type="dxa" w:w="1234"/>
          </w:tcPr>
          <w:p>
            <w:r>
              <w:rPr>
                <w:sz w:val="18"/>
              </w:rPr>
              <w:t>0.726</w:t>
            </w:r>
          </w:p>
        </w:tc>
        <w:tc>
          <w:tcPr>
            <w:tcW w:type="dxa" w:w="1234"/>
          </w:tcPr>
          <w:p>
            <w:r>
              <w:rPr>
                <w:sz w:val="18"/>
              </w:rPr>
              <w:t>0.003</w:t>
            </w:r>
          </w:p>
        </w:tc>
        <w:tc>
          <w:tcPr>
            <w:tcW w:type="dxa" w:w="1234"/>
          </w:tcPr>
          <w:p>
            <w:r>
              <w:rPr>
                <w:sz w:val="18"/>
              </w:rPr>
              <w:t>0.959</w:t>
            </w:r>
          </w:p>
        </w:tc>
        <w:tc>
          <w:tcPr>
            <w:tcW w:type="dxa" w:w="1234"/>
          </w:tcPr>
          <w:p>
            <w:r>
              <w:rPr>
                <w:sz w:val="18"/>
              </w:rPr>
              <w:t>0.1%</w:t>
            </w:r>
          </w:p>
        </w:tc>
        <w:tc>
          <w:tcPr>
            <w:tcW w:type="dxa" w:w="1234"/>
          </w:tcPr>
          <w:p>
            <w:r>
              <w:rPr>
                <w:sz w:val="18"/>
              </w:rPr>
              <w:t>117</w:t>
            </w:r>
          </w:p>
        </w:tc>
      </w:tr>
      <w:tr>
        <w:tc>
          <w:tcPr>
            <w:tcW w:type="dxa" w:w="1234"/>
          </w:tcPr>
          <w:p>
            <w:r>
              <w:rPr>
                <w:sz w:val="18"/>
              </w:rPr>
              <w:t>Gold</w:t>
            </w:r>
          </w:p>
        </w:tc>
        <w:tc>
          <w:tcPr>
            <w:tcW w:type="dxa" w:w="1234"/>
          </w:tcPr>
          <w:p>
            <w:r>
              <w:rPr>
                <w:sz w:val="18"/>
              </w:rPr>
              <w:t>−0.083</w:t>
            </w:r>
          </w:p>
        </w:tc>
        <w:tc>
          <w:tcPr>
            <w:tcW w:type="dxa" w:w="1234"/>
          </w:tcPr>
          <w:p>
            <w:r>
              <w:rPr>
                <w:sz w:val="18"/>
              </w:rPr>
              <w:t>0.636</w:t>
            </w:r>
          </w:p>
        </w:tc>
        <w:tc>
          <w:tcPr>
            <w:tcW w:type="dxa" w:w="1234"/>
          </w:tcPr>
          <w:p>
            <w:r>
              <w:rPr>
                <w:sz w:val="18"/>
              </w:rPr>
              <w:t>0.077</w:t>
            </w:r>
          </w:p>
        </w:tc>
        <w:tc>
          <w:tcPr>
            <w:tcW w:type="dxa" w:w="1234"/>
          </w:tcPr>
          <w:p>
            <w:r>
              <w:rPr>
                <w:sz w:val="18"/>
              </w:rPr>
              <w:t>0.661</w:t>
            </w:r>
          </w:p>
        </w:tc>
        <w:tc>
          <w:tcPr>
            <w:tcW w:type="dxa" w:w="1234"/>
          </w:tcPr>
          <w:p>
            <w:r>
              <w:rPr>
                <w:sz w:val="18"/>
              </w:rPr>
              <w:t>0.2%</w:t>
            </w:r>
          </w:p>
        </w:tc>
        <w:tc>
          <w:tcPr>
            <w:tcW w:type="dxa" w:w="1234"/>
          </w:tcPr>
          <w:p>
            <w:r>
              <w:rPr>
                <w:sz w:val="18"/>
              </w:rPr>
              <w:t>117</w:t>
            </w:r>
          </w:p>
        </w:tc>
      </w:tr>
      <w:tr>
        <w:tc>
          <w:tcPr>
            <w:tcW w:type="dxa" w:w="1234"/>
          </w:tcPr>
          <w:p>
            <w:r>
              <w:rPr>
                <w:sz w:val="18"/>
              </w:rPr>
              <w:t>VIX</w:t>
            </w:r>
          </w:p>
        </w:tc>
        <w:tc>
          <w:tcPr>
            <w:tcW w:type="dxa" w:w="1234"/>
          </w:tcPr>
          <w:p>
            <w:r>
              <w:rPr>
                <w:sz w:val="18"/>
              </w:rPr>
              <w:t>3.073</w:t>
            </w:r>
          </w:p>
        </w:tc>
        <w:tc>
          <w:tcPr>
            <w:tcW w:type="dxa" w:w="1234"/>
          </w:tcPr>
          <w:p>
            <w:r>
              <w:rPr>
                <w:sz w:val="18"/>
              </w:rPr>
              <w:t>0.011</w:t>
            </w:r>
          </w:p>
        </w:tc>
        <w:tc>
          <w:tcPr>
            <w:tcW w:type="dxa" w:w="1234"/>
          </w:tcPr>
          <w:p>
            <w:r>
              <w:rPr>
                <w:sz w:val="18"/>
              </w:rPr>
              <w:t>1.241</w:t>
            </w:r>
          </w:p>
        </w:tc>
        <w:tc>
          <w:tcPr>
            <w:tcW w:type="dxa" w:w="1234"/>
          </w:tcPr>
          <w:p>
            <w:r>
              <w:rPr>
                <w:sz w:val="18"/>
              </w:rPr>
              <w:t>0.287</w:t>
            </w:r>
          </w:p>
        </w:tc>
        <w:tc>
          <w:tcPr>
            <w:tcW w:type="dxa" w:w="1234"/>
          </w:tcPr>
          <w:p>
            <w:r>
              <w:rPr>
                <w:sz w:val="18"/>
              </w:rPr>
              <w:t>5.3%</w:t>
            </w:r>
          </w:p>
        </w:tc>
        <w:tc>
          <w:tcPr>
            <w:tcW w:type="dxa" w:w="1234"/>
          </w:tcPr>
          <w:p>
            <w:r>
              <w:rPr>
                <w:sz w:val="18"/>
              </w:rPr>
              <w:t>117</w:t>
            </w:r>
          </w:p>
        </w:tc>
      </w:tr>
    </w:tbl>
    <w:p>
      <w:r>
        <w:rPr>
          <w:b/>
        </w:rPr>
        <w:t xml:space="preserve">Note: </w:t>
      </w:r>
      <w:r>
        <w:t>Newey-West HAC(4) standard errors. [0,+1] event window.</w:t>
      </w:r>
    </w:p>
    <w:p>
      <w:pPr>
        <w:pStyle w:val="Heading2"/>
      </w:pPr>
      <w:r>
        <w:t>5.3 Forward Guidance Period Interaction</w:t>
      </w:r>
    </w:p>
    <w:p>
      <w:r>
        <w:t>We examine whether the relationship between statement sentiment and financial-market responses differs during the zero lower bound and forward-guidance period. Overall, we do not find robust evidence that statement sentiment becomes systematically more important during the forward-guidance period. Interaction effects are generally weak and sensitive to specification.</w:t>
      </w:r>
    </w:p>
    <w:p>
      <w:pPr>
        <w:pStyle w:val="Heading3"/>
      </w:pPr>
      <w:r>
        <w:t>Table 5: Forward Guidance Period Interaction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CRSP VW</w:t>
            </w:r>
          </w:p>
        </w:tc>
        <w:tc>
          <w:tcPr>
            <w:tcW w:type="dxa" w:w="2880"/>
          </w:tcPr>
          <w:p>
            <w:r>
              <w:rPr>
                <w:b/>
                <w:sz w:val="18"/>
              </w:rPr>
              <w:t>CRSP EW</w:t>
            </w:r>
          </w:p>
        </w:tc>
      </w:tr>
      <w:tr>
        <w:tc>
          <w:tcPr>
            <w:tcW w:type="dxa" w:w="2880"/>
          </w:tcPr>
          <w:p>
            <w:r>
              <w:rPr>
                <w:sz w:val="18"/>
              </w:rPr>
              <w:t>Target shock</w:t>
            </w:r>
          </w:p>
        </w:tc>
        <w:tc>
          <w:tcPr>
            <w:tcW w:type="dxa" w:w="2880"/>
          </w:tcPr>
          <w:p>
            <w:r>
              <w:rPr>
                <w:sz w:val="18"/>
              </w:rPr>
              <w:t>−0.423</w:t>
            </w:r>
          </w:p>
        </w:tc>
        <w:tc>
          <w:tcPr>
            <w:tcW w:type="dxa" w:w="2880"/>
          </w:tcPr>
          <w:p>
            <w:r>
              <w:rPr>
                <w:sz w:val="18"/>
              </w:rPr>
              <w:t>−0.556</w:t>
            </w:r>
          </w:p>
        </w:tc>
      </w:tr>
      <w:tr>
        <w:tc>
          <w:tcPr>
            <w:tcW w:type="dxa" w:w="2880"/>
          </w:tcPr>
          <w:p>
            <w:r>
              <w:rPr>
                <w:sz w:val="18"/>
              </w:rPr>
            </w:r>
          </w:p>
        </w:tc>
        <w:tc>
          <w:tcPr>
            <w:tcW w:type="dxa" w:w="2880"/>
          </w:tcPr>
          <w:p>
            <w:r>
              <w:rPr>
                <w:sz w:val="18"/>
              </w:rPr>
              <w:t>(0.044)</w:t>
            </w:r>
          </w:p>
        </w:tc>
        <w:tc>
          <w:tcPr>
            <w:tcW w:type="dxa" w:w="2880"/>
          </w:tcPr>
          <w:p>
            <w:r>
              <w:rPr>
                <w:sz w:val="18"/>
              </w:rPr>
              <w:t>(0.021)</w:t>
            </w:r>
          </w:p>
        </w:tc>
      </w:tr>
      <w:tr>
        <w:tc>
          <w:tcPr>
            <w:tcW w:type="dxa" w:w="2880"/>
          </w:tcPr>
          <w:p>
            <w:r>
              <w:rPr>
                <w:sz w:val="18"/>
              </w:rPr>
              <w:t>Path shock</w:t>
            </w:r>
          </w:p>
        </w:tc>
        <w:tc>
          <w:tcPr>
            <w:tcW w:type="dxa" w:w="2880"/>
          </w:tcPr>
          <w:p>
            <w:r>
              <w:rPr>
                <w:sz w:val="18"/>
              </w:rPr>
              <w:t>−0.223</w:t>
            </w:r>
          </w:p>
        </w:tc>
        <w:tc>
          <w:tcPr>
            <w:tcW w:type="dxa" w:w="2880"/>
          </w:tcPr>
          <w:p>
            <w:r>
              <w:rPr>
                <w:sz w:val="18"/>
              </w:rPr>
              <w:t>−0.289</w:t>
            </w:r>
          </w:p>
        </w:tc>
      </w:tr>
      <w:tr>
        <w:tc>
          <w:tcPr>
            <w:tcW w:type="dxa" w:w="2880"/>
          </w:tcPr>
          <w:p>
            <w:r>
              <w:rPr>
                <w:sz w:val="18"/>
              </w:rPr>
            </w:r>
          </w:p>
        </w:tc>
        <w:tc>
          <w:tcPr>
            <w:tcW w:type="dxa" w:w="2880"/>
          </w:tcPr>
          <w:p>
            <w:r>
              <w:rPr>
                <w:sz w:val="18"/>
              </w:rPr>
              <w:t>(0.336)</w:t>
            </w:r>
          </w:p>
        </w:tc>
        <w:tc>
          <w:tcPr>
            <w:tcW w:type="dxa" w:w="2880"/>
          </w:tcPr>
          <w:p>
            <w:r>
              <w:rPr>
                <w:sz w:val="18"/>
              </w:rPr>
              <w:t>(0.289)</w:t>
            </w:r>
          </w:p>
        </w:tc>
      </w:tr>
      <w:tr>
        <w:tc>
          <w:tcPr>
            <w:tcW w:type="dxa" w:w="2880"/>
          </w:tcPr>
          <w:p>
            <w:r>
              <w:rPr>
                <w:sz w:val="18"/>
              </w:rPr>
              <w:t>FG × Target</w:t>
            </w:r>
          </w:p>
        </w:tc>
        <w:tc>
          <w:tcPr>
            <w:tcW w:type="dxa" w:w="2880"/>
          </w:tcPr>
          <w:p>
            <w:r>
              <w:rPr>
                <w:sz w:val="18"/>
              </w:rPr>
              <w:t>0.089</w:t>
            </w:r>
          </w:p>
        </w:tc>
        <w:tc>
          <w:tcPr>
            <w:tcW w:type="dxa" w:w="2880"/>
          </w:tcPr>
          <w:p>
            <w:r>
              <w:rPr>
                <w:sz w:val="18"/>
              </w:rPr>
              <w:t>0.112</w:t>
            </w:r>
          </w:p>
        </w:tc>
      </w:tr>
      <w:tr>
        <w:tc>
          <w:tcPr>
            <w:tcW w:type="dxa" w:w="2880"/>
          </w:tcPr>
          <w:p>
            <w:r>
              <w:rPr>
                <w:sz w:val="18"/>
              </w:rPr>
            </w:r>
          </w:p>
        </w:tc>
        <w:tc>
          <w:tcPr>
            <w:tcW w:type="dxa" w:w="2880"/>
          </w:tcPr>
          <w:p>
            <w:r>
              <w:rPr>
                <w:sz w:val="18"/>
              </w:rPr>
              <w:t>(0.726)</w:t>
            </w:r>
          </w:p>
        </w:tc>
        <w:tc>
          <w:tcPr>
            <w:tcW w:type="dxa" w:w="2880"/>
          </w:tcPr>
          <w:p>
            <w:r>
              <w:rPr>
                <w:sz w:val="18"/>
              </w:rPr>
              <w:t>(0.641)</w:t>
            </w:r>
          </w:p>
        </w:tc>
      </w:tr>
      <w:tr>
        <w:tc>
          <w:tcPr>
            <w:tcW w:type="dxa" w:w="2880"/>
          </w:tcPr>
          <w:p>
            <w:r>
              <w:rPr>
                <w:sz w:val="18"/>
              </w:rPr>
              <w:t>FG × Path</w:t>
            </w:r>
          </w:p>
        </w:tc>
        <w:tc>
          <w:tcPr>
            <w:tcW w:type="dxa" w:w="2880"/>
          </w:tcPr>
          <w:p>
            <w:r>
              <w:rPr>
                <w:sz w:val="18"/>
              </w:rPr>
              <w:t>0.156</w:t>
            </w:r>
          </w:p>
        </w:tc>
        <w:tc>
          <w:tcPr>
            <w:tcW w:type="dxa" w:w="2880"/>
          </w:tcPr>
          <w:p>
            <w:r>
              <w:rPr>
                <w:sz w:val="18"/>
              </w:rPr>
              <w:t>0.234</w:t>
            </w:r>
          </w:p>
        </w:tc>
      </w:tr>
      <w:tr>
        <w:tc>
          <w:tcPr>
            <w:tcW w:type="dxa" w:w="2880"/>
          </w:tcPr>
          <w:p>
            <w:r>
              <w:rPr>
                <w:sz w:val="18"/>
              </w:rPr>
            </w:r>
          </w:p>
        </w:tc>
        <w:tc>
          <w:tcPr>
            <w:tcW w:type="dxa" w:w="2880"/>
          </w:tcPr>
          <w:p>
            <w:r>
              <w:rPr>
                <w:sz w:val="18"/>
              </w:rPr>
              <w:t>(0.512)</w:t>
            </w:r>
          </w:p>
        </w:tc>
        <w:tc>
          <w:tcPr>
            <w:tcW w:type="dxa" w:w="2880"/>
          </w:tcPr>
          <w:p>
            <w:r>
              <w:rPr>
                <w:sz w:val="18"/>
              </w:rPr>
              <w:t>(0.412)</w:t>
            </w:r>
          </w:p>
        </w:tc>
      </w:tr>
      <w:tr>
        <w:tc>
          <w:tcPr>
            <w:tcW w:type="dxa" w:w="2880"/>
          </w:tcPr>
          <w:p>
            <w:r>
              <w:rPr>
                <w:sz w:val="18"/>
              </w:rPr>
              <w:t>R²</w:t>
            </w:r>
          </w:p>
        </w:tc>
        <w:tc>
          <w:tcPr>
            <w:tcW w:type="dxa" w:w="2880"/>
          </w:tcPr>
          <w:p>
            <w:r>
              <w:rPr>
                <w:sz w:val="18"/>
              </w:rPr>
              <w:t>8.2%</w:t>
            </w:r>
          </w:p>
        </w:tc>
        <w:tc>
          <w:tcPr>
            <w:tcW w:type="dxa" w:w="2880"/>
          </w:tcPr>
          <w:p>
            <w:r>
              <w:rPr>
                <w:sz w:val="18"/>
              </w:rPr>
              <w:t>5.9%</w:t>
            </w:r>
          </w:p>
        </w:tc>
      </w:tr>
      <w:tr>
        <w:tc>
          <w:tcPr>
            <w:tcW w:type="dxa" w:w="2880"/>
          </w:tcPr>
          <w:p>
            <w:r>
              <w:rPr>
                <w:sz w:val="18"/>
              </w:rPr>
              <w:t>N</w:t>
            </w:r>
          </w:p>
        </w:tc>
        <w:tc>
          <w:tcPr>
            <w:tcW w:type="dxa" w:w="2880"/>
          </w:tcPr>
          <w:p>
            <w:r>
              <w:rPr>
                <w:sz w:val="18"/>
              </w:rPr>
              <w:t>117</w:t>
            </w:r>
          </w:p>
        </w:tc>
        <w:tc>
          <w:tcPr>
            <w:tcW w:type="dxa" w:w="2880"/>
          </w:tcPr>
          <w:p>
            <w:r>
              <w:rPr>
                <w:sz w:val="18"/>
              </w:rPr>
              <w:t>117</w:t>
            </w:r>
          </w:p>
        </w:tc>
      </w:tr>
    </w:tbl>
    <w:p>
      <w:r>
        <w:rPr>
          <w:b/>
        </w:rPr>
        <w:t xml:space="preserve">Note: </w:t>
      </w:r>
      <w:r>
        <w:t>FG = 1 for meetings during the zero lower bound / forward guidance period (2008–2015). NASDAQ results omitted due to economically implausible interaction coefficient (see Appendix C.2 for details).</w:t>
      </w:r>
    </w:p>
    <w:p>
      <w:pPr>
        <w:pStyle w:val="Heading2"/>
      </w:pPr>
      <w:r>
        <w:t>5.4 Regime-Dependent Effects: The Rate Cut Anomaly</w:t>
      </w:r>
    </w:p>
    <w:p>
      <w:r>
        <w:t>The null forward guidance interaction in Table 5 masks a striking regime-dependent pattern. When we estimate the sentiment regression separately by decision type, the results differ dramatically across regimes.</w:t>
      </w:r>
    </w:p>
    <w:p>
      <w:pPr>
        <w:pStyle w:val="Heading3"/>
      </w:pPr>
      <w:r>
        <w:t>Table 6: Sentiment Regressions by Decision Type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Rate hike</w:t>
            </w:r>
          </w:p>
        </w:tc>
        <w:tc>
          <w:tcPr>
            <w:tcW w:type="dxa" w:w="1728"/>
          </w:tcPr>
          <w:p>
            <w:r>
              <w:rPr>
                <w:sz w:val="18"/>
              </w:rPr>
              <w:t>17</w:t>
            </w:r>
          </w:p>
        </w:tc>
        <w:tc>
          <w:tcPr>
            <w:tcW w:type="dxa" w:w="1728"/>
          </w:tcPr>
          <w:p>
            <w:r>
              <w:rPr>
                <w:sz w:val="18"/>
              </w:rPr>
              <w:t>10.2%</w:t>
            </w:r>
          </w:p>
        </w:tc>
        <w:tc>
          <w:tcPr>
            <w:tcW w:type="dxa" w:w="1728"/>
          </w:tcPr>
          <w:p>
            <w:r>
              <w:rPr>
                <w:sz w:val="18"/>
              </w:rPr>
              <w:t>−0.000554 (0.013)</w:t>
            </w:r>
          </w:p>
        </w:tc>
        <w:tc>
          <w:tcPr>
            <w:tcW w:type="dxa" w:w="1728"/>
          </w:tcPr>
          <w:p>
            <w:r>
              <w:rPr>
                <w:sz w:val="18"/>
              </w:rPr>
              <w:t>−0.000145 (0.298)</w:t>
            </w:r>
          </w:p>
        </w:tc>
      </w:tr>
      <w:tr>
        <w:tc>
          <w:tcPr>
            <w:tcW w:type="dxa" w:w="1728"/>
          </w:tcPr>
          <w:p>
            <w:r>
              <w:rPr>
                <w:sz w:val="18"/>
              </w:rPr>
              <w:t>Rate cut</w:t>
            </w:r>
          </w:p>
        </w:tc>
        <w:tc>
          <w:tcPr>
            <w:tcW w:type="dxa" w:w="1728"/>
          </w:tcPr>
          <w:p>
            <w:r>
              <w:rPr>
                <w:sz w:val="18"/>
              </w:rPr>
              <w:t>11</w:t>
            </w:r>
          </w:p>
        </w:tc>
        <w:tc>
          <w:tcPr>
            <w:tcW w:type="dxa" w:w="1728"/>
          </w:tcPr>
          <w:p>
            <w:r>
              <w:rPr>
                <w:sz w:val="18"/>
              </w:rPr>
              <w:t>43.1%</w:t>
            </w:r>
          </w:p>
        </w:tc>
        <w:tc>
          <w:tcPr>
            <w:tcW w:type="dxa" w:w="1728"/>
          </w:tcPr>
          <w:p>
            <w:r>
              <w:rPr>
                <w:sz w:val="18"/>
              </w:rPr>
              <w:t>0.000188 (0.089)</w:t>
            </w:r>
          </w:p>
        </w:tc>
        <w:tc>
          <w:tcPr>
            <w:tcW w:type="dxa" w:w="1728"/>
          </w:tcPr>
          <w:p>
            <w:r>
              <w:rPr>
                <w:sz w:val="18"/>
              </w:rPr>
              <w:t>0.000837 (&lt;0.001)</w:t>
            </w:r>
          </w:p>
        </w:tc>
      </w:tr>
      <w:tr>
        <w:tc>
          <w:tcPr>
            <w:tcW w:type="dxa" w:w="1728"/>
          </w:tcPr>
          <w:p>
            <w:r>
              <w:rPr>
                <w:sz w:val="18"/>
              </w:rPr>
              <w:t>Unchanged</w:t>
            </w:r>
          </w:p>
        </w:tc>
        <w:tc>
          <w:tcPr>
            <w:tcW w:type="dxa" w:w="1728"/>
          </w:tcPr>
          <w:p>
            <w:r>
              <w:rPr>
                <w:sz w:val="18"/>
              </w:rPr>
              <w:t>89</w:t>
            </w:r>
          </w:p>
        </w:tc>
        <w:tc>
          <w:tcPr>
            <w:tcW w:type="dxa" w:w="1728"/>
          </w:tcPr>
          <w:p>
            <w:r>
              <w:rPr>
                <w:sz w:val="18"/>
              </w:rPr>
              <w:t>2.0%</w:t>
            </w:r>
          </w:p>
        </w:tc>
        <w:tc>
          <w:tcPr>
            <w:tcW w:type="dxa" w:w="1728"/>
          </w:tcPr>
          <w:p>
            <w:r>
              <w:rPr>
                <w:sz w:val="18"/>
              </w:rPr>
              <w:t>0.000638 (0.616)</w:t>
            </w:r>
          </w:p>
        </w:tc>
        <w:tc>
          <w:tcPr>
            <w:tcW w:type="dxa" w:w="1728"/>
          </w:tcPr>
          <w:p>
            <w:r>
              <w:rPr>
                <w:sz w:val="18"/>
              </w:rPr>
              <w:t>0.001379 (0.079)</w:t>
            </w:r>
          </w:p>
        </w:tc>
      </w:tr>
    </w:tbl>
    <w:p>
      <w:r>
        <w:rPr>
          <w:b/>
        </w:rPr>
        <w:t xml:space="preserve">Note: </w:t>
      </w:r>
      <w:r>
        <w:t>Newey-West HAC(4) standard errors. Dependent variable: combined sentiment score.</w:t>
      </w:r>
    </w:p>
    <w:p>
      <w:r>
        <w:t>The rate cut regime produces the strongest result in the entire paper: the path shock is highly significant (p &lt; 0.001) and the R² is 43.1%, a 27-fold increase in explanatory power compared to the full sample. The mechanism is intuitive: when the Fed is cutting rates, the path shock captures the expected trajectory of future cuts, and the statement language directly reflects this forward guidance.</w:t>
      </w:r>
    </w:p>
    <w:p>
      <w:r>
        <w:t>During rate hike meetings, the pattern reverses: the target shock is more empirically relevant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r>
        <w:rPr>
          <w:b/>
        </w:rPr>
        <w:t xml:space="preserve">Implications for H1 vs H2: </w:t>
      </w:r>
      <w:r>
        <w:t>The full-sample result — target shock significant, path shock not — is an average across regimes with very different dynamics. The rate cut regime provides evidence consistent with H2 (informational revelation), as forward guidance language is responsive to the path shock. The rate hike regime supports H1 (policy implementation), as the current decision is the more empirically relevant predictor. The full-sample result obscures this heterogeneity.</w:t>
      </w:r>
    </w:p>
    <w:p>
      <w:pPr>
        <w:pStyle w:val="Heading2"/>
      </w:pPr>
      <w:r>
        <w:t>5.5 Statements vs. Minutes</w:t>
      </w:r>
    </w:p>
    <w:p>
      <w:r>
        <w:t>A natural question is whether FOMC minutes — released three weeks after the meeting — capture more of the monetary policy communication signal than the immediately-released statement. Table 7 compares sentiment regressions using both textual sources.</w:t>
      </w:r>
    </w:p>
    <w:p>
      <w:pPr>
        <w:pStyle w:val="Heading3"/>
      </w:pPr>
      <w:r>
        <w:t>Table 7: Sentiment Dictionary and Textual Source Comparison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Statement CB only</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Statement Combined</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Statement 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r>
        <w:tc>
          <w:tcPr>
            <w:tcW w:type="dxa" w:w="1234"/>
          </w:tcPr>
          <w:p>
            <w:r>
              <w:rPr>
                <w:sz w:val="18"/>
              </w:rPr>
              <w:t>Minutes LM</w:t>
            </w:r>
          </w:p>
        </w:tc>
        <w:tc>
          <w:tcPr>
            <w:tcW w:type="dxa" w:w="1234"/>
          </w:tcPr>
          <w:p>
            <w:r>
              <w:rPr>
                <w:sz w:val="18"/>
              </w:rPr>
              <w:t>0.001091</w:t>
            </w:r>
          </w:p>
        </w:tc>
        <w:tc>
          <w:tcPr>
            <w:tcW w:type="dxa" w:w="1234"/>
          </w:tcPr>
          <w:p>
            <w:r>
              <w:rPr>
                <w:sz w:val="18"/>
              </w:rPr>
              <w:t>0.324</w:t>
            </w:r>
          </w:p>
        </w:tc>
        <w:tc>
          <w:tcPr>
            <w:tcW w:type="dxa" w:w="1234"/>
          </w:tcPr>
          <w:p>
            <w:r>
              <w:rPr>
                <w:sz w:val="18"/>
              </w:rPr>
              <w:t>0.000147</w:t>
            </w:r>
          </w:p>
        </w:tc>
        <w:tc>
          <w:tcPr>
            <w:tcW w:type="dxa" w:w="1234"/>
          </w:tcPr>
          <w:p>
            <w:r>
              <w:rPr>
                <w:sz w:val="18"/>
              </w:rPr>
              <w:t>0.716</w:t>
            </w:r>
          </w:p>
        </w:tc>
        <w:tc>
          <w:tcPr>
            <w:tcW w:type="dxa" w:w="1234"/>
          </w:tcPr>
          <w:p>
            <w:r>
              <w:rPr>
                <w:sz w:val="18"/>
              </w:rPr>
              <w:t>3.67%</w:t>
            </w:r>
          </w:p>
        </w:tc>
        <w:tc>
          <w:tcPr>
            <w:tcW w:type="dxa" w:w="1234"/>
          </w:tcPr>
          <w:p>
            <w:r>
              <w:rPr>
                <w:sz w:val="18"/>
              </w:rPr>
              <w:t>117</w:t>
            </w:r>
          </w:p>
        </w:tc>
      </w:tr>
      <w:tr>
        <w:tc>
          <w:tcPr>
            <w:tcW w:type="dxa" w:w="1234"/>
          </w:tcPr>
          <w:p>
            <w:r>
              <w:rPr>
                <w:sz w:val="18"/>
              </w:rPr>
              <w:t>Minutes CB</w:t>
            </w:r>
          </w:p>
        </w:tc>
        <w:tc>
          <w:tcPr>
            <w:tcW w:type="dxa" w:w="1234"/>
          </w:tcPr>
          <w:p>
            <w:r>
              <w:rPr>
                <w:sz w:val="18"/>
              </w:rPr>
              <w:t>0.001423</w:t>
            </w:r>
          </w:p>
        </w:tc>
        <w:tc>
          <w:tcPr>
            <w:tcW w:type="dxa" w:w="1234"/>
          </w:tcPr>
          <w:p>
            <w:r>
              <w:rPr>
                <w:sz w:val="18"/>
              </w:rPr>
              <w:t>0.061</w:t>
            </w:r>
          </w:p>
        </w:tc>
        <w:tc>
          <w:tcPr>
            <w:tcW w:type="dxa" w:w="1234"/>
          </w:tcPr>
          <w:p>
            <w:r>
              <w:rPr>
                <w:sz w:val="18"/>
              </w:rPr>
              <w:t>0.000147</w:t>
            </w:r>
          </w:p>
        </w:tc>
        <w:tc>
          <w:tcPr>
            <w:tcW w:type="dxa" w:w="1234"/>
          </w:tcPr>
          <w:p>
            <w:r>
              <w:rPr>
                <w:sz w:val="18"/>
              </w:rPr>
              <w:t>0.716</w:t>
            </w:r>
          </w:p>
        </w:tc>
        <w:tc>
          <w:tcPr>
            <w:tcW w:type="dxa" w:w="1234"/>
          </w:tcPr>
          <w:p>
            <w:r>
              <w:rPr>
                <w:sz w:val="18"/>
              </w:rPr>
              <w:t>5.60%</w:t>
            </w:r>
          </w:p>
        </w:tc>
        <w:tc>
          <w:tcPr>
            <w:tcW w:type="dxa" w:w="1234"/>
          </w:tcPr>
          <w:p>
            <w:r>
              <w:rPr>
                <w:sz w:val="18"/>
              </w:rPr>
              <w:t>117</w:t>
            </w:r>
          </w:p>
        </w:tc>
      </w:tr>
      <w:tr>
        <w:tc>
          <w:tcPr>
            <w:tcW w:type="dxa" w:w="1234"/>
          </w:tcPr>
          <w:p>
            <w:r>
              <w:rPr>
                <w:sz w:val="18"/>
              </w:rPr>
              <w:t>Minutes Combined</w:t>
            </w:r>
          </w:p>
        </w:tc>
        <w:tc>
          <w:tcPr>
            <w:tcW w:type="dxa" w:w="1234"/>
          </w:tcPr>
          <w:p>
            <w:r>
              <w:rPr>
                <w:sz w:val="18"/>
              </w:rPr>
              <w:t>0.000532</w:t>
            </w:r>
          </w:p>
        </w:tc>
        <w:tc>
          <w:tcPr>
            <w:tcW w:type="dxa" w:w="1234"/>
          </w:tcPr>
          <w:p>
            <w:r>
              <w:rPr>
                <w:sz w:val="18"/>
              </w:rPr>
              <w:t>0.011</w:t>
            </w:r>
          </w:p>
        </w:tc>
        <w:tc>
          <w:tcPr>
            <w:tcW w:type="dxa" w:w="1234"/>
          </w:tcPr>
          <w:p>
            <w:r>
              <w:rPr>
                <w:sz w:val="18"/>
              </w:rPr>
              <w:t>0.001257</w:t>
            </w:r>
          </w:p>
        </w:tc>
        <w:tc>
          <w:tcPr>
            <w:tcW w:type="dxa" w:w="1234"/>
          </w:tcPr>
          <w:p>
            <w:r>
              <w:rPr>
                <w:sz w:val="18"/>
              </w:rPr>
              <w:t>0.015</w:t>
            </w:r>
          </w:p>
        </w:tc>
        <w:tc>
          <w:tcPr>
            <w:tcW w:type="dxa" w:w="1234"/>
          </w:tcPr>
          <w:p>
            <w:r>
              <w:rPr>
                <w:sz w:val="18"/>
              </w:rPr>
              <w:t>9.35%</w:t>
            </w:r>
          </w:p>
        </w:tc>
        <w:tc>
          <w:tcPr>
            <w:tcW w:type="dxa" w:w="1234"/>
          </w:tcPr>
          <w:p>
            <w:r>
              <w:rPr>
                <w:sz w:val="18"/>
              </w:rPr>
              <w:t>117</w:t>
            </w:r>
          </w:p>
        </w:tc>
      </w:tr>
    </w:tbl>
    <w:p>
      <w:r>
        <w:rPr>
          <w:b/>
        </w:rPr>
        <w:t xml:space="preserve">Note: </w:t>
      </w:r>
      <w:r>
        <w:t>Newey-West HAC(4) standard errors.</w:t>
      </w:r>
    </w:p>
    <w:p>
      <w:r>
        <w:t>Three findings stand out. First, the CB dictionary outperforms the LM dictionary for both statements and minutes, confirming that the positivity bias of the LM dictionary is not specific to the statement format. Second, minutes produce substantially higher R² than statements (9.35% vs. 1.57% for the combined measure), likely because the longer, more detailed minutes contain more policy-relevant discussion. Third, the minutes combined measure shows both target and path shocks significant (p = 0.011 and p = 0.015, respectively), providing the strongest joint evidence for both channels.</w:t>
      </w:r>
    </w:p>
    <w:p>
      <w:r>
        <w:rPr>
          <w:b/>
        </w:rPr>
        <w:t xml:space="preserve">Caveat: </w:t>
      </w:r>
      <w:r>
        <w:t>The higher R² for minutes does not necessarily mean that statements are uninformative. Statements are released immediately and move markets; minutes are released with a three-week delay and their information content may already be priced. The higher R² for minutes reflects the greater textual variation in the longer document, not necessarily greater economic significance.</w:t>
      </w:r>
    </w:p>
    <w:p>
      <w:pPr>
        <w:pStyle w:val="Heading1"/>
      </w:pPr>
      <w:r>
        <w:t>6. Robustness and Extensions</w:t>
      </w:r>
    </w:p>
    <w:p>
      <w:pPr>
        <w:pStyle w:val="Heading2"/>
      </w:pPr>
      <w:r>
        <w:t>6.1 Alternative Standard Errors and Lag Structure</w:t>
      </w:r>
    </w:p>
    <w:p>
      <w:r>
        <w:t>Appendix C.1 reports the H1 regression results for Newey-West lags of 1, 2, 4, and 6. The results are insensitive to the lag choice: the target shock remains significant (p ranges from 0.006 to 0.024), while the path shock remains insignificant (p ranges from 0.100 to 0.152). R² is unchanged at 1.57% across all lag specifications.</w:t>
      </w:r>
    </w:p>
    <w:p>
      <w:pPr>
        <w:pStyle w:val="Heading2"/>
      </w:pPr>
      <w:r>
        <w:t>6.2 Alternative Monetary Policy Surprise Measures</w:t>
      </w:r>
    </w:p>
    <w:p>
      <w:r>
        <w:t>We verify that our results are robust to using the Kuttner (2001) surprise measure instead of the GSS target shock. The Kuttner surprise is measured in basis points rather than standardized units, but the qualitative conclusion is the same: the current-rate surprise significantly predicts sentiment, while the forward-guidance component does not in the full sample.</w:t>
      </w:r>
    </w:p>
    <w:p>
      <w:pPr>
        <w:pStyle w:val="Heading2"/>
      </w:pPr>
      <w:r>
        <w:t>6.3 Excluding COVID</w:t>
      </w:r>
    </w:p>
    <w:p>
      <w:r>
        <w:t>The COVID-19 pandemic (March 2020) produced extreme monetary policy surprises that could potentially drive our results. Excluding the March 2020 meeting does not materially change the results, confirming that our findings are not driven by this outlier.</w:t>
      </w:r>
    </w:p>
    <w:p>
      <w:pPr>
        <w:pStyle w:val="Heading2"/>
      </w:pPr>
      <w:r>
        <w:t>6.4 Sentiment Dictionary Robustness</w:t>
      </w:r>
    </w:p>
    <w:p>
      <w:r>
        <w:t>As shown in Table 7, the CB dictionary substantially outperforms the LM dictionary. The CB-only specification yields R² = 3.90% with both shocks significant, while the LM-only specification yields R² = 0.33% with neither shock significant. The combined measure (R² = 1.57%) is dominated by the CB component and diluted by the LM noise.</w:t>
      </w:r>
    </w:p>
    <w:p>
      <w:pPr>
        <w:pStyle w:val="Heading2"/>
      </w:pPr>
      <w:r>
        <w:t>6.5 The Bauer-Swanson Critique</w:t>
      </w:r>
    </w:p>
    <w:p>
      <w:r>
        <w:t>Bauer and Swanson (2023) argue that high-frequency monetary policy surprises may contain predictable components related to publicly available macroeconomic information released prior to FOMC meetings. While this concern may affect the interpretation of monetary policy surprises more broadly, the main comparative findings of the paper are less likely to be driven entirely by this issue because the critique applies to both the target and path shocks. Accordingly, the relative comparison between the two shock dimensions remains informative even if the shocks are not perfectly exogenous.</w:t>
      </w:r>
    </w:p>
    <w:p>
      <w:pPr>
        <w:pStyle w:val="Heading2"/>
      </w:pPr>
      <w:r>
        <w:t>6.6 Additional Robustness and Regime Variation</w:t>
      </w:r>
    </w:p>
    <w:p>
      <w:r>
        <w:t>Additional robustness checks are reported in the appendix: post-2010 subsample analysis (Appendix C.2), CRSP vs. Yahoo Finance data source comparison (Appendix C.4), and subsample analysis by Fed chair (Appendix C.3). The post-crisis subsample (2010–2022) shows a different pattern from the full sample: the target shock is not significant (p = 0.699), while the path shock is marginally significant (p = 0.056). This reversal may reflect the extended zero-lower-bound period (2010–2015), during which the target shock had little variation and the path shock captured the forward guidance that was the primary tool of monetary policy.</w:t>
      </w:r>
    </w:p>
    <w:p>
      <w:pPr>
        <w:pStyle w:val="Heading1"/>
      </w:pPr>
      <w:r>
        <w:t>7. Conclusion and Discussion</w:t>
      </w:r>
    </w:p>
    <w:p>
      <w:r>
        <w:t>This paper examines whether FOMC statement language primarily reflects current policy implementation or forward-looking informational revelation. Using high-frequency monetary policy shocks and textual sentiment analysis, we find that the answer depends critically on the sentiment measure and the policy regime.</w:t>
      </w:r>
    </w:p>
    <w:p>
      <w:r>
        <w:t>Three main conclusions emerge. First, the choice of sentiment dictionary matters substantially. The central-bank-specific (CB) dictionary captures the relevant semantic variation far more effectively than the general-purpose LM dictionary (R² = 3.90% vs. 0.33%), and the equal-weighted combination dilutes the CB signal. When the CB score is used, both target and path shocks significantly predict sentiment, providing evidence for both the policy-implementation and informational-revelation channels.</w:t>
      </w:r>
    </w:p>
    <w:p>
      <w:r>
        <w:t>Second, the relationship between shocks and sentiment is strongly regime-dependent.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 and the Wald test's inability to reject equal effects (p = 0.90) reflects the averaging across these distinct regimes.</w:t>
      </w:r>
    </w:p>
    <w:p>
      <w:r>
        <w:t>Third, FOMC minutes capture substantially more of the monetary policy signal than statements (R² = 9.35% vs. 1.57% for the combined measure). This raises important questions about the optimal textual source for monetary policy communication research. Statements are timelier and move markets immediately; minutes are more informative but arrive with a delay. Future work could explore whether the information in minutes is priced before its release.</w:t>
      </w:r>
    </w:p>
    <w:p>
      <w:r>
        <w:t>Several limitations should be noted. The R² values are modest even in the best specifications, suggesting that monetary policy shocks explain only a small fraction of sentiment variation. The small sample sizes in regime-specific analyses (N = 11 for rate cuts, N = 17 for rate hikes) limit statistical power. The path factor captures multiple components and should not be interpreted as a pure information shock. Finally, the Bauer-Swanson critique of high-frequency identification applies to both shock dimensions, though the relative comparison remains informative.</w:t>
      </w:r>
    </w:p>
    <w:p>
      <w:pPr>
        <w:pStyle w:val="Heading1"/>
      </w:pPr>
      <w:r>
        <w:t>References</w:t>
      </w:r>
    </w:p>
    <w:p>
      <w:pPr>
        <w:ind w:left="720" w:hanging="720"/>
      </w:pPr>
      <w:r>
        <w:t>Acosta, M. (2022). The perceived causes of monetary policy surprises. Working Paper, Columbia University.</w:t>
      </w:r>
    </w:p>
    <w:p>
      <w:pPr>
        <w:ind w:left="720" w:hanging="720"/>
      </w:pPr>
      <w:r>
        <w:t>Apel, M., and Blix, G. (2014). How Riksbank forecasts are affected by the central bank's interest rate decisions. Riksbank Research Paper.</w:t>
      </w:r>
    </w:p>
    <w:p>
      <w:pPr>
        <w:ind w:left="720" w:hanging="720"/>
      </w:pPr>
      <w:r>
        <w:t>Bauer, M. D., and Swanson, E. T. (2023). A reassessment of monetary policy surprises and high-frequency identification. NBER Macroeconomics Annual, 37(1), 87–155.</w:t>
      </w:r>
    </w:p>
    <w:p>
      <w:pPr>
        <w:ind w:left="720" w:hanging="720"/>
      </w:pPr>
      <w:r>
        <w:t>Gürkaynak, R. S., Sack, B., and Swanson, E. T. (2005a). The sensitivity of long-term interest rates to economic news: Evidence and implications for monetary policy. American Economic Review, 95(1), 425–436.</w:t>
      </w:r>
    </w:p>
    <w:p>
      <w:pPr>
        <w:ind w:left="720" w:hanging="720"/>
      </w:pPr>
      <w:r>
        <w:t>Gürkaynak, R. S., Sack, B., and Swanson, E. T. (2005b). Do actions speak louder than words? The response of asset prices to monetary policy actions and statements. International Journal of Central Banking, 1(1), 55–93.</w:t>
      </w:r>
    </w:p>
    <w:p>
      <w:pPr>
        <w:ind w:left="720" w:hanging="720"/>
      </w:pPr>
      <w:r>
        <w:t>Hansen, S., and McMahon, M. (2016). Shocking language: Understanding the macroeconomic effects of central bank communication. Journal of International Economics, 99, S121–S133.</w:t>
      </w:r>
    </w:p>
    <w:p>
      <w:pPr>
        <w:ind w:left="720" w:hanging="720"/>
      </w:pPr>
      <w:r>
        <w:t>Kuttner, K. N. (2001). Monetary policy surprises and interest rates: Evidence from the Fed funds futures market. Journal of Monetary Economics, 47(3), 523–544.</w:t>
      </w:r>
    </w:p>
    <w:p>
      <w:pPr>
        <w:ind w:left="720" w:hanging="720"/>
      </w:pPr>
      <w:r>
        <w:t>Loughran, T., and McDonald, B. (2011). When is a liability not a liability? Textual analysis, dictionaries, and 10-Ks. Journal of Finance, 66(1), 35–65.</w:t>
      </w:r>
    </w:p>
    <w:p>
      <w:pPr>
        <w:ind w:left="720" w:hanging="720"/>
      </w:pPr>
      <w:r>
        <w:t>Miranda-Agrippino, S., and Ricco, G. (2021). The transmission of monetary policy shocks. American Economic Journal: Macroeconomics, 13(3), 1–30.</w:t>
      </w:r>
    </w:p>
    <w:p>
      <w:pPr>
        <w:pStyle w:val="Heading1"/>
      </w:pPr>
      <w:r>
        <w:t>Appendix A: Central Bank Sentiment Dictionary</w:t>
      </w:r>
    </w:p>
    <w:p>
      <w:r>
        <w:t>The CB dictionary contains 591 hawkish terms (e.g., "tighten," "inflationary pressure," "vigilant," "preemptive") and 222 dovish terms (e.g., "accommodative," "easing," "downside risk," "stimulus"). The full dictionary is available in the replication materials at [GitHub URL].</w:t>
      </w:r>
    </w:p>
    <w:p>
      <w:pPr>
        <w:pStyle w:val="Heading1"/>
      </w:pPr>
      <w:r>
        <w:t>Appendix B: Data Sources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Source</w:t>
            </w:r>
          </w:p>
        </w:tc>
        <w:tc>
          <w:tcPr>
            <w:tcW w:type="dxa" w:w="2160"/>
          </w:tcPr>
          <w:p>
            <w:r>
              <w:rPr>
                <w:b/>
                <w:sz w:val="18"/>
              </w:rPr>
              <w:t>Frequency</w:t>
            </w:r>
          </w:p>
        </w:tc>
        <w:tc>
          <w:tcPr>
            <w:tcW w:type="dxa" w:w="2160"/>
          </w:tcPr>
          <w:p>
            <w:r>
              <w:rPr>
                <w:b/>
                <w:sz w:val="18"/>
              </w:rPr>
              <w:t>Sample</w:t>
            </w:r>
          </w:p>
        </w:tc>
      </w:tr>
      <w:tr>
        <w:tc>
          <w:tcPr>
            <w:tcW w:type="dxa" w:w="2160"/>
          </w:tcPr>
          <w:p>
            <w:r>
              <w:rPr>
                <w:sz w:val="18"/>
              </w:rPr>
              <w:t>Target/Path shocks</w:t>
            </w:r>
          </w:p>
        </w:tc>
        <w:tc>
          <w:tcPr>
            <w:tcW w:type="dxa" w:w="2160"/>
          </w:tcPr>
          <w:p>
            <w:r>
              <w:rPr>
                <w:sz w:val="18"/>
              </w:rPr>
              <w:t>Acosta (2022)</w:t>
            </w:r>
          </w:p>
        </w:tc>
        <w:tc>
          <w:tcPr>
            <w:tcW w:type="dxa" w:w="2160"/>
          </w:tcPr>
          <w:p>
            <w:r>
              <w:rPr>
                <w:sz w:val="18"/>
              </w:rPr>
              <w:t>FOMC meeting</w:t>
            </w:r>
          </w:p>
        </w:tc>
        <w:tc>
          <w:tcPr>
            <w:tcW w:type="dxa" w:w="2160"/>
          </w:tcPr>
          <w:p>
            <w:r>
              <w:rPr>
                <w:sz w:val="18"/>
              </w:rPr>
              <w:t>1995–2022</w:t>
            </w:r>
          </w:p>
        </w:tc>
      </w:tr>
      <w:tr>
        <w:tc>
          <w:tcPr>
            <w:tcW w:type="dxa" w:w="2160"/>
          </w:tcPr>
          <w:p>
            <w:r>
              <w:rPr>
                <w:sz w:val="18"/>
              </w:rPr>
              <w:t>FOMC statements</w:t>
            </w:r>
          </w:p>
        </w:tc>
        <w:tc>
          <w:tcPr>
            <w:tcW w:type="dxa" w:w="2160"/>
          </w:tcPr>
          <w:p>
            <w:r>
              <w:rPr>
                <w:sz w:val="18"/>
              </w:rPr>
              <w:t>Federal Reserve website</w:t>
            </w:r>
          </w:p>
        </w:tc>
        <w:tc>
          <w:tcPr>
            <w:tcW w:type="dxa" w:w="2160"/>
          </w:tcPr>
          <w:p>
            <w:r>
              <w:rPr>
                <w:sz w:val="18"/>
              </w:rPr>
              <w:t>FOMC meeting</w:t>
            </w:r>
          </w:p>
        </w:tc>
        <w:tc>
          <w:tcPr>
            <w:tcW w:type="dxa" w:w="2160"/>
          </w:tcPr>
          <w:p>
            <w:r>
              <w:rPr>
                <w:sz w:val="18"/>
              </w:rPr>
              <w:t>2006–2022</w:t>
            </w:r>
          </w:p>
        </w:tc>
      </w:tr>
      <w:tr>
        <w:tc>
          <w:tcPr>
            <w:tcW w:type="dxa" w:w="2160"/>
          </w:tcPr>
          <w:p>
            <w:r>
              <w:rPr>
                <w:sz w:val="18"/>
              </w:rPr>
              <w:t>FOMC minutes</w:t>
            </w:r>
          </w:p>
        </w:tc>
        <w:tc>
          <w:tcPr>
            <w:tcW w:type="dxa" w:w="2160"/>
          </w:tcPr>
          <w:p>
            <w:r>
              <w:rPr>
                <w:sz w:val="18"/>
              </w:rPr>
              <w:t>Federal Reserve website</w:t>
            </w:r>
          </w:p>
        </w:tc>
        <w:tc>
          <w:tcPr>
            <w:tcW w:type="dxa" w:w="2160"/>
          </w:tcPr>
          <w:p>
            <w:r>
              <w:rPr>
                <w:sz w:val="18"/>
              </w:rPr>
              <w:t>FOMC meeting</w:t>
            </w:r>
          </w:p>
        </w:tc>
        <w:tc>
          <w:tcPr>
            <w:tcW w:type="dxa" w:w="2160"/>
          </w:tcPr>
          <w:p>
            <w:r>
              <w:rPr>
                <w:sz w:val="18"/>
              </w:rPr>
              <w:t>2006–2022</w:t>
            </w:r>
          </w:p>
        </w:tc>
      </w:tr>
      <w:tr>
        <w:tc>
          <w:tcPr>
            <w:tcW w:type="dxa" w:w="2160"/>
          </w:tcPr>
          <w:p>
            <w:r>
              <w:rPr>
                <w:sz w:val="18"/>
              </w:rPr>
              <w:t>CRSP VW/EW</w:t>
            </w:r>
          </w:p>
        </w:tc>
        <w:tc>
          <w:tcPr>
            <w:tcW w:type="dxa" w:w="2160"/>
          </w:tcPr>
          <w:p>
            <w:r>
              <w:rPr>
                <w:sz w:val="18"/>
              </w:rPr>
              <w:t>CRSP</w:t>
            </w:r>
          </w:p>
        </w:tc>
        <w:tc>
          <w:tcPr>
            <w:tcW w:type="dxa" w:w="2160"/>
          </w:tcPr>
          <w:p>
            <w:r>
              <w:rPr>
                <w:sz w:val="18"/>
              </w:rPr>
              <w:t>Daily</w:t>
            </w:r>
          </w:p>
        </w:tc>
        <w:tc>
          <w:tcPr>
            <w:tcW w:type="dxa" w:w="2160"/>
          </w:tcPr>
          <w:p>
            <w:r>
              <w:rPr>
                <w:sz w:val="18"/>
              </w:rPr>
              <w:t>2006–2022</w:t>
            </w:r>
          </w:p>
        </w:tc>
      </w:tr>
      <w:tr>
        <w:tc>
          <w:tcPr>
            <w:tcW w:type="dxa" w:w="2160"/>
          </w:tcPr>
          <w:p>
            <w:r>
              <w:rPr>
                <w:sz w:val="18"/>
              </w:rPr>
              <w:t>NASDAQ</w:t>
            </w:r>
          </w:p>
        </w:tc>
        <w:tc>
          <w:tcPr>
            <w:tcW w:type="dxa" w:w="2160"/>
          </w:tcPr>
          <w:p>
            <w:r>
              <w:rPr>
                <w:sz w:val="18"/>
              </w:rPr>
              <w:t>CRSP</w:t>
            </w:r>
          </w:p>
        </w:tc>
        <w:tc>
          <w:tcPr>
            <w:tcW w:type="dxa" w:w="2160"/>
          </w:tcPr>
          <w:p>
            <w:r>
              <w:rPr>
                <w:sz w:val="18"/>
              </w:rPr>
              <w:t>Daily</w:t>
            </w:r>
          </w:p>
        </w:tc>
        <w:tc>
          <w:tcPr>
            <w:tcW w:type="dxa" w:w="2160"/>
          </w:tcPr>
          <w:p>
            <w:r>
              <w:rPr>
                <w:sz w:val="18"/>
              </w:rPr>
              <w:t>2006–2022</w:t>
            </w:r>
          </w:p>
        </w:tc>
      </w:tr>
      <w:tr>
        <w:tc>
          <w:tcPr>
            <w:tcW w:type="dxa" w:w="2160"/>
          </w:tcPr>
          <w:p>
            <w:r>
              <w:rPr>
                <w:sz w:val="18"/>
              </w:rPr>
              <w:t>10Y Treasury</w:t>
            </w:r>
          </w:p>
        </w:tc>
        <w:tc>
          <w:tcPr>
            <w:tcW w:type="dxa" w:w="2160"/>
          </w:tcPr>
          <w:p>
            <w:r>
              <w:rPr>
                <w:sz w:val="18"/>
              </w:rPr>
              <w:t>FRED</w:t>
            </w:r>
          </w:p>
        </w:tc>
        <w:tc>
          <w:tcPr>
            <w:tcW w:type="dxa" w:w="2160"/>
          </w:tcPr>
          <w:p>
            <w:r>
              <w:rPr>
                <w:sz w:val="18"/>
              </w:rPr>
              <w:t>Daily</w:t>
            </w:r>
          </w:p>
        </w:tc>
        <w:tc>
          <w:tcPr>
            <w:tcW w:type="dxa" w:w="2160"/>
          </w:tcPr>
          <w:p>
            <w:r>
              <w:rPr>
                <w:sz w:val="18"/>
              </w:rPr>
              <w:t>2006–2022</w:t>
            </w:r>
          </w:p>
        </w:tc>
      </w:tr>
      <w:tr>
        <w:tc>
          <w:tcPr>
            <w:tcW w:type="dxa" w:w="2160"/>
          </w:tcPr>
          <w:p>
            <w:r>
              <w:rPr>
                <w:sz w:val="18"/>
              </w:rPr>
              <w:t>VIX</w:t>
            </w:r>
          </w:p>
        </w:tc>
        <w:tc>
          <w:tcPr>
            <w:tcW w:type="dxa" w:w="2160"/>
          </w:tcPr>
          <w:p>
            <w:r>
              <w:rPr>
                <w:sz w:val="18"/>
              </w:rPr>
              <w:t>CBOE via FRED</w:t>
            </w:r>
          </w:p>
        </w:tc>
        <w:tc>
          <w:tcPr>
            <w:tcW w:type="dxa" w:w="2160"/>
          </w:tcPr>
          <w:p>
            <w:r>
              <w:rPr>
                <w:sz w:val="18"/>
              </w:rPr>
              <w:t>Daily</w:t>
            </w:r>
          </w:p>
        </w:tc>
        <w:tc>
          <w:tcPr>
            <w:tcW w:type="dxa" w:w="2160"/>
          </w:tcPr>
          <w:p>
            <w:r>
              <w:rPr>
                <w:sz w:val="18"/>
              </w:rPr>
              <w:t>2006–2022</w:t>
            </w:r>
          </w:p>
        </w:tc>
      </w:tr>
      <w:tr>
        <w:tc>
          <w:tcPr>
            <w:tcW w:type="dxa" w:w="2160"/>
          </w:tcPr>
          <w:p>
            <w:r>
              <w:rPr>
                <w:sz w:val="18"/>
              </w:rPr>
              <w:t>Gold</w:t>
            </w:r>
          </w:p>
        </w:tc>
        <w:tc>
          <w:tcPr>
            <w:tcW w:type="dxa" w:w="2160"/>
          </w:tcPr>
          <w:p>
            <w:r>
              <w:rPr>
                <w:sz w:val="18"/>
              </w:rPr>
              <w:t>COMEX via Bloomberg</w:t>
            </w:r>
          </w:p>
        </w:tc>
        <w:tc>
          <w:tcPr>
            <w:tcW w:type="dxa" w:w="2160"/>
          </w:tcPr>
          <w:p>
            <w:r>
              <w:rPr>
                <w:sz w:val="18"/>
              </w:rPr>
              <w:t>Daily</w:t>
            </w:r>
          </w:p>
        </w:tc>
        <w:tc>
          <w:tcPr>
            <w:tcW w:type="dxa" w:w="2160"/>
          </w:tcPr>
          <w:p>
            <w:r>
              <w:rPr>
                <w:sz w:val="18"/>
              </w:rPr>
              <w:t>2006–2022</w:t>
            </w:r>
          </w:p>
        </w:tc>
      </w:tr>
    </w:tbl>
    <w:p>
      <w:pPr>
        <w:pStyle w:val="Heading1"/>
      </w:pPr>
      <w:r>
        <w:t>Appendix C: Additional Robustness</w:t>
      </w:r>
    </w:p>
    <w:p>
      <w:pPr>
        <w:pStyle w:val="Heading2"/>
      </w:pPr>
      <w:r>
        <w:t>C.1 Newey-West Lag Sensitivity (H1 Regression)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Lag</w:t>
            </w:r>
          </w:p>
        </w:tc>
        <w:tc>
          <w:tcPr>
            <w:tcW w:type="dxa" w:w="1440"/>
          </w:tcPr>
          <w:p>
            <w:r>
              <w:rPr>
                <w:b/>
                <w:sz w:val="18"/>
              </w:rPr>
              <w:t>β_T (t)</w:t>
            </w:r>
          </w:p>
        </w:tc>
        <w:tc>
          <w:tcPr>
            <w:tcW w:type="dxa" w:w="1440"/>
          </w:tcPr>
          <w:p>
            <w:r>
              <w:rPr>
                <w:b/>
                <w:sz w:val="18"/>
              </w:rPr>
              <w:t>p_target</w:t>
            </w:r>
          </w:p>
        </w:tc>
        <w:tc>
          <w:tcPr>
            <w:tcW w:type="dxa" w:w="1440"/>
          </w:tcPr>
          <w:p>
            <w:r>
              <w:rPr>
                <w:b/>
                <w:sz w:val="18"/>
              </w:rPr>
              <w:t>β_P (t)</w:t>
            </w:r>
          </w:p>
        </w:tc>
        <w:tc>
          <w:tcPr>
            <w:tcW w:type="dxa" w:w="1440"/>
          </w:tcPr>
          <w:p>
            <w:r>
              <w:rPr>
                <w:b/>
                <w:sz w:val="18"/>
              </w:rPr>
              <w:t>p_path</w:t>
            </w:r>
          </w:p>
        </w:tc>
        <w:tc>
          <w:tcPr>
            <w:tcW w:type="dxa" w:w="1440"/>
          </w:tcPr>
          <w:p>
            <w:r>
              <w:rPr>
                <w:b/>
                <w:sz w:val="18"/>
              </w:rPr>
              <w:t>R²</w:t>
            </w:r>
          </w:p>
        </w:tc>
      </w:tr>
      <w:tr>
        <w:tc>
          <w:tcPr>
            <w:tcW w:type="dxa" w:w="1440"/>
          </w:tcPr>
          <w:p>
            <w:r>
              <w:rPr>
                <w:sz w:val="18"/>
              </w:rPr>
              <w:t>1</w:t>
            </w:r>
          </w:p>
        </w:tc>
        <w:tc>
          <w:tcPr>
            <w:tcW w:type="dxa" w:w="1440"/>
          </w:tcPr>
          <w:p>
            <w:r>
              <w:rPr>
                <w:sz w:val="18"/>
              </w:rPr>
              <w:t>0.000577 (2.78)</w:t>
            </w:r>
          </w:p>
        </w:tc>
        <w:tc>
          <w:tcPr>
            <w:tcW w:type="dxa" w:w="1440"/>
          </w:tcPr>
          <w:p>
            <w:r>
              <w:rPr>
                <w:sz w:val="18"/>
              </w:rPr>
              <w:t>0.006</w:t>
            </w:r>
          </w:p>
        </w:tc>
        <w:tc>
          <w:tcPr>
            <w:tcW w:type="dxa" w:w="1440"/>
          </w:tcPr>
          <w:p>
            <w:r>
              <w:rPr>
                <w:sz w:val="18"/>
              </w:rPr>
              <w:t>0.000633 (1.64)</w:t>
            </w:r>
          </w:p>
        </w:tc>
        <w:tc>
          <w:tcPr>
            <w:tcW w:type="dxa" w:w="1440"/>
          </w:tcPr>
          <w:p>
            <w:r>
              <w:rPr>
                <w:sz w:val="18"/>
              </w:rPr>
              <w:t>0.100</w:t>
            </w:r>
          </w:p>
        </w:tc>
        <w:tc>
          <w:tcPr>
            <w:tcW w:type="dxa" w:w="1440"/>
          </w:tcPr>
          <w:p>
            <w:r>
              <w:rPr>
                <w:sz w:val="18"/>
              </w:rPr>
              <w:t>1.57%</w:t>
            </w:r>
          </w:p>
        </w:tc>
      </w:tr>
      <w:tr>
        <w:tc>
          <w:tcPr>
            <w:tcW w:type="dxa" w:w="1440"/>
          </w:tcPr>
          <w:p>
            <w:r>
              <w:rPr>
                <w:sz w:val="18"/>
              </w:rPr>
              <w:t>2</w:t>
            </w:r>
          </w:p>
        </w:tc>
        <w:tc>
          <w:tcPr>
            <w:tcW w:type="dxa" w:w="1440"/>
          </w:tcPr>
          <w:p>
            <w:r>
              <w:rPr>
                <w:sz w:val="18"/>
              </w:rPr>
              <w:t>0.000577 (2.61)</w:t>
            </w:r>
          </w:p>
        </w:tc>
        <w:tc>
          <w:tcPr>
            <w:tcW w:type="dxa" w:w="1440"/>
          </w:tcPr>
          <w:p>
            <w:r>
              <w:rPr>
                <w:sz w:val="18"/>
              </w:rPr>
              <w:t>0.010</w:t>
            </w:r>
          </w:p>
        </w:tc>
        <w:tc>
          <w:tcPr>
            <w:tcW w:type="dxa" w:w="1440"/>
          </w:tcPr>
          <w:p>
            <w:r>
              <w:rPr>
                <w:sz w:val="18"/>
              </w:rPr>
              <w:t>0.000633 (1.55)</w:t>
            </w:r>
          </w:p>
        </w:tc>
        <w:tc>
          <w:tcPr>
            <w:tcW w:type="dxa" w:w="1440"/>
          </w:tcPr>
          <w:p>
            <w:r>
              <w:rPr>
                <w:sz w:val="18"/>
              </w:rPr>
              <w:t>0.123</w:t>
            </w:r>
          </w:p>
        </w:tc>
        <w:tc>
          <w:tcPr>
            <w:tcW w:type="dxa" w:w="1440"/>
          </w:tcPr>
          <w:p>
            <w:r>
              <w:rPr>
                <w:sz w:val="18"/>
              </w:rPr>
              <w:t>1.57%</w:t>
            </w:r>
          </w:p>
        </w:tc>
      </w:tr>
      <w:tr>
        <w:tc>
          <w:tcPr>
            <w:tcW w:type="dxa" w:w="1440"/>
          </w:tcPr>
          <w:p>
            <w:r>
              <w:rPr>
                <w:sz w:val="18"/>
              </w:rPr>
              <w:t>4</w:t>
            </w:r>
          </w:p>
        </w:tc>
        <w:tc>
          <w:tcPr>
            <w:tcW w:type="dxa" w:w="1440"/>
          </w:tcPr>
          <w:p>
            <w:r>
              <w:rPr>
                <w:sz w:val="18"/>
              </w:rPr>
              <w:t>0.000577 (2.43)</w:t>
            </w:r>
          </w:p>
        </w:tc>
        <w:tc>
          <w:tcPr>
            <w:tcW w:type="dxa" w:w="1440"/>
          </w:tcPr>
          <w:p>
            <w:r>
              <w:rPr>
                <w:sz w:val="18"/>
              </w:rPr>
              <w:t>0.017</w:t>
            </w:r>
          </w:p>
        </w:tc>
        <w:tc>
          <w:tcPr>
            <w:tcW w:type="dxa" w:w="1440"/>
          </w:tcPr>
          <w:p>
            <w:r>
              <w:rPr>
                <w:sz w:val="18"/>
              </w:rPr>
              <w:t>0.000633 (1.44)</w:t>
            </w:r>
          </w:p>
        </w:tc>
        <w:tc>
          <w:tcPr>
            <w:tcW w:type="dxa" w:w="1440"/>
          </w:tcPr>
          <w:p>
            <w:r>
              <w:rPr>
                <w:sz w:val="18"/>
              </w:rPr>
              <w:t>0.152</w:t>
            </w:r>
          </w:p>
        </w:tc>
        <w:tc>
          <w:tcPr>
            <w:tcW w:type="dxa" w:w="1440"/>
          </w:tcPr>
          <w:p>
            <w:r>
              <w:rPr>
                <w:sz w:val="18"/>
              </w:rPr>
              <w:t>1.57%</w:t>
            </w:r>
          </w:p>
        </w:tc>
      </w:tr>
      <w:tr>
        <w:tc>
          <w:tcPr>
            <w:tcW w:type="dxa" w:w="1440"/>
          </w:tcPr>
          <w:p>
            <w:r>
              <w:rPr>
                <w:sz w:val="18"/>
              </w:rPr>
              <w:t>6</w:t>
            </w:r>
          </w:p>
        </w:tc>
        <w:tc>
          <w:tcPr>
            <w:tcW w:type="dxa" w:w="1440"/>
          </w:tcPr>
          <w:p>
            <w:r>
              <w:rPr>
                <w:sz w:val="18"/>
              </w:rPr>
              <w:t>0.000577 (2.29)</w:t>
            </w:r>
          </w:p>
        </w:tc>
        <w:tc>
          <w:tcPr>
            <w:tcW w:type="dxa" w:w="1440"/>
          </w:tcPr>
          <w:p>
            <w:r>
              <w:rPr>
                <w:sz w:val="18"/>
              </w:rPr>
              <w:t>0.024</w:t>
            </w:r>
          </w:p>
        </w:tc>
        <w:tc>
          <w:tcPr>
            <w:tcW w:type="dxa" w:w="1440"/>
          </w:tcPr>
          <w:p>
            <w:r>
              <w:rPr>
                <w:sz w:val="18"/>
              </w:rPr>
              <w:t>0.000633 (1.45)</w:t>
            </w:r>
          </w:p>
        </w:tc>
        <w:tc>
          <w:tcPr>
            <w:tcW w:type="dxa" w:w="1440"/>
          </w:tcPr>
          <w:p>
            <w:r>
              <w:rPr>
                <w:sz w:val="18"/>
              </w:rPr>
              <w:t>0.149</w:t>
            </w:r>
          </w:p>
        </w:tc>
        <w:tc>
          <w:tcPr>
            <w:tcW w:type="dxa" w:w="1440"/>
          </w:tcPr>
          <w:p>
            <w:r>
              <w:rPr>
                <w:sz w:val="18"/>
              </w:rPr>
              <w:t>1.57%</w:t>
            </w:r>
          </w:p>
        </w:tc>
      </w:tr>
    </w:tbl>
    <w:p>
      <w:pPr>
        <w:pStyle w:val="Heading2"/>
      </w:pPr>
      <w:r>
        <w:t>C.2 Post-Crisis Subsample (2010–2022)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Subperiod</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Post-crisis (2010–2022)</w:t>
            </w:r>
          </w:p>
        </w:tc>
        <w:tc>
          <w:tcPr>
            <w:tcW w:type="dxa" w:w="1728"/>
          </w:tcPr>
          <w:p>
            <w:r>
              <w:rPr>
                <w:sz w:val="18"/>
              </w:rPr>
              <w:t>97</w:t>
            </w:r>
          </w:p>
        </w:tc>
        <w:tc>
          <w:tcPr>
            <w:tcW w:type="dxa" w:w="1728"/>
          </w:tcPr>
          <w:p>
            <w:r>
              <w:rPr>
                <w:sz w:val="18"/>
              </w:rPr>
              <w:t>1.6%</w:t>
            </w:r>
          </w:p>
        </w:tc>
        <w:tc>
          <w:tcPr>
            <w:tcW w:type="dxa" w:w="1728"/>
          </w:tcPr>
          <w:p>
            <w:r>
              <w:rPr>
                <w:sz w:val="18"/>
              </w:rPr>
              <w:t>−0.000433 (0.699)</w:t>
            </w:r>
          </w:p>
        </w:tc>
        <w:tc>
          <w:tcPr>
            <w:tcW w:type="dxa" w:w="1728"/>
          </w:tcPr>
          <w:p>
            <w:r>
              <w:rPr>
                <w:sz w:val="18"/>
              </w:rPr>
              <w:t>0.001247 (0.056)</w:t>
            </w:r>
          </w:p>
        </w:tc>
      </w:tr>
    </w:tbl>
    <w:p>
      <w:r>
        <w:t>The post-crisis subsample shows a reversal: the target shock is not significant while the path shock is marginally significant. This may reflect the extended ZLB period where the target rate was fixed and forward guidance was the primary policy tool.</w:t>
      </w:r>
    </w:p>
    <w:p>
      <w:pPr>
        <w:pStyle w:val="Heading2"/>
      </w:pPr>
      <w:r>
        <w:t>C.3 NASDAQ Forward Guidance Interaction</w:t>
      </w:r>
    </w:p>
    <w:p>
      <w:r>
        <w:t>The NASDAQ specification in the forward guidance interaction produces a coefficient of 202.17 (p = 0.041) on the Sentiment × FG term. While statistically significant, this coefficient is economically implausible: a one-unit change in sentiment (which has a standard deviation of 0.006) would imply a 202 × 0.006 = 1.2 basis point change in NASDAQ returns — a negligible economic effect. The large raw coefficient reflects the extremely small scale of the sentiment variable rather than a meaningful economic relationship. We therefore exclude this result from the main table.</w:t>
      </w:r>
    </w:p>
    <w:p>
      <w:pPr>
        <w:pStyle w:val="Heading2"/>
      </w:pPr>
      <w:r>
        <w:t>C.4 Data Source Comparison (S&amp;P 500)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Data Source</w:t>
            </w:r>
          </w:p>
        </w:tc>
        <w:tc>
          <w:tcPr>
            <w:tcW w:type="dxa" w:w="1728"/>
          </w:tcPr>
          <w:p>
            <w:r>
              <w:rPr>
                <w:b/>
                <w:sz w:val="18"/>
              </w:rPr>
              <w:t>β_T</w:t>
            </w:r>
          </w:p>
        </w:tc>
        <w:tc>
          <w:tcPr>
            <w:tcW w:type="dxa" w:w="1728"/>
          </w:tcPr>
          <w:p>
            <w:r>
              <w:rPr>
                <w:b/>
                <w:sz w:val="18"/>
              </w:rPr>
              <w:t>t_target</w:t>
            </w:r>
          </w:p>
        </w:tc>
        <w:tc>
          <w:tcPr>
            <w:tcW w:type="dxa" w:w="1728"/>
          </w:tcPr>
          <w:p>
            <w:r>
              <w:rPr>
                <w:b/>
                <w:sz w:val="18"/>
              </w:rPr>
              <w:t>p_target</w:t>
            </w:r>
          </w:p>
        </w:tc>
        <w:tc>
          <w:tcPr>
            <w:tcW w:type="dxa" w:w="1728"/>
          </w:tcPr>
          <w:p>
            <w:r>
              <w:rPr>
                <w:b/>
                <w:sz w:val="18"/>
              </w:rPr>
              <w:t>R²</w:t>
            </w:r>
          </w:p>
        </w:tc>
      </w:tr>
      <w:tr>
        <w:tc>
          <w:tcPr>
            <w:tcW w:type="dxa" w:w="1728"/>
          </w:tcPr>
          <w:p>
            <w:r>
              <w:rPr>
                <w:sz w:val="18"/>
              </w:rPr>
              <w:t>CRSP (sprtrn)</w:t>
            </w:r>
          </w:p>
        </w:tc>
        <w:tc>
          <w:tcPr>
            <w:tcW w:type="dxa" w:w="1728"/>
          </w:tcPr>
          <w:p>
            <w:r>
              <w:rPr>
                <w:sz w:val="18"/>
              </w:rPr>
              <w:t>−0.391</w:t>
            </w:r>
          </w:p>
        </w:tc>
        <w:tc>
          <w:tcPr>
            <w:tcW w:type="dxa" w:w="1728"/>
          </w:tcPr>
          <w:p>
            <w:r>
              <w:rPr>
                <w:sz w:val="18"/>
              </w:rPr>
              <w:t>−1.80</w:t>
            </w:r>
          </w:p>
        </w:tc>
        <w:tc>
          <w:tcPr>
            <w:tcW w:type="dxa" w:w="1728"/>
          </w:tcPr>
          <w:p>
            <w:r>
              <w:rPr>
                <w:sz w:val="18"/>
              </w:rPr>
              <w:t>0.073</w:t>
            </w:r>
          </w:p>
        </w:tc>
        <w:tc>
          <w:tcPr>
            <w:tcW w:type="dxa" w:w="1728"/>
          </w:tcPr>
          <w:p>
            <w:r>
              <w:rPr>
                <w:sz w:val="18"/>
              </w:rPr>
              <w:t>7.8%</w:t>
            </w:r>
          </w:p>
        </w:tc>
      </w:tr>
      <w:tr>
        <w:tc>
          <w:tcPr>
            <w:tcW w:type="dxa" w:w="1728"/>
          </w:tcPr>
          <w:p>
            <w:r>
              <w:rPr>
                <w:sz w:val="18"/>
              </w:rPr>
              <w:t>yfinance (^GSPC)</w:t>
            </w:r>
          </w:p>
        </w:tc>
        <w:tc>
          <w:tcPr>
            <w:tcW w:type="dxa" w:w="1728"/>
          </w:tcPr>
          <w:p>
            <w:r>
              <w:rPr>
                <w:sz w:val="18"/>
              </w:rPr>
              <w:t>−0.259</w:t>
            </w:r>
          </w:p>
        </w:tc>
        <w:tc>
          <w:tcPr>
            <w:tcW w:type="dxa" w:w="1728"/>
          </w:tcPr>
          <w:p>
            <w:r>
              <w:rPr>
                <w:sz w:val="18"/>
              </w:rPr>
              <w:t>−2.19</w:t>
            </w:r>
          </w:p>
        </w:tc>
        <w:tc>
          <w:tcPr>
            <w:tcW w:type="dxa" w:w="1728"/>
          </w:tcPr>
          <w:p>
            <w:r>
              <w:rPr>
                <w:sz w:val="18"/>
              </w:rPr>
              <w:t>0.030</w:t>
            </w:r>
          </w:p>
        </w:tc>
        <w:tc>
          <w:tcPr>
            <w:tcW w:type="dxa" w:w="1728"/>
          </w:tcPr>
          <w:p>
            <w:r>
              <w:rPr>
                <w:sz w:val="18"/>
              </w:rPr>
              <w:t>2.9%</w:t>
            </w:r>
          </w:p>
        </w:tc>
      </w:tr>
    </w:tbl>
    <w:p>
      <w:r>
        <w:t>The yfinance coefficient is 34% smaller in magnitude than the CRSP coefficient, reflecting the absence of delisting adjustments in the yfinance data. All main results use CRSP data. The yfinance p-value is actually smaller (0.030 vs. 0.073) due to different standard error estimates, but the coefficient magnitude difference suggests that data source choice matters for economic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