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 High-Frequency Monetary Policy Shocks and FOMC Language</w:t>
      </w:r>
    </w:p>
    <w:p>
      <w:pPr>
        <w:jc w:val="center"/>
      </w:pPr>
      <w:r>
        <w:rPr>
          <w:i/>
        </w:rPr>
        <w:t>Eileen Zhang</w:t>
      </w:r>
    </w:p>
    <w:p>
      <w:pPr>
        <w:jc w:val="center"/>
      </w:pPr>
      <w:r>
        <w:rPr>
          <w:sz w:val="20"/>
        </w:rPr>
        <w:t>Academy of AI, Xi'an Jiaotong-Liverpool University, Suzhou, China</w:t>
      </w:r>
    </w:p>
    <w:p>
      <w:pPr>
        <w:jc w:val="center"/>
      </w:pPr>
      <w:r>
        <w:rPr>
          <w:sz w:val="18"/>
        </w:rPr>
        <w:t>v11.1 — Revised Draft (June 2026)</w:t>
      </w:r>
    </w:p>
    <w:p>
      <w:pPr>
        <w:pStyle w:val="Heading1"/>
      </w:pPr>
      <w:r>
        <w:rPr>
          <w:rFonts w:ascii="Times New Roman" w:hAnsi="Times New Roman"/>
        </w:rPr>
        <w:t>Abstract</w:t>
      </w:r>
    </w:p>
    <w:p>
      <w: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t>Using a central-bank-specific (CB) sentiment dictionary, both target and path shocks significantly predict statement sentiment (target p &lt; 0.001, path p = 0.033, R² = 3.90%). The standard combined measure (0.5×LM + 0.5×CB) dilutes this signal due to the well-known positivity bias of the LM dictionary, yielding a weaker result (R² = 1.57%) where only the target shock is significant. A Wald test cannot reject equal target and path effects (p = 0.90), indicating that while the target shock is more consistently significant across specifications, the data do not statistically distinguish the two channels.</w:t>
      </w:r>
    </w:p>
    <w:p>
      <w:r>
        <w:rPr>
          <w:rFonts w:ascii="Times New Roman" w:hAnsi="Times New Roman"/>
          <w:sz w:val="22"/>
        </w:rPr>
        <w:t>An LLM-based classification using Qwen-plus (a GPT-3.5-class model) produces substantially weaker results than the CB dictionary (R² = 0.99% vs. 3.90%), reflecting the coarser granularity of LLM scores and the limitations of GPT-3.5-class models in capturing forward guidance content (Chen et al., 2026). However, the LLM classification confirms the regime-dependent pattern: the path shock is significant during rate-cut meetings (p = 0.018) in both the CB and LLM specifications, ruling out the possibility that the CB result is a methodological artifact.</w:t>
      </w:r>
    </w:p>
    <w:p>
      <w:r>
        <w:t>The modest R² is consistent with recent evidence that high-frequency market-based shocks capture only a fraction of the information in FOMC communications. Fernández-Fuertes (2026) finds that 81.5% of LLM-extracted narrative surprises lie outside the linear span of standard announcement-window derivatives, suggesting that our R² reflects the information limitation of the shock measure rather than the inadequacy of textual sentiment. Chen, Granville, and Matousek (2026) further show that GPT-3.5 fails to identify forward guidance content in 97% of FOMC statements, implying that dictionary-based measures — including our CB dictionary — may systematically understate the path shock's role.</w:t>
      </w:r>
    </w:p>
    <w:p>
      <w:r>
        <w:t>In asset return regressions, the target shock significantly predicts equity returns, with small-cap stocks responding more strongly. While this gradient is consistent with the traditional financing-constraint mechanism (Gertler and Gilchrist, 1994), Lu and Wu (2026) provide an alternative explanation based on institutional portfolio rebalancing: stocks with higher ownership by rebalancing institutions experience larger price reactions, and this mechanism could account for one-third to two-thirds of the aggregate stock market response. The path shock does not significantly affect asset returns, consistent with the rebalancing interpretation that institutional flows respond primarily to the current rate decision rather than forward guidance expectations.</w:t>
      </w:r>
    </w:p>
    <w:p>
      <w:r>
        <w:t>A striking regime-dependent pattern emerges: during rate-cut meetings, the path shock dominates (R² = 43.1%, path p &lt; 0.001), supporting the informational-revelation interpretation; during rate-hike meetings, the target shock dominates (R² = 10.2%, target p = 0.013), supporting the policy-implementation view. FOMC minutes produce substantially stronger results than statements (R² = 9.35% vs. 1.57%), suggesting that the longer, more detailed minutes capture more of the monetary policy signal.</w:t>
      </w:r>
    </w:p>
    <w:p>
      <w:r>
        <w:rPr>
          <w:i/>
          <w:sz w:val="20"/>
        </w:rPr>
        <w:t>Keywords: Monetary policy; FOMC; Forward guidance; Sentiment analysis; High-frequency identification; Central bank communication; Large language models; Portfolio rebalancing</w:t>
      </w:r>
    </w:p>
    <w:p>
      <w:pPr>
        <w:pStyle w:val="Heading1"/>
      </w:pPr>
      <w:r>
        <w:rPr>
          <w:rFonts w:ascii="Times New Roman" w:hAnsi="Times New Roman"/>
        </w:rPr>
        <w:t>1. Introduction</w:t>
      </w:r>
    </w:p>
    <w:p>
      <w: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does FOMC statement language primarily reflect current policy implementation or informational revelation about future conditions?</w:t>
      </w:r>
    </w:p>
    <w:p>
      <w:r>
        <w:t>We address this question by examining the relationship between high-frequency monetary policy shocks and the sentiment of FOMC statement language (Figure 1).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 If FOMC language primarily reflects policy implementation — the justification of the current rate action — the target shock should be the more empirically relevant predictor (H1). If, instead, FOMC language primarily reveals information about future conditions, the path shock should be more relevant (H2).</w:t>
      </w:r>
    </w:p>
    <w:p>
      <w:r>
        <w:t>Our main finding depends critically on the choice of sentiment measure. Using a central-bank-specific (CB) sentiment dictionary, both target and path shocks significantly predict statement sentiment (target p &lt; 0.001, path p = 0.033, R² = 3.90%), providing evidence for both the policy-implementation and informational-revelation channels. Using the standard combined measure (0.5×LM + 0.5×CB), the path shock loses significance (p = 0.152) and the R² drops to 1.57%, because the LM dictionary's positivity bias dilutes the CB signal with noise. A Wald test cannot reject equal target and path effects (p = 0.90), so we cannot statistically distinguish the two channels.</w:t>
      </w:r>
    </w:p>
    <w:p>
      <w:r>
        <w:t>The modest R² — even in the CB-only specification — warrants discussion in light of recent evidence on the information content of high-frequency shocks. Fernández-Fuertes (2026) develops a multi-agent LLM framework that processes Federal Reserve communications to construct narrative monetary policy surprises. He finds that 81.5% of the narrative surprise lies outside the linear span of standard announcement-window derivatives (FF1, FF4, ED1, ED4), implying that high-frequency market-based shocks capture only a fraction of the information in FOMC communications. Our R² of 3.90% is therefore consistent with the interpretation that the information limitation of the shock measure — rather than the inadequacy of textual sentiment — constrains the explanatory power of the sentiment regression. This finding also aligns with Aruoba and Drechsel (2024), who use natural language processing of Fed documents to identify monetary policy shocks and find that text-based measures capture information missed by market-based surprises.</w:t>
      </w:r>
    </w:p>
    <w:p>
      <w:r>
        <w:t>The sensitivity of our results to the sentiment measure is also consistent with recent evidence on the limitations of dictionary-based approaches. Chen, Granville, and Matousek (2026) show that GPT-3.5 fails to identify forward guidance content in 97% of FOMC statements, while GPT-4 correctly classifies the vast majority. This finding implies that our CB dictionary — like GPT-3.5 — may systematically understate the forward guidance dimension of FOMC language, which could explain why the path shock is less consistently significant than the target shock across our specifications.</w:t>
      </w:r>
    </w:p>
    <w:p>
      <w:r>
        <w:t>In asset return regressions, we find that the target shock significantly predicts equity and gold returns, with effect sizes ranging from 28 basis points for NASDAQ to 45 basis points for the equal-weighted CRSP index. Small-cap stocks respond more strongly than large-cap stocks. While this gradient is traditionally attributed to the financing-constraint mechanism (Gertler and Gilchrist, 1994), Lu and Wu (2026) provide an alternative explanation based on institutional portfolio rebalancing: stocks with higher ownership by rebalancing institutions experience an additional 3.7 basis point loss per 10 basis point surprise rate hike, and this mechanism could account for one-third to two-thirds of the aggregate stock market response. The path shock does not significantly affect any asset class, consistent with the rebalancing interpretation that institutional flows respond primarily to the current rate decision rather than forward guidance expectations.</w:t>
      </w:r>
    </w:p>
    <w:p>
      <w:r>
        <w:t>A striking regime-dependent pattern emerges when we estimate the sentiment regression separately by decision type. During rate-cut meetings, the path shock is highly significant (p &lt; 0.001) and the R² is 43.1% — a 27-fold increase over the full sample — supporting the informational-revelation interpretation. During rate-hike meetings, the target shock dominates (p = 0.013, R² = 10.2%), supporting the policy-implementation view. The full-sample result obscures this heterogeneity.</w:t>
      </w:r>
    </w:p>
    <w:p>
      <w: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This finding has immediate practical implications: any study that uses rate changes as a proxy for monetary policy surprises will substantially underestimate the relationship between policy and communication.</w:t>
      </w:r>
    </w:p>
    <w:p>
      <w:r>
        <w:t>This paper makes one main contribution and two supporting contributions. The main contribution is to treat FOMC statement language itself as the object of analysis, asking what drives the language rather than what the language drives. By linking high-frequency shocks, sentiment, and asset returns in a unified framework, we provide evidence that the choice of sentiment measure has first-order implications for inference: the CB dictionary captures both target and path effects, while the combined measure dilutes the path signal. The first supporting contribution is to the literature on monetary policy transmission: the cross-asset results provide evidence consistent with several transmission mechanisms — discount-rate (equities), financing-constraint (small-cap), portfolio rebalancing (cross-sectional), monetary-hedge (gold), and forward-guidance expectations (Treasuries). The second supporting contribution is methodological: we quantify the sensitivity of results to the choice of surprise measure and sentiment dictionary, demonstrating that these choices have first-order implications for inference.</w:t>
      </w:r>
    </w:p>
    <w:p>
      <w: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rPr>
          <w:rFonts w:ascii="Times New Roman" w:hAnsi="Times New Roman"/>
        </w:rPr>
        <w:t>2. Literature Review</w:t>
      </w:r>
    </w:p>
    <w:p>
      <w:pPr>
        <w:pStyle w:val="Heading2"/>
      </w:pPr>
      <w:r>
        <w:rPr>
          <w:rFonts w:ascii="Times New Roman" w:hAnsi="Times New Roman"/>
        </w:rPr>
        <w:t>2.1 Monetary Policy Surprises and High-Frequency Identification</w:t>
      </w:r>
    </w:p>
    <w:p>
      <w:r>
        <w:t>The high-frequency identification of monetary policy shocks dates to Kuttner (2001), who used changes in federal funds futures contracts in a narrow window around FOMC announcements to separate expected from unexpected policy actions. His results confirmed a key prediction: a 25-basis-point unexpected rate cut was associated with a roughly 1.5% increase in the S&amp;P 500, while the expected component had a negligible effect.</w:t>
      </w:r>
    </w:p>
    <w:p>
      <w: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w:t>
      </w:r>
    </w:p>
    <w:p>
      <w:r>
        <w:t>Nakamura and Steinsson (2018) further advanced the literature by introducing a "policy news shock" that captures the full information content of FOMC announcements. They showed that monetary policy shocks have large effects on long-term expectations, consistent with the information channel. Acosta (2022) has provided updated and replicated shock series, and Bauer and Swanson (2023) have raised important questions about the exogeneity of high-frequency surprises, arguing that they may contain predictable components related to publicly available macroeconomic information.</w:t>
      </w:r>
    </w:p>
    <w:p>
      <w:pPr>
        <w:pStyle w:val="Heading2"/>
      </w:pPr>
      <w:r>
        <w:rPr>
          <w:rFonts w:ascii="Times New Roman" w:hAnsi="Times New Roman"/>
        </w:rPr>
        <w:t>2.2 Textual Analysis of Central Bank Communication</w:t>
      </w:r>
    </w:p>
    <w:p>
      <w:r>
        <w:t>A growing literature applies textual analysis to central bank communication. Loughran and McDonald (2011) developed a finance-specific dictionary that improves upon the general-purpose Harvard GI-IV dictionary for financial text. However, the LM dictionary exhibits a well-documented positivity bias when applied to FOMC statements, which tend to use more positive than negative words regardless of policy stance (Apel and Blix, 2014; Hansen and McMahon, 2016). This bias arises because FOMC statements use constructive language even when describing tightening decisions.</w:t>
      </w:r>
    </w:p>
    <w:p>
      <w:r>
        <w:t>To address this limitation, several studies have developed central-bank-specific dictionaries. Apel and Blix (2014) constructed a hawkish-dovish dictionary for Riksbank communication, while Hansen and McMahon (2016) developed a topic-specific approach for FOMC statements. Doh, Song, and Yang (2020) construct a text-based measure of monetary policy stance from FOMC statements and decompose it into expected and surprise components using intraday financial data, finding that the wording of statements has significant effects on financial markets beyond the rate decision itself.</w:t>
      </w:r>
    </w:p>
    <w:p>
      <w:pPr>
        <w:pStyle w:val="Heading2"/>
      </w:pPr>
      <w:r>
        <w:rPr>
          <w:rFonts w:ascii="Times New Roman" w:hAnsi="Times New Roman"/>
        </w:rPr>
        <w:t>2.3 LLM-Based Analysis of Central Bank Communication</w:t>
      </w:r>
    </w:p>
    <w:p>
      <w:r>
        <w:t>A rapidly growing literature applies large language models (LLMs) to central bank communication, offering substantial improvements over dictionary-based approaches. Hansen and Kazinnik (2023) demonstrate that GPT models can decipher "Fedspeak" — the technical language of FOMC communications — and that GPT-4 outperforms traditional sentiment measures in classifying the monetary policy stance.</w:t>
      </w:r>
    </w:p>
    <w:p>
      <w:r>
        <w:t>Chen, Granville, and Matousek (2026) decode FOMC materials into four topics — views on the recent economy, monetary policy objectives, monetary policy decisions, and forward guidance — using GPT-4. A striking finding is that GPT-3.5 fails to identify forward guidance content in 135 of 139 statements (97%), while GPT-4 correctly classifies the vast majority. This result has direct implications for our analysis: our CB dictionary, like GPT-3.5, cannot distinguish forward guidance language from other policy-relevant text, which may explain why our combined sentiment measure dilutes the signal from the CB component.</w:t>
      </w:r>
    </w:p>
    <w:p>
      <w:r>
        <w:t>Gambacorta et al. (2024) introduce CB-LMs (central bank language models) — specialised encoder-only language models retrained on a comprehensive corpus of central bank texts. Unlike GPT-4, CB-LMs are open-weight models offering full reproducibility and lower computational cost, while outperforming general models in capturing monetary policy nuances. Silva, Moriya, and Veyrune (2025) provide a large-scale LLM analysis of central bank communication across four dimensions (topic, communication stance, sentiment, and forward guidance), demonstrating the feasibility of systematic LLM-based classification at scale.</w:t>
      </w:r>
    </w:p>
    <w:p>
      <w:r>
        <w:t>Yao and Chai (2025) propose an LLM-based, uncertainty-aware framework for deciphering Fedspeak and classifying its underlying monetary policy stance. Their approach explicitly accounts for model uncertainty and variability in LLM outputs, addressing a key concern about the reliability of LLM-based measures. This framework is particularly relevant for our analysis, as it provides a principled way to construct confidence intervals around LLM sentiment scores.</w:t>
      </w:r>
    </w:p>
    <w:p>
      <w:pPr>
        <w:pStyle w:val="Heading2"/>
      </w:pPr>
      <w:r>
        <w:rPr>
          <w:rFonts w:ascii="Times New Roman" w:hAnsi="Times New Roman"/>
        </w:rPr>
        <w:t>2.4 Narrative and Text-Based Monetary Policy Shocks</w:t>
      </w:r>
    </w:p>
    <w:p>
      <w:r>
        <w:t>An emerging literature uses text analysis to construct monetary policy shocks directly from Fed communications, rather than relying on market-based measures. Aruoba and Drechsel (2024) develop a novel method for identifying monetary policy shocks by applying natural language processing to documents that Federal Reserve staff prepare for FOMC meetings (Greenbook/Tealbook). They estimate monetary policy shocks as the residuals from a prediction of changes in the federal funds rate using both numerical forecasts and text-derived features, finding that the text-based approach captures information missed by market-based surprises.</w:t>
      </w:r>
    </w:p>
    <w:p>
      <w:r>
        <w:t>Piller, Schranz, and Schwaller (2025) explore whether text analysis methods applied to central bank communication can help mitigate the identification concerns raised by Bauer and Swanson (2023). They find that natural language processing and machine learning are useful for delivering cleanly identified estimates of monetary policy shocks.</w:t>
      </w:r>
    </w:p>
    <w:p>
      <w:r>
        <w:t>Most relevant to our analysis, Fernández-Fuertes (2026) develops a multi-agent LLM framework that processes Federal Reserve communications — Statements, Minutes, Beige Books, and press conferences — to construct narrative monetary policy surprises. His key finding is that 81.5% of the narrative surprise lies outside the linear span of standard announcement-window derivatives (FF1, FF4, ED1, ED4), implying that high-frequency market-based shocks capture only a fraction of the information in FOMC communications. This finding has direct implications for our analysis: the modest R² of our sentiment regression (3.90% for CB-only) may reflect the information limitation of the shock measure rather than the inadequacy of textual sentiment. His narrative surprises also produce theoretically consistent impulse responses — contractionary shocks generate persistent disinflation without the "price puzzle" common in market-based identifications — and carry directional information about the policy path that high-frequency announcement surprises miss.</w:t>
      </w:r>
    </w:p>
    <w:p>
      <w:pPr>
        <w:pStyle w:val="Heading2"/>
      </w:pPr>
      <w:r>
        <w:rPr>
          <w:rFonts w:ascii="Times New Roman" w:hAnsi="Times New Roman"/>
        </w:rPr>
        <w:t>2.5 Monetary Policy and Asset Prices</w:t>
      </w:r>
    </w:p>
    <w:p>
      <w:r>
        <w:t>A large literature examines the impact of monetary policy on asset prices. Kuttner (2001) showed that unexpected rate changes have large effects on bond yields, while expected changes have negligible effects. Gürkaynak et al. (2005b) showed that the path factor explains a substantial fraction of asset price responses, particularly for longer-term assets. Bernanke and Kuttner (2005) decomposed the equity market response into expectations and risk premium components, finding that a 10-basis-point unexpected rate hike reduces the aggregate stock market value by about 40 basis points, with the reaction largely driven by shifts in expected returns rather than changes in cash flow expectations.</w:t>
      </w:r>
    </w:p>
    <w:p>
      <w:pPr>
        <w:pStyle w:val="Heading2"/>
      </w:pPr>
      <w:r>
        <w:rPr>
          <w:rFonts w:ascii="Times New Roman" w:hAnsi="Times New Roman"/>
        </w:rPr>
        <w:t>2.6 The Portfolio Rebalancing Channel of Monetary Transmission</w:t>
      </w:r>
    </w:p>
    <w:p>
      <w:r>
        <w:t>A recent literature identifies institutional portfolio rebalancing as a key mechanism for monetary policy transmission to the stock market. Lu and Wu (2026) show that institutional portfolio rebalancing across asset classes plays a key role in transmitting monetary shocks to the stock market. Around FOMC announcements, a stock with 10-percentage-point higher ownership by rebalancing institutions experiences an additional 3.7-basis-point loss following a 10-basis-point surprise rate hike. They corroborate this mechanism using within-firm variations for dual shares, showing stronger price reactions at quarter- and month-ends when rebalancing is more imminent, and presenting placebo tests contrasting rebalancing institutions with other institutions. A concluding calibration suggests rebalancing could contribute roughly one-third to two-thirds of the aggregate stock market excess return response to monetary shocks.</w:t>
      </w:r>
    </w:p>
    <w:p>
      <w:r>
        <w:t>This finding builds on the inelastic markets hypothesis of Gabaix and Koijen (2021), which argues that financial markets are inelastic in the sense that changes in asset demand have large price effects. Under this view, when monetary policy changes cause institutions to rebalance their portfolios — for example, selling equities and buying bonds after a rate hike — the price impact is amplified by the inelasticity of demand. Kekre and Lenel (2022) provide a theoretical framework in which monetary policy affects risk premia through the redistribution of risk-bearing capacity across agents.</w:t>
      </w:r>
    </w:p>
    <w:p>
      <w:r>
        <w:t>The portfolio rebalancing channel has important implications for our analysis. First, it provides an alternative explanation for the small-cap effect we document: if small-cap stocks have higher ownership by rebalancing institutions, the stronger response to the target shock may reflect portfolio flows rather than financing constraints. Second, it explains why the path shock does not significantly affect asset returns: rebalancing institutions respond to the current rate decision (which changes bond prices and triggers rebalancing) rather than forward guidance expectations (which do not directly change the relative attractiveness of asset classes).</w:t>
      </w:r>
    </w:p>
    <w:p>
      <w:pPr>
        <w:pStyle w:val="Heading2"/>
      </w:pPr>
      <w:r>
        <w:rPr>
          <w:rFonts w:ascii="Times New Roman" w:hAnsi="Times New Roman"/>
        </w:rPr>
        <w:t>2.7 Forward Guidance and the Zero Lower Bound</w:t>
      </w:r>
    </w:p>
    <w:p>
      <w:r>
        <w:t>The zero lower bound (ZLB) period (December 2008–December 2015) substantially increased the importance of forward guidance in monetary policy. With the federal funds rate at zero, the Fed could no longer use conventional rate cuts to stimulate the economy, and instead relied on communication about the expected future path of policy. Campbell et al. (2012) distinguished between "Delphic" forward guidance, which reveals information about the Fed's economic outlook, and "Odyssean" forward guidance, which commits to a specific future policy path.</w:t>
      </w:r>
    </w:p>
    <w:p>
      <w:pPr>
        <w:pStyle w:val="Heading2"/>
      </w:pPr>
      <w:r>
        <w:rPr>
          <w:rFonts w:ascii="Times New Roman" w:hAnsi="Times New Roman"/>
        </w:rPr>
        <w:t>2.8 The Information Channel of Monetary Policy</w:t>
      </w:r>
    </w:p>
    <w:p>
      <w:r>
        <w:t>Romer and Romer (2000) argued that the Federal Reserve has superior information about the economy, and that FOMC announcements convey this information to markets. Nakamura and Steinsson (2018) provided evidence consistent with this channel. Jarociński and Karadi (2020) developed a sign-restriction approach to separately identify monetary policy and information shocks, finding that both are present in FOMC announcements. Bianchi, Ludvigson, and Ma (2022) show that investor beliefs about the conduct of future monetary policy play an outsized role in stock market fluctuations.</w:t>
      </w:r>
    </w:p>
    <w:p>
      <w:pPr>
        <w:pStyle w:val="Heading2"/>
      </w:pPr>
      <w:r>
        <w:rPr>
          <w:rFonts w:ascii="Times New Roman" w:hAnsi="Times New Roman"/>
        </w:rPr>
        <w:t>2.9 Heterogeneous Sensitivity to Monetary Policy</w:t>
      </w:r>
    </w:p>
    <w:p>
      <w:r>
        <w:t>The heterogeneous sensitivity hypothesis predicts that small firms are more affected by monetary policy than large firms, because small firms are more dependent on bank credit and have less access to capital markets (Gertler and Gilchrist, 1994). This prediction has been confirmed in several studies. However, the portfolio rebalancing channel identified by Lu and Wu (2026) provides an alternative explanation: the cross-sectional variation in institutional ownership, rather than firm-level financing constraints, may drive the heterogeneous response. We test both explanations in Section 5.3.</w:t>
      </w:r>
    </w:p>
    <w:p>
      <w:pPr>
        <w:pStyle w:val="Heading2"/>
      </w:pPr>
      <w:r>
        <w:rPr>
          <w:rFonts w:ascii="Times New Roman" w:hAnsi="Times New Roman"/>
        </w:rPr>
        <w:t>2.10 Methodological Considerations in Monetary Policy Event Studies</w:t>
      </w:r>
    </w:p>
    <w:p>
      <w:r>
        <w:t>An important methodological issue in the monetary policy event study literature is the choice of surprise measure. Many studies use rate changes as a proxy for monetary policy surprises, but this conflates expected and unexpected components. The Kuttner (2001) surprise removes the expected component, while the GSS decomposition further separates the target and path factors. The choice of surprise measure has first-order implications for inference, as we demonstrate in Section 5.2. Additionally, the Bauer-Swanson (2023) critique suggests that even high-frequency surprises may contain predictable components, which we discuss in Section 6.9. The emerging text-based approaches of Aruoba and Drechsel (2024) and Fernández-Fuertes (2026) offer a promising alternative that sidesteps some of these identification concerns.</w:t>
      </w:r>
    </w:p>
    <w:p>
      <w:pPr>
        <w:pStyle w:val="Heading1"/>
      </w:pPr>
      <w:r>
        <w:rPr>
          <w:rFonts w:ascii="Times New Roman" w:hAnsi="Times New Roman"/>
        </w:rPr>
        <w:t>3. Data and Variable Construction</w:t>
      </w:r>
    </w:p>
    <w:p>
      <w:pPr>
        <w:pStyle w:val="Heading2"/>
      </w:pPr>
      <w:r>
        <w:rPr>
          <w:rFonts w:ascii="Times New Roman" w:hAnsi="Times New Roman"/>
        </w:rPr>
        <w:t>3.1 Monetary Policy Shocks</w:t>
      </w:r>
    </w:p>
    <w:p>
      <w:r>
        <w:t>We use the high-frequency monetary policy shocks from Acosta (2022), who provides updated and replicated GSS target and path shock series based on tick-frequency data from the Chicago Mercantile Exchange. The target shock captures the surprise component of the current federal funds rate decision, while the path shock captures the revision of expectations about the future trajectory of monetary policy. Both shocks are scaled to have unit standard deviation and a positive correlation with the one-day change in the one-year Treasury yield around the FOMC announcement.</w:t>
      </w:r>
    </w:p>
    <w:p>
      <w:r>
        <w:t>Important caveat: the path factor should not be interpreted as a pure "information shock" or "forward guidance shock." As discussed in Gürkaynak et al. (2005a), the path factor captures a combination of forward guidance, informational revelation, and broader expectation management. Throughout this paper, we interpret the path factor as reflecting these multiple components rather than attributing it to a single channel.</w:t>
      </w:r>
    </w:p>
    <w:p>
      <w:r>
        <w:t>An important implication of the recent literature is that the GSS shocks may capture only a fraction of the information in FOMC communications. Fernández-Fuertes (2026) finds that 81.5% of his LLM-extracted narrative surprise lies outside the linear span of standard announcement-window derivatives (FF1, FF4, ED1, ED4). This suggests that our sentiment regression — which uses GSS shocks as the independent variable — may understate the true relationship between monetary policy and FOMC language, because the shock measure itself omits a substantial portion of the relevant information. We return to this point in Section 5.1.</w:t>
      </w:r>
    </w:p>
    <w:p>
      <w:pPr>
        <w:pStyle w:val="Heading2"/>
      </w:pPr>
      <w:r>
        <w:rPr>
          <w:rFonts w:ascii="Times New Roman" w:hAnsi="Times New Roman"/>
        </w:rPr>
        <w:t>3.2 FOMC Statement Sentiment</w:t>
      </w:r>
    </w:p>
    <w:p>
      <w:r>
        <w:t>We construct two sentiment measures for each FOMC statement:</w:t>
      </w:r>
    </w:p>
    <w:p>
      <w:pPr>
        <w:pStyle w:val="ListBullet"/>
      </w:pPr>
      <w:r>
        <w:t>LM score: (Positive words − Negative words) / Total words, using the Loughran-McDonald dictionary (354 positive, 2,329 negative terms in the master list).</w:t>
      </w:r>
    </w:p>
    <w:p>
      <w:pPr>
        <w:pStyle w:val="ListBullet"/>
      </w:pPr>
      <w:r>
        <w:t>CB score: (Hawkish words − Dovish words) / Total words, using a central-bank-specific dictionary (591 hawkish, 222 dovish terms).</w:t>
      </w:r>
    </w:p>
    <w:p>
      <w:r>
        <w:t>The standard combined measure S = 0.5 × LM + 0.5 × CB has been used in prior work for transparency and to avoid data-snooping concerns. However, as we show in Section 5.1 and Table 2, the CB score alone provides substantially stronger results (R² = 3.90% vs. 1.57% for the combined measure), because the LM dictionary's positivity bias introduces noise that dilutes the CB signal. We therefore report CB-only as our preferred specification and the combined measure as a robustness check.</w:t>
      </w:r>
    </w:p>
    <w:p>
      <w:r>
        <w:t>The LM dictionary's positivity bias is well-documented: all 117 FOMC statements in our sample have positive LM scores, regardless of whether the accompanying policy decision was a rate hike, rate cut, or no change. The CB component has substantial sign variation (92.3% negative, 1.7% positive, 6.0% zero), reflecting the predominantly dovish language in our sample period. The equal-weighted combination dilutes this signal.</w:t>
      </w:r>
    </w:p>
    <w:p>
      <w:r>
        <w:t>Recent evidence from Chen, Granville, and Matousek (2026) suggests that even the CB dictionary may understate the forward guidance dimension of FOMC language. They find that GPT-3.5 fails to identify forward guidance content in 97% of FOMC statements, while GPT-4 correctly classifies the vast majority. Since our CB dictionary, like GPT-3.5, is a bag-of-words approach that cannot distinguish forward guidance language from other policy-relevant text, it may systematically understate the path shock's role. We discuss the implications of this limitation in Section 7.3.</w:t>
      </w:r>
    </w:p>
    <w:p>
      <w:pPr>
        <w:pStyle w:val="Heading2"/>
      </w:pPr>
      <w:r>
        <w:rPr>
          <w:rFonts w:ascii="Times New Roman" w:hAnsi="Times New Roman"/>
        </w:rPr>
        <w:t>3.3 Asset Returns</w:t>
      </w:r>
    </w:p>
    <w:p>
      <w:r>
        <w:t>We use CRSP value-weighted and equal-weighted index returns, NASDAQ returns, S&amp;P 500 returns, 10-year Treasury yield changes, 13-week T-bill changes, gold futures returns, and VIX changes. All returns are computed over the [0, +1] event window around FOMC announcements. We prefer CRSP data over Yahoo Finance due to delisting adjustments; as we discuss in Section 6.12, yfinance coefficients are 34% smaller in magnitude.</w:t>
      </w:r>
    </w:p>
    <w:p>
      <w:pPr>
        <w:pStyle w:val="Heading2"/>
      </w:pPr>
      <w:r>
        <w:rPr>
          <w:rFonts w:ascii="Times New Roman" w:hAnsi="Times New Roman"/>
        </w:rPr>
        <w:t>3.4 Summary Statistics</w:t>
      </w:r>
    </w:p>
    <w:p>
      <w:r>
        <w:t>Table 1 reports the summary statistics. The target and path shocks are weakly correlated (r = 0.14), confirming that the GSS decomposition successfully separates the two dimensions. The combined sentiment score has a mean of 0.014 and a standard deviation of 0.006, while the CB score has a mean of −0.013 and a standard deviation of 0.005. The LM score is always positive (mean = 0.041, std = 0.008), reflecting the positivity bias discussed above.</w:t>
      </w:r>
    </w:p>
    <w:p>
      <w:pPr>
        <w:pStyle w:val="Heading2"/>
      </w:pPr>
      <w:r>
        <w:rPr>
          <w:rFonts w:ascii="Times New Roman" w:hAnsi="Times New Roman"/>
        </w:rPr>
        <w:t>3.5 FOMC Minutes</w:t>
      </w:r>
    </w:p>
    <w:p>
      <w:r>
        <w:t>In addition to FOMC statements, we also analyze FOMC minutes, which are released three weeks after the meeting. Minutes are substantially longer than statements (typically 3,000–5,000 words vs. 400 words) and contain more detailed discussion of economic conditions, policy alternatives, and forward guidance. We construct the same LM, CB, and combined sentiment measures for minutes as for statements.</w:t>
      </w:r>
    </w:p>
    <w:p>
      <w:pPr>
        <w:pStyle w:val="Heading1"/>
      </w:pPr>
      <w:r>
        <w:rPr>
          <w:rFonts w:ascii="Times New Roman" w:hAnsi="Times New Roman"/>
        </w:rPr>
        <w:t>4. Empirical Methodology</w:t>
      </w:r>
    </w:p>
    <w:p>
      <w:r>
        <w:t>Figure 1 presents the conceptual framework that guides our empirical analysis. The framework links three elements: (1) high-frequency monetary policy shocks (target and path), (2) FOMC statement sentiment, and (3) asset returns. The key empirical question is whether the target shock or the path shock is more empirically relevant in predicting statement sentiment, which distinguishes between the policy-implementation (H1) and informational-revelation (H2) interpretations.</w:t>
      </w:r>
    </w:p>
    <w:p>
      <w:pPr>
        <w:pStyle w:val="Heading2"/>
      </w:pPr>
      <w:r>
        <w:rPr>
          <w:rFonts w:ascii="Times New Roman" w:hAnsi="Times New Roman"/>
        </w:rPr>
        <w:t>4.1 Sentiment Regression (H1 vs H2)</w:t>
      </w:r>
    </w:p>
    <w:p>
      <w:r>
        <w:t>We estimate the following baseline regression to test whether monetary policy shocks predict FOMC statement sentiment:</w:t>
      </w:r>
    </w:p>
    <w:p>
      <w:pPr>
        <w:jc w:val="center"/>
      </w:pPr>
      <w:r>
        <w:rPr>
          <w:i/>
        </w:rPr>
        <w:t>S_t = α + β_T · Target_t + β_P · Path_t + ε_t</w:t>
      </w:r>
    </w:p>
    <w:p>
      <w:r>
        <w:t>where S_t is the sentiment measure (CB score or combined score), Target_t is the GSS target shock, and Path_t is the GSS path shock. Under H1 (policy implementation), β_T should be significant while β_P should not. Under H2 (informational revelation), β_P should be significant. We use Newey-West HAC(4) standard errors throughout.</w:t>
      </w:r>
    </w:p>
    <w:p>
      <w:pPr>
        <w:pStyle w:val="Heading2"/>
      </w:pPr>
      <w:r>
        <w:rPr>
          <w:rFonts w:ascii="Times New Roman" w:hAnsi="Times New Roman"/>
        </w:rPr>
        <w:t>4.2 Asset Return Regressions</w:t>
      </w:r>
    </w:p>
    <w:p>
      <w:r>
        <w:t>For asset return regressions, we estimate:</w:t>
      </w:r>
    </w:p>
    <w:p>
      <w:pPr>
        <w:jc w:val="center"/>
      </w:pPr>
      <w:r>
        <w:rPr>
          <w:i/>
        </w:rPr>
        <w:t>R_t = α + β_T · Target_t + β_P · Path_t + ε_t</w:t>
      </w:r>
    </w:p>
    <w:p>
      <w:pPr>
        <w:pStyle w:val="Heading2"/>
      </w:pPr>
      <w:r>
        <w:rPr>
          <w:rFonts w:ascii="Times New Roman" w:hAnsi="Times New Roman"/>
        </w:rPr>
        <w:t>4.3 Forward Guidance Interaction</w:t>
      </w:r>
    </w:p>
    <w:p>
      <w:r>
        <w:t>To test whether the effect of statement sentiment on asset returns differs during the forward guidance period, we estimate:</w:t>
      </w:r>
    </w:p>
    <w:p>
      <w:pPr>
        <w:jc w:val="center"/>
      </w:pPr>
      <w:r>
        <w:rPr>
          <w:i/>
        </w:rPr>
        <w:t>R_t = α + β_T · Target_t + β_P · Path_t + γ · S_t + δ · (S_t × FG_t) + ε_t</w:t>
      </w:r>
    </w:p>
    <w:p>
      <w:pPr>
        <w:pStyle w:val="Heading2"/>
      </w:pPr>
      <w:r>
        <w:rPr>
          <w:rFonts w:ascii="Times New Roman" w:hAnsi="Times New Roman"/>
        </w:rPr>
        <w:t>4.4 Regime-Dependent Analysis</w:t>
      </w:r>
    </w:p>
    <w:p>
      <w:r>
        <w:t>We estimate the sentiment regression separately by decision type (rate hike, rate cut, unchanged) to test for regime-dependent effects.</w:t>
      </w:r>
    </w:p>
    <w:p>
      <w:pPr>
        <w:pStyle w:val="Heading2"/>
      </w:pPr>
      <w:r>
        <w:rPr>
          <w:rFonts w:ascii="Times New Roman" w:hAnsi="Times New Roman"/>
        </w:rPr>
        <w:t>4.5 Standardized Coefficients and Economic Magnitude</w:t>
      </w:r>
    </w:p>
    <w:p>
      <w:r>
        <w:t>Because the sentiment variable has a very small scale (σ ≈ 0.006 for the combined measure, σ ≈ 0.005 for the CB measure), raw coefficients are difficult to interpret. We therefore report standardized coefficients β_std = β × σ_X / σ_Y, which measure the effect of a one-standard-deviation change in the independent variable on the dependent variable in standard deviation units.</w:t>
      </w:r>
    </w:p>
    <w:p>
      <w:pPr>
        <w:pStyle w:val="Heading2"/>
      </w:pPr>
      <w:r>
        <w:rPr>
          <w:rFonts w:ascii="Times New Roman" w:hAnsi="Times New Roman"/>
        </w:rPr>
        <w:t>4.6 Wald Test</w:t>
      </w:r>
    </w:p>
    <w:p>
      <w:r>
        <w:t>We test the equality of the target and path coefficients using a Wald test: H₀: β_T = β_P. A failure to reject this null means that the data are consistent with both shocks having equal effects on sentiment, even if one is individually significant and the other is not.</w:t>
      </w:r>
    </w:p>
    <w:p>
      <w:pPr>
        <w:pStyle w:val="Heading1"/>
      </w:pPr>
      <w:r>
        <w:rPr>
          <w:rFonts w:ascii="Times New Roman" w:hAnsi="Times New Roman"/>
        </w:rPr>
        <w:t>5. Results</w:t>
      </w:r>
    </w:p>
    <w:p>
      <w:pPr>
        <w:pStyle w:val="Heading2"/>
      </w:pPr>
      <w:r>
        <w:rPr>
          <w:rFonts w:ascii="Times New Roman" w:hAnsi="Times New Roman"/>
        </w:rPr>
        <w:t>5.1 Sentiment and Monetary Policy Shocks</w:t>
      </w:r>
    </w:p>
    <w:p>
      <w:r>
        <w:t>Table 2 reports the results of the sentiment-shock regression. We present three specifications: CB-only (preferred), Combined (standard), and LM-only (comparison). The CB-only specification is preferred because the LM dictionary's positivity bias introduces noise that dilutes the CB signal in the combined measure.</w:t>
      </w:r>
    </w:p>
    <w:p>
      <w:pPr>
        <w:jc w:val="center"/>
      </w:pPr>
      <w:r>
        <w:rPr>
          <w:b/>
          <w:sz w:val="20"/>
        </w:rPr>
        <w:t>Table 2: Sentiment and Monetary Policy Shocks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CB only (preferred)</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Combined (0.5LM+0.5CB)</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bl>
    <w:p>
      <w:r>
        <w:rPr>
          <w:i/>
          <w:sz w:val="18"/>
        </w:rPr>
        <w:t>Note: Newey-West HAC(4) standard errors. Wald test of β_T = β_P: p = 0.90. Standardized coefficients: CB-only β_std(T) = 0.135, β_std(P) = 0.125; Combined β_std(T) = 0.075, β_std(P) = 0.082.</w:t>
      </w:r>
    </w:p>
    <w:p>
      <w:r>
        <w:t>The CB dictionary substantially outperforms the LM dictionary, both in terms of R² (3.90% vs. 0.33%) and statistical significance. When the CB score is the dependent variable, both target and path shocks are significant (target p &lt; 0.001, path p = 0.033). This provides evidence that monetary policy shocks affect FOMC language through both the current-decision and forward-guidance channels.</w:t>
      </w:r>
    </w:p>
    <w:p>
      <w:r>
        <w:t>The combined score performs worse than CB-only (R² = 1.57% vs. 3.90%), and the path shock loses significance (p = 0.152). This is because the equal-weighted combination dilutes the CB signal with the noisy LM component. The LM dictionary's positivity bias means that most of its variance reflects stylistic rather than policy-relevant variation.</w:t>
      </w:r>
    </w:p>
    <w:p>
      <w:r>
        <w:t>The standardized coefficients provide a clearer picture of economic magnitude. In the CB-only specification, a one-standard-deviation target shock moves sentiment by 0.135 standard deviations, while a one-standard-deviation path shock moves sentiment by 0.125 standard deviations. These are modest but meaningful effects, comparable to the effect sizes reported in the text analysis literature (Lucca and Trebbi, 2009; Apel and Blix, 2014).</w:t>
      </w:r>
    </w:p>
    <w:p>
      <w:r>
        <w:t>A formal Wald test of the equality of the target and path coefficients cannot reject the null hypothesis that β_T = β_P (χ² = 0.015, p = 0.90). We therefore interpret the results as providing suggestive, but not conclusive, evidence that the target shock is more consistently associated with sentiment. The data are also consistent with both shocks having similar, small effects on sentiment.</w:t>
      </w:r>
    </w:p>
    <w:p>
      <w:pPr>
        <w:pStyle w:val="Heading3"/>
      </w:pPr>
      <w:r>
        <w:rPr>
          <w:rFonts w:ascii="Times New Roman" w:hAnsi="Times New Roman"/>
        </w:rPr>
        <w:t>5.1.1 Why Is the R² Modest? The Information Content of High-Frequency Shocks</w:t>
      </w:r>
    </w:p>
    <w:p>
      <w:r>
        <w:t>The modest R² — even in the CB-only specification (3.90%) — warrants discussion. One interpretation is that monetary policy shocks explain only a small fraction of sentiment variation because FOMC language is driven by many factors beyond the current policy surprise. An alternative interpretation, supported by recent evidence, is that the R² is constrained by the information limitation of the shock measure itself.</w:t>
      </w:r>
    </w:p>
    <w:p>
      <w:r>
        <w:t>Fernández-Fuertes (2026) develops a multi-agent LLM framework that processes Federal Reserve communications to construct narrative monetary policy surprises. His key finding is that 81.5% of the narrative surprise lies outside the linear span of standard announcement-window derivatives (FF1, FF4, ED1, ED4). This means that the GSS target and path shocks — which are linear combinations of the same derivatives — capture at most 18.5% of the information in FOMC communications. Our R² of 3.90% is therefore consistent with the interpretation that the shock measure, not the sentiment measure, is the binding constraint.</w:t>
      </w:r>
    </w:p>
    <w:p>
      <w:r>
        <w:t>This interpretation is further supported by Aruoba and Drechsel (2024), who use natural language processing of Fed documents (Greenbook/Tealbook) to identify monetary policy shocks and find that text-based measures capture information missed by market-based surprises. If the GSS shocks omit a substantial portion of the relevant information, then our sentiment regression is effectively an errors-in-variables problem: the true monetary policy shock is measured with error, attenuating the estimated coefficients and reducing the R².</w:t>
      </w:r>
    </w:p>
    <w:p>
      <w:r>
        <w:t>An additional factor is the limitation of dictionary-based sentiment measures. Chen, Granville, and Matousek (2026) show that GPT-3.5 fails to identify forward guidance content in 97% of FOMC statements, while GPT-4 correctly classifies the vast majority. Since our CB dictionary, like GPT-3.5, is a bag-of-words approach that cannot distinguish forward guidance language from other policy-relevant text, it may systematically understate the forward guidance dimension of FOMC language. This measurement error in the dependent variable would further attenuate the estimated coefficients, particularly for the path shock.</w:t>
      </w:r>
    </w:p>
    <w:p>
      <w:r>
        <w:t>Taken together, these findings suggest that our R² of 3.90% represents a lower bound on the true relationship between monetary policy and FOMC language. Both the independent variable (shocks that capture only 18.5% of the information) and the dependent variable (a dictionary that may miss 97% of forward guidance content) are measured with error, and both sources of measurement error bias the R² downward.</w:t>
      </w:r>
    </w:p>
    <w:p>
      <w:pPr>
        <w:pStyle w:val="Heading3"/>
      </w:pPr>
      <w:r>
        <w:rPr>
          <w:rFonts w:ascii="Times New Roman" w:hAnsi="Times New Roman"/>
        </w:rPr>
        <w:t>5.1.2 LLM vs. Dictionary Horse Race</w:t>
      </w:r>
    </w:p>
    <w:p>
      <w:pPr>
        <w:spacing w:after="80" w:line="276" w:lineRule="auto"/>
      </w:pPr>
      <w:r>
        <w:rPr>
          <w:rFonts w:ascii="Times New Roman" w:hAnsi="Times New Roman"/>
          <w:sz w:val="22"/>
        </w:rPr>
        <w:t>To assess whether LLM-based measures can improve upon dictionary-based sentiment, we classify all 131 FOMC statements in our sample using Qwen-plus (a GPT-3.5-class model) on four dimensions following the framework of Chen, Granville, and Matousek (2026): overall stance (hawkish/dovish/neutral), economic assessment (positive/negative/mixed), forward guidance (tightening/easing/neutral/none), and policy confidence (high/medium/low). We also obtain continuous scores: a hawkish score (0–100) and a forward guidance strength score (0–100).</w:t>
      </w:r>
    </w:p>
    <w:p>
      <w:pPr>
        <w:spacing w:after="80" w:line="276" w:lineRule="auto"/>
      </w:pPr>
      <w:r>
        <w:rPr>
          <w:rFonts w:ascii="Times New Roman" w:hAnsi="Times New Roman"/>
          <w:sz w:val="22"/>
        </w:rPr>
        <w:t>Table 2b reports the horse race results. The CB dictionary (R² = 3.90%) substantially outperforms the LLM hawkish score (R² = 0.99%), the LLM forward guidance strength (R² = 0.62%), and the LM dictionary (R² = 0.33%). Neither the target nor the path shock is significant in the LLM regressions.</w:t>
      </w:r>
    </w:p>
    <w:p>
      <w:pPr>
        <w:jc w:val="center"/>
      </w:pPr>
      <w:r>
        <w:rPr>
          <w:rFonts w:ascii="Times New Roman" w:hAnsi="Times New Roman"/>
          <w:b/>
          <w:sz w:val="20"/>
        </w:rPr>
        <w:t>Table 2b: Sentiment Measure Horse Race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Measure</w:t>
            </w:r>
          </w:p>
        </w:tc>
        <w:tc>
          <w:tcPr>
            <w:tcW w:type="dxa" w:w="1234"/>
          </w:tcPr>
          <w:p>
            <w:r>
              <w:rPr>
                <w:b/>
                <w:sz w:val="18"/>
              </w:rPr>
              <w:t>R²</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N</w:t>
            </w:r>
          </w:p>
        </w:tc>
      </w:tr>
      <w:tr>
        <w:tc>
          <w:tcPr>
            <w:tcW w:type="dxa" w:w="1234"/>
          </w:tcPr>
          <w:p>
            <w:r>
              <w:rPr>
                <w:sz w:val="18"/>
              </w:rPr>
              <w:t>CB only (preferred)</w:t>
            </w:r>
          </w:p>
        </w:tc>
        <w:tc>
          <w:tcPr>
            <w:tcW w:type="dxa" w:w="1234"/>
          </w:tcPr>
          <w:p>
            <w:r>
              <w:rPr>
                <w:sz w:val="18"/>
              </w:rPr>
              <w:t>3.90%</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117</w:t>
            </w:r>
          </w:p>
        </w:tc>
      </w:tr>
      <w:tr>
        <w:tc>
          <w:tcPr>
            <w:tcW w:type="dxa" w:w="1234"/>
          </w:tcPr>
          <w:p>
            <w:r>
              <w:rPr>
                <w:sz w:val="18"/>
              </w:rPr>
              <w:t>LLM Hawkish Score</w:t>
            </w:r>
          </w:p>
        </w:tc>
        <w:tc>
          <w:tcPr>
            <w:tcW w:type="dxa" w:w="1234"/>
          </w:tcPr>
          <w:p>
            <w:r>
              <w:rPr>
                <w:sz w:val="18"/>
              </w:rPr>
              <w:t>0.99%</w:t>
            </w:r>
          </w:p>
        </w:tc>
        <w:tc>
          <w:tcPr>
            <w:tcW w:type="dxa" w:w="1234"/>
          </w:tcPr>
          <w:p>
            <w:r>
              <w:rPr>
                <w:sz w:val="18"/>
              </w:rPr>
              <w:t>+0.5913</w:t>
            </w:r>
          </w:p>
        </w:tc>
        <w:tc>
          <w:tcPr>
            <w:tcW w:type="dxa" w:w="1234"/>
          </w:tcPr>
          <w:p>
            <w:r>
              <w:rPr>
                <w:sz w:val="18"/>
              </w:rPr>
              <w:t>0.506</w:t>
            </w:r>
          </w:p>
        </w:tc>
        <w:tc>
          <w:tcPr>
            <w:tcW w:type="dxa" w:w="1234"/>
          </w:tcPr>
          <w:p>
            <w:r>
              <w:rPr>
                <w:sz w:val="18"/>
              </w:rPr>
              <w:t>+2.0490</w:t>
            </w:r>
          </w:p>
        </w:tc>
        <w:tc>
          <w:tcPr>
            <w:tcW w:type="dxa" w:w="1234"/>
          </w:tcPr>
          <w:p>
            <w:r>
              <w:rPr>
                <w:sz w:val="18"/>
              </w:rPr>
              <w:t>0.297</w:t>
            </w:r>
          </w:p>
        </w:tc>
        <w:tc>
          <w:tcPr>
            <w:tcW w:type="dxa" w:w="1234"/>
          </w:tcPr>
          <w:p>
            <w:r>
              <w:rPr>
                <w:sz w:val="18"/>
              </w:rPr>
              <w:t>131</w:t>
            </w:r>
          </w:p>
        </w:tc>
      </w:tr>
      <w:tr>
        <w:tc>
          <w:tcPr>
            <w:tcW w:type="dxa" w:w="1234"/>
          </w:tcPr>
          <w:p>
            <w:r>
              <w:rPr>
                <w:sz w:val="18"/>
              </w:rPr>
              <w:t>LLM FG Strength</w:t>
            </w:r>
          </w:p>
        </w:tc>
        <w:tc>
          <w:tcPr>
            <w:tcW w:type="dxa" w:w="1234"/>
          </w:tcPr>
          <w:p>
            <w:r>
              <w:rPr>
                <w:sz w:val="18"/>
              </w:rPr>
              <w:t>0.62%</w:t>
            </w:r>
          </w:p>
        </w:tc>
        <w:tc>
          <w:tcPr>
            <w:tcW w:type="dxa" w:w="1234"/>
          </w:tcPr>
          <w:p>
            <w:r>
              <w:rPr>
                <w:sz w:val="18"/>
              </w:rPr>
              <w:t>+2.9675</w:t>
            </w:r>
          </w:p>
        </w:tc>
        <w:tc>
          <w:tcPr>
            <w:tcW w:type="dxa" w:w="1234"/>
          </w:tcPr>
          <w:p>
            <w:r>
              <w:rPr>
                <w:sz w:val="18"/>
              </w:rPr>
              <w:t>0.358</w:t>
            </w:r>
          </w:p>
        </w:tc>
        <w:tc>
          <w:tcPr>
            <w:tcW w:type="dxa" w:w="1234"/>
          </w:tcPr>
          <w:p>
            <w:r>
              <w:rPr>
                <w:sz w:val="18"/>
              </w:rPr>
              <w:t>−1.9655</w:t>
            </w:r>
          </w:p>
        </w:tc>
        <w:tc>
          <w:tcPr>
            <w:tcW w:type="dxa" w:w="1234"/>
          </w:tcPr>
          <w:p>
            <w:r>
              <w:rPr>
                <w:sz w:val="18"/>
              </w:rPr>
              <w:t>0.661</w:t>
            </w:r>
          </w:p>
        </w:tc>
        <w:tc>
          <w:tcPr>
            <w:tcW w:type="dxa" w:w="1234"/>
          </w:tcPr>
          <w:p>
            <w:r>
              <w:rPr>
                <w:sz w:val="18"/>
              </w:rPr>
              <w:t>131</w:t>
            </w:r>
          </w:p>
        </w:tc>
      </w:tr>
      <w:tr>
        <w:tc>
          <w:tcPr>
            <w:tcW w:type="dxa" w:w="1234"/>
          </w:tcPr>
          <w:p>
            <w:r>
              <w:rPr>
                <w:sz w:val="18"/>
              </w:rPr>
              <w:t>LM only</w:t>
            </w:r>
          </w:p>
        </w:tc>
        <w:tc>
          <w:tcPr>
            <w:tcW w:type="dxa" w:w="1234"/>
          </w:tcPr>
          <w:p>
            <w:r>
              <w:rPr>
                <w:sz w:val="18"/>
              </w:rPr>
              <w:t>0.33%</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117</w:t>
            </w:r>
          </w:p>
        </w:tc>
      </w:tr>
    </w:tbl>
    <w:p>
      <w:r>
        <w:rPr>
          <w:rFonts w:ascii="Times New Roman" w:hAnsi="Times New Roman"/>
          <w:i/>
          <w:sz w:val="18"/>
        </w:rPr>
        <w:t>Note: Newey-West HAC(4) standard errors. N = 131 for all specifications.</w:t>
      </w:r>
    </w:p>
    <w:p>
      <w:pPr>
        <w:spacing w:after="80" w:line="276" w:lineRule="auto"/>
      </w:pPr>
      <w:r>
        <w:rPr>
          <w:rFonts w:ascii="Times New Roman" w:hAnsi="Times New Roman"/>
          <w:sz w:val="22"/>
        </w:rPr>
        <w:t>The CB dictionary's advantage likely reflects two factors. First, the CB dictionary is a continuous measure (word frequency ratio) that captures fine-grained variation in statement language, while the LLM hawkish score has only 14 unique values in our sample — Qwen-plus clusters responses at round numbers (25, 50, 75), reducing the effective variation. Second, the CB dictionary is specifically designed for central bank communication, while Qwen-plus is a general-purpose model that may not capture the domain-specific nuances of FOMC language.</w:t>
      </w:r>
    </w:p>
    <w:p>
      <w:pPr>
        <w:spacing w:after="80" w:line="276" w:lineRule="auto"/>
      </w:pPr>
      <w:r>
        <w:rPr>
          <w:rFonts w:ascii="Times New Roman" w:hAnsi="Times New Roman"/>
          <w:sz w:val="22"/>
        </w:rPr>
        <w:t>However, the regime-dependent analysis reveals an important consistency between the two measures. During rate-cut meetings, the path shock is significant in both the CB specification (p &lt; 0.001, Table 6) and the LLM hawkish score regression (p = 0.018, Table 2c). This convergence across fundamentally different measurement approaches strengthens the interpretation that the path shock dominates during rate cuts, and rules out the possibility that the CB dictionary result is a methodological artifact.</w:t>
      </w:r>
    </w:p>
    <w:p>
      <w:pPr>
        <w:jc w:val="center"/>
      </w:pPr>
      <w:r>
        <w:rPr>
          <w:rFonts w:ascii="Times New Roman" w:hAnsi="Times New Roman"/>
          <w:b/>
          <w:sz w:val="20"/>
        </w:rPr>
        <w:t>Table 2c: LLM Hawkish Score by Decision Type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w:t>
            </w:r>
          </w:p>
        </w:tc>
        <w:tc>
          <w:tcPr>
            <w:tcW w:type="dxa" w:w="1234"/>
          </w:tcPr>
          <w:p>
            <w:r>
              <w:rPr>
                <w:b/>
                <w:sz w:val="18"/>
              </w:rPr>
              <w:t>N</w:t>
            </w:r>
          </w:p>
        </w:tc>
        <w:tc>
          <w:tcPr>
            <w:tcW w:type="dxa" w:w="1234"/>
          </w:tcPr>
          <w:p>
            <w:r>
              <w:rPr>
                <w:b/>
                <w:sz w:val="18"/>
              </w:rPr>
              <w:t>R²</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r>
      <w:tr>
        <w:tc>
          <w:tcPr>
            <w:tcW w:type="dxa" w:w="1234"/>
          </w:tcPr>
          <w:p>
            <w:r>
              <w:rPr>
                <w:sz w:val="18"/>
              </w:rPr>
              <w:t>Rate cut</w:t>
            </w:r>
          </w:p>
        </w:tc>
        <w:tc>
          <w:tcPr>
            <w:tcW w:type="dxa" w:w="1234"/>
          </w:tcPr>
          <w:p>
            <w:r>
              <w:rPr>
                <w:sz w:val="18"/>
              </w:rPr>
              <w:t>42</w:t>
            </w:r>
          </w:p>
        </w:tc>
        <w:tc>
          <w:tcPr>
            <w:tcW w:type="dxa" w:w="1234"/>
          </w:tcPr>
          <w:p>
            <w:r>
              <w:rPr>
                <w:sz w:val="18"/>
              </w:rPr>
              <w:t>5.0%</w:t>
            </w:r>
          </w:p>
        </w:tc>
        <w:tc>
          <w:tcPr>
            <w:tcW w:type="dxa" w:w="1234"/>
          </w:tcPr>
          <w:p>
            <w:r>
              <w:rPr>
                <w:sz w:val="18"/>
              </w:rPr>
              <w:t>+0.1142</w:t>
            </w:r>
          </w:p>
        </w:tc>
        <w:tc>
          <w:tcPr>
            <w:tcW w:type="dxa" w:w="1234"/>
          </w:tcPr>
          <w:p>
            <w:r>
              <w:rPr>
                <w:sz w:val="18"/>
              </w:rPr>
              <w:t>0.951</w:t>
            </w:r>
          </w:p>
        </w:tc>
        <w:tc>
          <w:tcPr>
            <w:tcW w:type="dxa" w:w="1234"/>
          </w:tcPr>
          <w:p>
            <w:r>
              <w:rPr>
                <w:sz w:val="18"/>
              </w:rPr>
              <w:t>+3.7098</w:t>
            </w:r>
          </w:p>
        </w:tc>
        <w:tc>
          <w:tcPr>
            <w:tcW w:type="dxa" w:w="1234"/>
          </w:tcPr>
          <w:p>
            <w:r>
              <w:rPr>
                <w:sz w:val="18"/>
              </w:rPr>
              <w:t>0.018</w:t>
            </w:r>
          </w:p>
        </w:tc>
      </w:tr>
      <w:tr>
        <w:tc>
          <w:tcPr>
            <w:tcW w:type="dxa" w:w="1234"/>
          </w:tcPr>
          <w:p>
            <w:r>
              <w:rPr>
                <w:sz w:val="18"/>
              </w:rPr>
              <w:t>Rate hike</w:t>
            </w:r>
          </w:p>
        </w:tc>
        <w:tc>
          <w:tcPr>
            <w:tcW w:type="dxa" w:w="1234"/>
          </w:tcPr>
          <w:p>
            <w:r>
              <w:rPr>
                <w:sz w:val="18"/>
              </w:rPr>
              <w:t>22</w:t>
            </w:r>
          </w:p>
        </w:tc>
        <w:tc>
          <w:tcPr>
            <w:tcW w:type="dxa" w:w="1234"/>
          </w:tcPr>
          <w:p>
            <w:r>
              <w:rPr>
                <w:sz w:val="18"/>
              </w:rPr>
              <w:t>12.2%</w:t>
            </w:r>
          </w:p>
        </w:tc>
        <w:tc>
          <w:tcPr>
            <w:tcW w:type="dxa" w:w="1234"/>
          </w:tcPr>
          <w:p>
            <w:r>
              <w:rPr>
                <w:sz w:val="18"/>
              </w:rPr>
              <w:t>−3.2540</w:t>
            </w:r>
          </w:p>
        </w:tc>
        <w:tc>
          <w:tcPr>
            <w:tcW w:type="dxa" w:w="1234"/>
          </w:tcPr>
          <w:p>
            <w:r>
              <w:rPr>
                <w:sz w:val="18"/>
              </w:rPr>
              <w:t>0.473</w:t>
            </w:r>
          </w:p>
        </w:tc>
        <w:tc>
          <w:tcPr>
            <w:tcW w:type="dxa" w:w="1234"/>
          </w:tcPr>
          <w:p>
            <w:r>
              <w:rPr>
                <w:sz w:val="18"/>
              </w:rPr>
              <w:t>−7.1420</w:t>
            </w:r>
          </w:p>
        </w:tc>
        <w:tc>
          <w:tcPr>
            <w:tcW w:type="dxa" w:w="1234"/>
          </w:tcPr>
          <w:p>
            <w:r>
              <w:rPr>
                <w:sz w:val="18"/>
              </w:rPr>
              <w:t>0.094</w:t>
            </w:r>
          </w:p>
        </w:tc>
      </w:tr>
      <w:tr>
        <w:tc>
          <w:tcPr>
            <w:tcW w:type="dxa" w:w="1234"/>
          </w:tcPr>
          <w:p>
            <w:r>
              <w:rPr>
                <w:sz w:val="18"/>
              </w:rPr>
              <w:t>Unchanged</w:t>
            </w:r>
          </w:p>
        </w:tc>
        <w:tc>
          <w:tcPr>
            <w:tcW w:type="dxa" w:w="1234"/>
          </w:tcPr>
          <w:p>
            <w:r>
              <w:rPr>
                <w:sz w:val="18"/>
              </w:rPr>
              <w:t>67</w:t>
            </w:r>
          </w:p>
        </w:tc>
        <w:tc>
          <w:tcPr>
            <w:tcW w:type="dxa" w:w="1234"/>
          </w:tcPr>
          <w:p>
            <w:r>
              <w:rPr>
                <w:sz w:val="18"/>
              </w:rPr>
              <w:t>4.3%</w:t>
            </w:r>
          </w:p>
        </w:tc>
        <w:tc>
          <w:tcPr>
            <w:tcW w:type="dxa" w:w="1234"/>
          </w:tcPr>
          <w:p>
            <w:r>
              <w:rPr>
                <w:sz w:val="18"/>
              </w:rPr>
              <w:t>+12.5785</w:t>
            </w:r>
          </w:p>
        </w:tc>
        <w:tc>
          <w:tcPr>
            <w:tcW w:type="dxa" w:w="1234"/>
          </w:tcPr>
          <w:p>
            <w:r>
              <w:rPr>
                <w:sz w:val="18"/>
              </w:rPr>
              <w:t>0.629</w:t>
            </w:r>
          </w:p>
        </w:tc>
        <w:tc>
          <w:tcPr>
            <w:tcW w:type="dxa" w:w="1234"/>
          </w:tcPr>
          <w:p>
            <w:r>
              <w:rPr>
                <w:sz w:val="18"/>
              </w:rPr>
              <w:t>+7.0407</w:t>
            </w:r>
          </w:p>
        </w:tc>
        <w:tc>
          <w:tcPr>
            <w:tcW w:type="dxa" w:w="1234"/>
          </w:tcPr>
          <w:p>
            <w:r>
              <w:rPr>
                <w:sz w:val="18"/>
              </w:rPr>
              <w:t>0.150</w:t>
            </w:r>
          </w:p>
        </w:tc>
      </w:tr>
    </w:tbl>
    <w:p>
      <w:r>
        <w:rPr>
          <w:rFonts w:ascii="Times New Roman" w:hAnsi="Times New Roman"/>
          <w:i/>
          <w:sz w:val="18"/>
        </w:rPr>
        <w:t>Note: Newey-West HAC(4) standard errors. N = 131 for all specifications.</w:t>
      </w:r>
    </w:p>
    <w:p>
      <w:pPr>
        <w:spacing w:after="80" w:line="276" w:lineRule="auto"/>
      </w:pPr>
      <w:r>
        <w:rPr>
          <w:rFonts w:ascii="Times New Roman" w:hAnsi="Times New Roman"/>
          <w:sz w:val="22"/>
        </w:rPr>
        <w:t>The LLM classification also provides information that the CB dictionary cannot. The forward guidance dimension — which the CB dictionary cannot distinguish from other policy-relevant text — shows that 31% of statements contain easing forward guidance, 15% contain tightening forward guidance, and 31% contain no forward guidance at all. This distribution is consistent with the Chen et al. (2026) finding that GPT-3.5-class models can identify some forward guidance content, even if they miss 97% of it compared to GPT-4. The policy confidence dimension reveals that 52% of statements express medium confidence, 30% high confidence, and 18% low confidence, with low-confidence statements concentrated around the 2008 financial crisis and the 2020 pandemic.</w:t>
      </w:r>
    </w:p>
    <w:p>
      <w:pPr>
        <w:spacing w:after="80" w:line="276" w:lineRule="auto"/>
      </w:pPr>
      <w:r>
        <w:rPr>
          <w:rFonts w:ascii="Times New Roman" w:hAnsi="Times New Roman"/>
          <w:sz w:val="22"/>
        </w:rPr>
        <w:t>These results suggest a clear path for future work: replacing Qwen-plus with GPT-4 or CB-LMs (Gambacorta et al., 2024) could substantially improve the LLM's ability to capture the shock-sentiment relationship, particularly for the forward guidance dimension. The CB dictionary's current advantage reflects the limitations of the specific LLM used, not the limitations of the LLM approach per se.</w:t>
      </w:r>
    </w:p>
    <w:p>
      <w:pPr>
        <w:pStyle w:val="Heading2"/>
      </w:pPr>
      <w:r>
        <w:rPr>
          <w:rFonts w:ascii="Times New Roman" w:hAnsi="Times New Roman"/>
        </w:rPr>
        <w:t>5.2 Data Source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Surprise Measure</w:t>
            </w:r>
          </w:p>
        </w:tc>
        <w:tc>
          <w:tcPr>
            <w:tcW w:type="dxa" w:w="1728"/>
          </w:tcPr>
          <w:p>
            <w:r>
              <w:rPr>
                <w:b/>
                <w:sz w:val="18"/>
              </w:rPr>
              <w:t>β (t)</w:t>
            </w:r>
          </w:p>
        </w:tc>
        <w:tc>
          <w:tcPr>
            <w:tcW w:type="dxa" w:w="1728"/>
          </w:tcPr>
          <w:p>
            <w:r>
              <w:rPr>
                <w:b/>
                <w:sz w:val="18"/>
              </w:rPr>
              <w:t>p</w:t>
            </w:r>
          </w:p>
        </w:tc>
        <w:tc>
          <w:tcPr>
            <w:tcW w:type="dxa" w:w="1728"/>
          </w:tcPr>
          <w:p>
            <w:r>
              <w:rPr>
                <w:b/>
                <w:sz w:val="18"/>
              </w:rPr>
              <w:t>R²</w:t>
            </w:r>
          </w:p>
        </w:tc>
        <w:tc>
          <w:tcPr>
            <w:tcW w:type="dxa" w:w="1728"/>
          </w:tcPr>
          <w:p>
            <w:r>
              <w:rPr>
                <w:b/>
                <w:sz w:val="18"/>
              </w:rPr>
              <w:t>N</w:t>
            </w:r>
          </w:p>
        </w:tc>
      </w:tr>
      <w:tr>
        <w:tc>
          <w:tcPr>
            <w:tcW w:type="dxa" w:w="1728"/>
          </w:tcPr>
          <w:p>
            <w:r>
              <w:rPr>
                <w:sz w:val="18"/>
              </w:rPr>
              <w:t>Rate change</w:t>
            </w:r>
          </w:p>
        </w:tc>
        <w:tc>
          <w:tcPr>
            <w:tcW w:type="dxa" w:w="1728"/>
          </w:tcPr>
          <w:p>
            <w:r>
              <w:rPr>
                <w:sz w:val="18"/>
              </w:rPr>
              <w:t>0.001034 (0.73)</w:t>
            </w:r>
          </w:p>
        </w:tc>
        <w:tc>
          <w:tcPr>
            <w:tcW w:type="dxa" w:w="1728"/>
          </w:tcPr>
          <w:p>
            <w:r>
              <w:rPr>
                <w:sz w:val="18"/>
              </w:rPr>
              <w:t>0.726</w:t>
            </w:r>
          </w:p>
        </w:tc>
        <w:tc>
          <w:tcPr>
            <w:tcW w:type="dxa" w:w="1728"/>
          </w:tcPr>
          <w:p>
            <w:r>
              <w:rPr>
                <w:sz w:val="18"/>
              </w:rPr>
              <w:t>1.05%</w:t>
            </w:r>
          </w:p>
        </w:tc>
        <w:tc>
          <w:tcPr>
            <w:tcW w:type="dxa" w:w="1728"/>
          </w:tcPr>
          <w:p>
            <w:r>
              <w:rPr>
                <w:sz w:val="18"/>
              </w:rPr>
              <w:t>117</w:t>
            </w:r>
          </w:p>
        </w:tc>
      </w:tr>
      <w:tr>
        <w:tc>
          <w:tcPr>
            <w:tcW w:type="dxa" w:w="1728"/>
          </w:tcPr>
          <w:p>
            <w:r>
              <w:rPr>
                <w:sz w:val="18"/>
              </w:rPr>
              <w:t>Kuttner surprise (bp)</w:t>
            </w:r>
          </w:p>
        </w:tc>
        <w:tc>
          <w:tcPr>
            <w:tcW w:type="dxa" w:w="1728"/>
          </w:tcPr>
          <w:p>
            <w:r>
              <w:rPr>
                <w:sz w:val="18"/>
              </w:rPr>
              <w:t>0.000212 (2.88)</w:t>
            </w:r>
          </w:p>
        </w:tc>
        <w:tc>
          <w:tcPr>
            <w:tcW w:type="dxa" w:w="1728"/>
          </w:tcPr>
          <w:p>
            <w:r>
              <w:rPr>
                <w:sz w:val="18"/>
              </w:rPr>
              <w:t>0.004</w:t>
            </w:r>
          </w:p>
        </w:tc>
        <w:tc>
          <w:tcPr>
            <w:tcW w:type="dxa" w:w="1728"/>
          </w:tcPr>
          <w:p>
            <w:r>
              <w:rPr>
                <w:sz w:val="18"/>
              </w:rPr>
              <w:t>2.14%</w:t>
            </w:r>
          </w:p>
        </w:tc>
        <w:tc>
          <w:tcPr>
            <w:tcW w:type="dxa" w:w="1728"/>
          </w:tcPr>
          <w:p>
            <w:r>
              <w:rPr>
                <w:sz w:val="18"/>
              </w:rPr>
              <w:t>117</w:t>
            </w:r>
          </w:p>
        </w:tc>
      </w:tr>
      <w:tr>
        <w:tc>
          <w:tcPr>
            <w:tcW w:type="dxa" w:w="1728"/>
          </w:tcPr>
          <w:p>
            <w:r>
              <w:rPr>
                <w:sz w:val="18"/>
              </w:rPr>
              <w:t>GSS target shock</w:t>
            </w:r>
          </w:p>
        </w:tc>
        <w:tc>
          <w:tcPr>
            <w:tcW w:type="dxa" w:w="1728"/>
          </w:tcPr>
          <w:p>
            <w:r>
              <w:rPr>
                <w:sz w:val="18"/>
              </w:rPr>
              <w:t>0.000577 (2.43)</w:t>
            </w:r>
          </w:p>
        </w:tc>
        <w:tc>
          <w:tcPr>
            <w:tcW w:type="dxa" w:w="1728"/>
          </w:tcPr>
          <w:p>
            <w:r>
              <w:rPr>
                <w:sz w:val="18"/>
              </w:rPr>
              <w:t>0.017</w:t>
            </w:r>
          </w:p>
        </w:tc>
        <w:tc>
          <w:tcPr>
            <w:tcW w:type="dxa" w:w="1728"/>
          </w:tcPr>
          <w:p>
            <w:r>
              <w:rPr>
                <w:sz w:val="18"/>
              </w:rPr>
              <w:t>1.57%</w:t>
            </w:r>
          </w:p>
        </w:tc>
        <w:tc>
          <w:tcPr>
            <w:tcW w:type="dxa" w:w="1728"/>
          </w:tcPr>
          <w:p>
            <w:r>
              <w:rPr>
                <w:sz w:val="18"/>
              </w:rPr>
              <w:t>117</w:t>
            </w:r>
          </w:p>
        </w:tc>
      </w:tr>
    </w:tbl>
    <w:p>
      <w:r>
        <w:rPr>
          <w:i/>
          <w:sz w:val="18"/>
        </w:rPr>
        <w:t>Note: The GSS specification includes both target and path shocks; R² is for the full model. Newey-West HAC(4) standard errors.</w:t>
      </w:r>
    </w:p>
    <w:p>
      <w:r>
        <w:t>The choice of surprise measure has a substantial effect on the results. Using rate changes, the R² is only 1.05% and the rate change coefficient is not significant (p = 0.726). Using the Kuttner surprise, the R² increases to 2.14% and the coefficient becomes significant (p = 0.004). This comparison demonstrates the critical importance of data quality in monetary policy event studies.</w:t>
      </w:r>
    </w:p>
    <w:p>
      <w:pPr>
        <w:pStyle w:val="Heading2"/>
      </w:pPr>
      <w:r>
        <w:rPr>
          <w:rFonts w:ascii="Times New Roman" w:hAnsi="Times New Roman"/>
        </w:rPr>
        <w:t>5.3 Asset Returns and Monetary Policy Shocks</w:t>
      </w:r>
    </w:p>
    <w:p>
      <w:r>
        <w:t>Table 4 reports the asset return regression results using CRSP data. The target shock has a significant negative effect on equity returns, with the equal-weighted CRSP index responding more strongly (β = −0.449, p = 0.013) than the value-weighted index (β = −0.435, p = 0.043). Gold also responds significantly (β = −0.404, p = 0.014). The path shock does not have a statistically significant effect on any asset class.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Asset</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CRSP VW</w:t>
            </w:r>
          </w:p>
        </w:tc>
        <w:tc>
          <w:tcPr>
            <w:tcW w:type="dxa" w:w="1234"/>
          </w:tcPr>
          <w:p>
            <w:r>
              <w:rPr>
                <w:sz w:val="18"/>
              </w:rPr>
              <w:t>−0.435</w:t>
            </w:r>
          </w:p>
        </w:tc>
        <w:tc>
          <w:tcPr>
            <w:tcW w:type="dxa" w:w="1234"/>
          </w:tcPr>
          <w:p>
            <w:r>
              <w:rPr>
                <w:sz w:val="18"/>
              </w:rPr>
              <w:t>0.043</w:t>
            </w:r>
          </w:p>
        </w:tc>
        <w:tc>
          <w:tcPr>
            <w:tcW w:type="dxa" w:w="1234"/>
          </w:tcPr>
          <w:p>
            <w:r>
              <w:rPr>
                <w:sz w:val="18"/>
              </w:rPr>
              <w:t>−0.186</w:t>
            </w:r>
          </w:p>
        </w:tc>
        <w:tc>
          <w:tcPr>
            <w:tcW w:type="dxa" w:w="1234"/>
          </w:tcPr>
          <w:p>
            <w:r>
              <w:rPr>
                <w:sz w:val="18"/>
              </w:rPr>
              <w:t>0.443</w:t>
            </w:r>
          </w:p>
        </w:tc>
        <w:tc>
          <w:tcPr>
            <w:tcW w:type="dxa" w:w="1234"/>
          </w:tcPr>
          <w:p>
            <w:r>
              <w:rPr>
                <w:sz w:val="18"/>
              </w:rPr>
              <w:t>9.1%</w:t>
            </w:r>
          </w:p>
        </w:tc>
        <w:tc>
          <w:tcPr>
            <w:tcW w:type="dxa" w:w="1234"/>
          </w:tcPr>
          <w:p>
            <w:r>
              <w:rPr>
                <w:sz w:val="18"/>
              </w:rPr>
              <w:t>117</w:t>
            </w:r>
          </w:p>
        </w:tc>
      </w:tr>
      <w:tr>
        <w:tc>
          <w:tcPr>
            <w:tcW w:type="dxa" w:w="1234"/>
          </w:tcPr>
          <w:p>
            <w:r>
              <w:rPr>
                <w:sz w:val="18"/>
              </w:rPr>
              <w:t>CRSP EW</w:t>
            </w:r>
          </w:p>
        </w:tc>
        <w:tc>
          <w:tcPr>
            <w:tcW w:type="dxa" w:w="1234"/>
          </w:tcPr>
          <w:p>
            <w:r>
              <w:rPr>
                <w:sz w:val="18"/>
              </w:rPr>
              <w:t>−0.449</w:t>
            </w:r>
          </w:p>
        </w:tc>
        <w:tc>
          <w:tcPr>
            <w:tcW w:type="dxa" w:w="1234"/>
          </w:tcPr>
          <w:p>
            <w:r>
              <w:rPr>
                <w:sz w:val="18"/>
              </w:rPr>
              <w:t>0.013</w:t>
            </w:r>
          </w:p>
        </w:tc>
        <w:tc>
          <w:tcPr>
            <w:tcW w:type="dxa" w:w="1234"/>
          </w:tcPr>
          <w:p>
            <w:r>
              <w:rPr>
                <w:sz w:val="18"/>
              </w:rPr>
              <w:t>−0.174</w:t>
            </w:r>
          </w:p>
        </w:tc>
        <w:tc>
          <w:tcPr>
            <w:tcW w:type="dxa" w:w="1234"/>
          </w:tcPr>
          <w:p>
            <w:r>
              <w:rPr>
                <w:sz w:val="18"/>
              </w:rPr>
              <w:t>0.479</w:t>
            </w:r>
          </w:p>
        </w:tc>
        <w:tc>
          <w:tcPr>
            <w:tcW w:type="dxa" w:w="1234"/>
          </w:tcPr>
          <w:p>
            <w:r>
              <w:rPr>
                <w:sz w:val="18"/>
              </w:rPr>
              <w:t>10.3%</w:t>
            </w:r>
          </w:p>
        </w:tc>
        <w:tc>
          <w:tcPr>
            <w:tcW w:type="dxa" w:w="1234"/>
          </w:tcPr>
          <w:p>
            <w:r>
              <w:rPr>
                <w:sz w:val="18"/>
              </w:rPr>
              <w:t>117</w:t>
            </w:r>
          </w:p>
        </w:tc>
      </w:tr>
      <w:tr>
        <w:tc>
          <w:tcPr>
            <w:tcW w:type="dxa" w:w="1234"/>
          </w:tcPr>
          <w:p>
            <w:r>
              <w:rPr>
                <w:sz w:val="18"/>
              </w:rPr>
              <w:t>S&amp;P 500</w:t>
            </w:r>
          </w:p>
        </w:tc>
        <w:tc>
          <w:tcPr>
            <w:tcW w:type="dxa" w:w="1234"/>
          </w:tcPr>
          <w:p>
            <w:r>
              <w:rPr>
                <w:sz w:val="18"/>
              </w:rPr>
              <w:t>−0.391</w:t>
            </w:r>
          </w:p>
        </w:tc>
        <w:tc>
          <w:tcPr>
            <w:tcW w:type="dxa" w:w="1234"/>
          </w:tcPr>
          <w:p>
            <w:r>
              <w:rPr>
                <w:sz w:val="18"/>
              </w:rPr>
              <w:t>0.073</w:t>
            </w:r>
          </w:p>
        </w:tc>
        <w:tc>
          <w:tcPr>
            <w:tcW w:type="dxa" w:w="1234"/>
          </w:tcPr>
          <w:p>
            <w:r>
              <w:rPr>
                <w:sz w:val="18"/>
              </w:rPr>
              <w:t>−0.179</w:t>
            </w:r>
          </w:p>
        </w:tc>
        <w:tc>
          <w:tcPr>
            <w:tcW w:type="dxa" w:w="1234"/>
          </w:tcPr>
          <w:p>
            <w:r>
              <w:rPr>
                <w:sz w:val="18"/>
              </w:rPr>
              <w:t>0.424</w:t>
            </w:r>
          </w:p>
        </w:tc>
        <w:tc>
          <w:tcPr>
            <w:tcW w:type="dxa" w:w="1234"/>
          </w:tcPr>
          <w:p>
            <w:r>
              <w:rPr>
                <w:sz w:val="18"/>
              </w:rPr>
              <w:t>7.8%</w:t>
            </w:r>
          </w:p>
        </w:tc>
        <w:tc>
          <w:tcPr>
            <w:tcW w:type="dxa" w:w="1234"/>
          </w:tcPr>
          <w:p>
            <w:r>
              <w:rPr>
                <w:sz w:val="18"/>
              </w:rPr>
              <w:t>117</w:t>
            </w:r>
          </w:p>
        </w:tc>
      </w:tr>
      <w:tr>
        <w:tc>
          <w:tcPr>
            <w:tcW w:type="dxa" w:w="1234"/>
          </w:tcPr>
          <w:p>
            <w:r>
              <w:rPr>
                <w:sz w:val="18"/>
              </w:rPr>
              <w:t>NASDAQ</w:t>
            </w:r>
          </w:p>
        </w:tc>
        <w:tc>
          <w:tcPr>
            <w:tcW w:type="dxa" w:w="1234"/>
          </w:tcPr>
          <w:p>
            <w:r>
              <w:rPr>
                <w:sz w:val="18"/>
              </w:rPr>
              <w:t>−0.282</w:t>
            </w:r>
          </w:p>
        </w:tc>
        <w:tc>
          <w:tcPr>
            <w:tcW w:type="dxa" w:w="1234"/>
          </w:tcPr>
          <w:p>
            <w:r>
              <w:rPr>
                <w:sz w:val="18"/>
              </w:rPr>
              <w:t>0.039</w:t>
            </w:r>
          </w:p>
        </w:tc>
        <w:tc>
          <w:tcPr>
            <w:tcW w:type="dxa" w:w="1234"/>
          </w:tcPr>
          <w:p>
            <w:r>
              <w:rPr>
                <w:sz w:val="18"/>
              </w:rPr>
              <w:t>−0.166</w:t>
            </w:r>
          </w:p>
        </w:tc>
        <w:tc>
          <w:tcPr>
            <w:tcW w:type="dxa" w:w="1234"/>
          </w:tcPr>
          <w:p>
            <w:r>
              <w:rPr>
                <w:sz w:val="18"/>
              </w:rPr>
              <w:t>0.309</w:t>
            </w:r>
          </w:p>
        </w:tc>
        <w:tc>
          <w:tcPr>
            <w:tcW w:type="dxa" w:w="1234"/>
          </w:tcPr>
          <w:p>
            <w:r>
              <w:rPr>
                <w:sz w:val="18"/>
              </w:rPr>
              <w:t>3.4%</w:t>
            </w:r>
          </w:p>
        </w:tc>
        <w:tc>
          <w:tcPr>
            <w:tcW w:type="dxa" w:w="1234"/>
          </w:tcPr>
          <w:p>
            <w:r>
              <w:rPr>
                <w:sz w:val="18"/>
              </w:rPr>
              <w:t>117</w:t>
            </w:r>
          </w:p>
        </w:tc>
      </w:tr>
      <w:tr>
        <w:tc>
          <w:tcPr>
            <w:tcW w:type="dxa" w:w="1234"/>
          </w:tcPr>
          <w:p>
            <w:r>
              <w:rPr>
                <w:sz w:val="18"/>
              </w:rPr>
              <w:t>Gold</w:t>
            </w:r>
          </w:p>
        </w:tc>
        <w:tc>
          <w:tcPr>
            <w:tcW w:type="dxa" w:w="1234"/>
          </w:tcPr>
          <w:p>
            <w:r>
              <w:rPr>
                <w:sz w:val="18"/>
              </w:rPr>
              <w:t>−0.404</w:t>
            </w:r>
          </w:p>
        </w:tc>
        <w:tc>
          <w:tcPr>
            <w:tcW w:type="dxa" w:w="1234"/>
          </w:tcPr>
          <w:p>
            <w:r>
              <w:rPr>
                <w:sz w:val="18"/>
              </w:rPr>
              <w:t>0.014</w:t>
            </w:r>
          </w:p>
        </w:tc>
        <w:tc>
          <w:tcPr>
            <w:tcW w:type="dxa" w:w="1234"/>
          </w:tcPr>
          <w:p>
            <w:r>
              <w:rPr>
                <w:sz w:val="18"/>
              </w:rPr>
              <w:t>−0.488</w:t>
            </w:r>
          </w:p>
        </w:tc>
        <w:tc>
          <w:tcPr>
            <w:tcW w:type="dxa" w:w="1234"/>
          </w:tcPr>
          <w:p>
            <w:r>
              <w:rPr>
                <w:sz w:val="18"/>
              </w:rPr>
              <w:t>0.146</w:t>
            </w:r>
          </w:p>
        </w:tc>
        <w:tc>
          <w:tcPr>
            <w:tcW w:type="dxa" w:w="1234"/>
          </w:tcPr>
          <w:p>
            <w:r>
              <w:rPr>
                <w:sz w:val="18"/>
              </w:rPr>
              <w:t>7.0%</w:t>
            </w:r>
          </w:p>
        </w:tc>
        <w:tc>
          <w:tcPr>
            <w:tcW w:type="dxa" w:w="1234"/>
          </w:tcPr>
          <w:p>
            <w:r>
              <w:rPr>
                <w:sz w:val="18"/>
              </w:rPr>
              <w:t>117</w:t>
            </w:r>
          </w:p>
        </w:tc>
      </w:tr>
      <w:tr>
        <w:tc>
          <w:tcPr>
            <w:tcW w:type="dxa" w:w="1234"/>
          </w:tcPr>
          <w:p>
            <w:r>
              <w:rPr>
                <w:sz w:val="18"/>
              </w:rPr>
              <w:t>10Y Treasury</w:t>
            </w:r>
          </w:p>
        </w:tc>
        <w:tc>
          <w:tcPr>
            <w:tcW w:type="dxa" w:w="1234"/>
          </w:tcPr>
          <w:p>
            <w:r>
              <w:rPr>
                <w:sz w:val="18"/>
              </w:rPr>
              <w:t>0.007</w:t>
            </w:r>
          </w:p>
        </w:tc>
        <w:tc>
          <w:tcPr>
            <w:tcW w:type="dxa" w:w="1234"/>
          </w:tcPr>
          <w:p>
            <w:r>
              <w:rPr>
                <w:sz w:val="18"/>
              </w:rPr>
              <w:t>0.403</w:t>
            </w:r>
          </w:p>
        </w:tc>
        <w:tc>
          <w:tcPr>
            <w:tcW w:type="dxa" w:w="1234"/>
          </w:tcPr>
          <w:p>
            <w:r>
              <w:rPr>
                <w:sz w:val="18"/>
              </w:rPr>
              <w:t>−0.001</w:t>
            </w:r>
          </w:p>
        </w:tc>
        <w:tc>
          <w:tcPr>
            <w:tcW w:type="dxa" w:w="1234"/>
          </w:tcPr>
          <w:p>
            <w:r>
              <w:rPr>
                <w:sz w:val="18"/>
              </w:rPr>
              <w:t>0.890</w:t>
            </w:r>
          </w:p>
        </w:tc>
        <w:tc>
          <w:tcPr>
            <w:tcW w:type="dxa" w:w="1234"/>
          </w:tcPr>
          <w:p>
            <w:r>
              <w:rPr>
                <w:sz w:val="18"/>
              </w:rPr>
              <w:t>0.7%</w:t>
            </w:r>
          </w:p>
        </w:tc>
        <w:tc>
          <w:tcPr>
            <w:tcW w:type="dxa" w:w="1234"/>
          </w:tcPr>
          <w:p>
            <w:r>
              <w:rPr>
                <w:sz w:val="18"/>
              </w:rPr>
              <w:t>117</w:t>
            </w:r>
          </w:p>
        </w:tc>
      </w:tr>
    </w:tbl>
    <w:p>
      <w:r>
        <w:rPr>
          <w:i/>
          <w:sz w:val="18"/>
        </w:rPr>
        <w:t>Note: Newey-West HAC(4) standard errors.</w:t>
      </w:r>
    </w:p>
    <w:p>
      <w:pPr>
        <w:pStyle w:val="Heading3"/>
      </w:pPr>
      <w:r>
        <w:rPr>
          <w:rFonts w:ascii="Times New Roman" w:hAnsi="Times New Roman"/>
        </w:rPr>
        <w:t>5.3.1 Financing Constraints vs. Portfolio Rebalancing</w:t>
      </w:r>
    </w:p>
    <w:p>
      <w:r>
        <w:t>The gradient from large-cap to small-cap (VW: −0.435, EW: −0.449, S&amp;P 500: −0.391) is traditionally attributed to the financing-constraint mechanism (Gertler and Gilchrist, 1994): smaller firms are more dependent on bank credit and therefore more sensitive to monetary policy surprises. However, Lu and Wu (2026) provide an alternative explanation based on institutional portfolio rebalancing.</w:t>
      </w:r>
    </w:p>
    <w:p>
      <w:r>
        <w:t>Lu and Wu (2026) show that stocks with 10-percentage-point higher ownership by rebalancing institutions experience an additional 3.7-basis-point loss following a 10-basis-point surprise rate hike. They estimate that the rebalancing channel could account for one-third to two-thirds of the aggregate stock market excess return response to monetary shocks. Under this interpretation, the small-cap effect we document may reflect the cross-sectional distribution of institutional ownership — if small-cap stocks have higher ownership by rebalancing institutions — rather than firm-level financing constraints.</w:t>
      </w:r>
    </w:p>
    <w:p>
      <w:r>
        <w:t>The two mechanisms are not mutually exclusive and may operate simultaneously. The financing-constraint mechanism predicts that small firms are more affected because they have less access to credit markets, while the rebalancing mechanism predicts that stocks held by multi-asset institutions are more affected because these institutions sell equities and buy bonds after a rate hike. Distinguishing between these mechanisms requires institutional ownership data (e.g., 13F filings), which we do not have in our current analysis. We regard this as an important avenue for future work.</w:t>
      </w:r>
    </w:p>
    <w:p>
      <w:r>
        <w:t>The rebalancing interpretation also explains why the path shock does not significantly affect asset returns. Rebalancing institutions respond to the current rate decision — which changes bond prices and triggers portfolio rebalancing — rather than forward guidance expectations, which do not directly change the relative attractiveness of asset classes. This is consistent with the inelastic markets hypothesis (Gabaix and Koijen, 2021), under which demand shocks from portfolio rebalancing have large price effects.</w:t>
      </w:r>
    </w:p>
    <w:p>
      <w:pPr>
        <w:pStyle w:val="Heading2"/>
      </w:pPr>
      <w:r>
        <w:rPr>
          <w:rFonts w:ascii="Times New Roman" w:hAnsi="Times New Roman"/>
        </w:rPr>
        <w:t>5.4 Policy Implementation vs Informational Revelation</w:t>
      </w:r>
    </w:p>
    <w:p>
      <w:r>
        <w:t>The comparison of target and path shock coefficients provides a test of H1 vs H2. Using the CB-only specification, both shocks are significant, providing evidence for both channels. Using the combined specification, only the target shock is significant, favoring H1. However, the Wald test cannot reject equality (p = 0.90), so the data do not definitively distinguish the two channels. The choice of sentiment measure thus has first-order implications for the conclusion.</w:t>
      </w:r>
    </w:p>
    <w:p>
      <w:pPr>
        <w:pStyle w:val="Heading2"/>
      </w:pPr>
      <w:r>
        <w:rPr>
          <w:rFonts w:ascii="Times New Roman" w:hAnsi="Times New Roman"/>
        </w:rPr>
        <w:t>5.5 Mechanism Analysis</w:t>
      </w:r>
    </w:p>
    <w:p>
      <w:r>
        <w:t>The finding that the target shock is more consistently significant across specifications warrants discussion of the underlying mechanism. We consider three explanations: (1) FOMC statements may be primarily backward-looking, describing the rationale for the current rate decision rather than providing forward guidance; (2) forward guidance may be conveyed through channels other than the statement text — such as press conferences, speeches, and the Summary of Economic Projections; (3) our bag-of-words sentiment measure may not capture the specific dimensions of FOMC language that are most responsive to the path shock. The finding that the CB dictionary yields stronger results than the LM dictionary supports explanation (3), and the Chen et al. (2026) finding that GPT-3.5 misses 97% of forward guidance content further reinforces this interpretation.</w:t>
      </w:r>
    </w:p>
    <w:p>
      <w:pPr>
        <w:pStyle w:val="Heading2"/>
      </w:pPr>
      <w:r>
        <w:rPr>
          <w:rFonts w:ascii="Times New Roman" w:hAnsi="Times New Roman"/>
        </w:rPr>
        <w:t>5.6 Forward Guidance Period Interaction</w:t>
      </w:r>
    </w:p>
    <w:p>
      <w:r>
        <w:t>The forward guidance interaction is not significant for the CRSP VW index (p = 0.602). The NASDAQ interaction coefficient is statistically significant (p = 0.041) but economically implausible (202.17 basis points per unit sentiment), reflecting the extremely small scale of the sentiment variable (see Appendix C.5). We therefore do not consider this evidence of a genuine forward guidance effect.</w:t>
      </w:r>
    </w:p>
    <w:p>
      <w:pPr>
        <w:pStyle w:val="Heading2"/>
      </w:pPr>
      <w:r>
        <w:rPr>
          <w:rFonts w:ascii="Times New Roman" w:hAnsi="Times New Roman"/>
        </w:rPr>
        <w:t>5.7 Regime-Dependent Effects: The Rate Cut Anomaly</w:t>
      </w:r>
    </w:p>
    <w:p>
      <w:pPr>
        <w:jc w:val="center"/>
      </w:pPr>
      <w:r>
        <w:rPr>
          <w:b/>
          <w:sz w:val="20"/>
        </w:rPr>
        <w:t>Table 6: Sentiment Regressions by Decision Type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Rate hike</w:t>
            </w:r>
          </w:p>
        </w:tc>
        <w:tc>
          <w:tcPr>
            <w:tcW w:type="dxa" w:w="1728"/>
          </w:tcPr>
          <w:p>
            <w:r>
              <w:rPr>
                <w:sz w:val="18"/>
              </w:rPr>
              <w:t>17</w:t>
            </w:r>
          </w:p>
        </w:tc>
        <w:tc>
          <w:tcPr>
            <w:tcW w:type="dxa" w:w="1728"/>
          </w:tcPr>
          <w:p>
            <w:r>
              <w:rPr>
                <w:sz w:val="18"/>
              </w:rPr>
              <w:t>10.2%</w:t>
            </w:r>
          </w:p>
        </w:tc>
        <w:tc>
          <w:tcPr>
            <w:tcW w:type="dxa" w:w="1728"/>
          </w:tcPr>
          <w:p>
            <w:r>
              <w:rPr>
                <w:sz w:val="18"/>
              </w:rPr>
              <w:t>−0.000554 (0.013)</w:t>
            </w:r>
          </w:p>
        </w:tc>
        <w:tc>
          <w:tcPr>
            <w:tcW w:type="dxa" w:w="1728"/>
          </w:tcPr>
          <w:p>
            <w:r>
              <w:rPr>
                <w:sz w:val="18"/>
              </w:rPr>
              <w:t>−0.000145 (0.298)</w:t>
            </w:r>
          </w:p>
        </w:tc>
      </w:tr>
      <w:tr>
        <w:tc>
          <w:tcPr>
            <w:tcW w:type="dxa" w:w="1728"/>
          </w:tcPr>
          <w:p>
            <w:r>
              <w:rPr>
                <w:sz w:val="18"/>
              </w:rPr>
              <w:t>Rate cut</w:t>
            </w:r>
          </w:p>
        </w:tc>
        <w:tc>
          <w:tcPr>
            <w:tcW w:type="dxa" w:w="1728"/>
          </w:tcPr>
          <w:p>
            <w:r>
              <w:rPr>
                <w:sz w:val="18"/>
              </w:rPr>
              <w:t>11</w:t>
            </w:r>
          </w:p>
        </w:tc>
        <w:tc>
          <w:tcPr>
            <w:tcW w:type="dxa" w:w="1728"/>
          </w:tcPr>
          <w:p>
            <w:r>
              <w:rPr>
                <w:sz w:val="18"/>
              </w:rPr>
              <w:t>43.1%</w:t>
            </w:r>
          </w:p>
        </w:tc>
        <w:tc>
          <w:tcPr>
            <w:tcW w:type="dxa" w:w="1728"/>
          </w:tcPr>
          <w:p>
            <w:r>
              <w:rPr>
                <w:sz w:val="18"/>
              </w:rPr>
              <w:t>0.000188 (0.089)</w:t>
            </w:r>
          </w:p>
        </w:tc>
        <w:tc>
          <w:tcPr>
            <w:tcW w:type="dxa" w:w="1728"/>
          </w:tcPr>
          <w:p>
            <w:r>
              <w:rPr>
                <w:sz w:val="18"/>
              </w:rPr>
              <w:t>0.000837 (&lt;0.001)</w:t>
            </w:r>
          </w:p>
        </w:tc>
      </w:tr>
      <w:tr>
        <w:tc>
          <w:tcPr>
            <w:tcW w:type="dxa" w:w="1728"/>
          </w:tcPr>
          <w:p>
            <w:r>
              <w:rPr>
                <w:sz w:val="18"/>
              </w:rPr>
              <w:t>Unchanged</w:t>
            </w:r>
          </w:p>
        </w:tc>
        <w:tc>
          <w:tcPr>
            <w:tcW w:type="dxa" w:w="1728"/>
          </w:tcPr>
          <w:p>
            <w:r>
              <w:rPr>
                <w:sz w:val="18"/>
              </w:rPr>
              <w:t>89</w:t>
            </w:r>
          </w:p>
        </w:tc>
        <w:tc>
          <w:tcPr>
            <w:tcW w:type="dxa" w:w="1728"/>
          </w:tcPr>
          <w:p>
            <w:r>
              <w:rPr>
                <w:sz w:val="18"/>
              </w:rPr>
              <w:t>2.0%</w:t>
            </w:r>
          </w:p>
        </w:tc>
        <w:tc>
          <w:tcPr>
            <w:tcW w:type="dxa" w:w="1728"/>
          </w:tcPr>
          <w:p>
            <w:r>
              <w:rPr>
                <w:sz w:val="18"/>
              </w:rPr>
              <w:t>0.000638 (0.616)</w:t>
            </w:r>
          </w:p>
        </w:tc>
        <w:tc>
          <w:tcPr>
            <w:tcW w:type="dxa" w:w="1728"/>
          </w:tcPr>
          <w:p>
            <w:r>
              <w:rPr>
                <w:sz w:val="18"/>
              </w:rPr>
              <w:t>0.001379 (0.079)</w:t>
            </w:r>
          </w:p>
        </w:tc>
      </w:tr>
    </w:tbl>
    <w:p>
      <w:r>
        <w:rPr>
          <w:i/>
          <w:sz w:val="18"/>
        </w:rPr>
        <w:t>Note: Newey-West HAC(4) standard errors. Dependent variable: combined sentiment score.</w:t>
      </w:r>
    </w:p>
    <w:p>
      <w:r>
        <w:t>The rate cut regime produces the strongest result in the entire paper: the path shock is highly significant (p &lt; 0.001) and the R² is 43.1%, a 27-fold increase in explanatory power. This regime-dependent finding has important implications for the H1 vs H2 distinction: the full-sample result obscures heterogeneity across regimes with very different dynamics.</w:t>
      </w:r>
    </w:p>
    <w:p>
      <w:pPr>
        <w:pStyle w:val="Heading2"/>
      </w:pPr>
      <w:r>
        <w:rPr>
          <w:rFonts w:ascii="Times New Roman" w:hAnsi="Times New Roman"/>
        </w:rPr>
        <w:t>5.8 Statements vs. Minutes</w:t>
      </w:r>
    </w:p>
    <w:p>
      <w:pPr>
        <w:jc w:val="center"/>
      </w:pPr>
      <w:r>
        <w:rPr>
          <w:b/>
          <w:sz w:val="20"/>
        </w:rPr>
        <w:t>Table 7: Sentiment Dictionary and Textual Source Comparison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Statement CB only</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Statement Combined</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Statement 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r>
        <w:tc>
          <w:tcPr>
            <w:tcW w:type="dxa" w:w="1234"/>
          </w:tcPr>
          <w:p>
            <w:r>
              <w:rPr>
                <w:sz w:val="18"/>
              </w:rPr>
              <w:t>Minutes LM</w:t>
            </w:r>
          </w:p>
        </w:tc>
        <w:tc>
          <w:tcPr>
            <w:tcW w:type="dxa" w:w="1234"/>
          </w:tcPr>
          <w:p>
            <w:r>
              <w:rPr>
                <w:sz w:val="18"/>
              </w:rPr>
              <w:t>0.001091</w:t>
            </w:r>
          </w:p>
        </w:tc>
        <w:tc>
          <w:tcPr>
            <w:tcW w:type="dxa" w:w="1234"/>
          </w:tcPr>
          <w:p>
            <w:r>
              <w:rPr>
                <w:sz w:val="18"/>
              </w:rPr>
              <w:t>0.324</w:t>
            </w:r>
          </w:p>
        </w:tc>
        <w:tc>
          <w:tcPr>
            <w:tcW w:type="dxa" w:w="1234"/>
          </w:tcPr>
          <w:p>
            <w:r>
              <w:rPr>
                <w:sz w:val="18"/>
              </w:rPr>
              <w:t>0.000147</w:t>
            </w:r>
          </w:p>
        </w:tc>
        <w:tc>
          <w:tcPr>
            <w:tcW w:type="dxa" w:w="1234"/>
          </w:tcPr>
          <w:p>
            <w:r>
              <w:rPr>
                <w:sz w:val="18"/>
              </w:rPr>
              <w:t>0.716</w:t>
            </w:r>
          </w:p>
        </w:tc>
        <w:tc>
          <w:tcPr>
            <w:tcW w:type="dxa" w:w="1234"/>
          </w:tcPr>
          <w:p>
            <w:r>
              <w:rPr>
                <w:sz w:val="18"/>
              </w:rPr>
              <w:t>3.67%</w:t>
            </w:r>
          </w:p>
        </w:tc>
        <w:tc>
          <w:tcPr>
            <w:tcW w:type="dxa" w:w="1234"/>
          </w:tcPr>
          <w:p>
            <w:r>
              <w:rPr>
                <w:sz w:val="18"/>
              </w:rPr>
              <w:t>117</w:t>
            </w:r>
          </w:p>
        </w:tc>
      </w:tr>
      <w:tr>
        <w:tc>
          <w:tcPr>
            <w:tcW w:type="dxa" w:w="1234"/>
          </w:tcPr>
          <w:p>
            <w:r>
              <w:rPr>
                <w:sz w:val="18"/>
              </w:rPr>
              <w:t>Minutes CB</w:t>
            </w:r>
          </w:p>
        </w:tc>
        <w:tc>
          <w:tcPr>
            <w:tcW w:type="dxa" w:w="1234"/>
          </w:tcPr>
          <w:p>
            <w:r>
              <w:rPr>
                <w:sz w:val="18"/>
              </w:rPr>
              <w:t>0.001423</w:t>
            </w:r>
          </w:p>
        </w:tc>
        <w:tc>
          <w:tcPr>
            <w:tcW w:type="dxa" w:w="1234"/>
          </w:tcPr>
          <w:p>
            <w:r>
              <w:rPr>
                <w:sz w:val="18"/>
              </w:rPr>
              <w:t>0.061</w:t>
            </w:r>
          </w:p>
        </w:tc>
        <w:tc>
          <w:tcPr>
            <w:tcW w:type="dxa" w:w="1234"/>
          </w:tcPr>
          <w:p>
            <w:r>
              <w:rPr>
                <w:sz w:val="18"/>
              </w:rPr>
              <w:t>0.000147</w:t>
            </w:r>
          </w:p>
        </w:tc>
        <w:tc>
          <w:tcPr>
            <w:tcW w:type="dxa" w:w="1234"/>
          </w:tcPr>
          <w:p>
            <w:r>
              <w:rPr>
                <w:sz w:val="18"/>
              </w:rPr>
              <w:t>0.716</w:t>
            </w:r>
          </w:p>
        </w:tc>
        <w:tc>
          <w:tcPr>
            <w:tcW w:type="dxa" w:w="1234"/>
          </w:tcPr>
          <w:p>
            <w:r>
              <w:rPr>
                <w:sz w:val="18"/>
              </w:rPr>
              <w:t>5.60%</w:t>
            </w:r>
          </w:p>
        </w:tc>
        <w:tc>
          <w:tcPr>
            <w:tcW w:type="dxa" w:w="1234"/>
          </w:tcPr>
          <w:p>
            <w:r>
              <w:rPr>
                <w:sz w:val="18"/>
              </w:rPr>
              <w:t>117</w:t>
            </w:r>
          </w:p>
        </w:tc>
      </w:tr>
      <w:tr>
        <w:tc>
          <w:tcPr>
            <w:tcW w:type="dxa" w:w="1234"/>
          </w:tcPr>
          <w:p>
            <w:r>
              <w:rPr>
                <w:sz w:val="18"/>
              </w:rPr>
              <w:t>Minutes Combined</w:t>
            </w:r>
          </w:p>
        </w:tc>
        <w:tc>
          <w:tcPr>
            <w:tcW w:type="dxa" w:w="1234"/>
          </w:tcPr>
          <w:p>
            <w:r>
              <w:rPr>
                <w:sz w:val="18"/>
              </w:rPr>
              <w:t>0.000532</w:t>
            </w:r>
          </w:p>
        </w:tc>
        <w:tc>
          <w:tcPr>
            <w:tcW w:type="dxa" w:w="1234"/>
          </w:tcPr>
          <w:p>
            <w:r>
              <w:rPr>
                <w:sz w:val="18"/>
              </w:rPr>
              <w:t>0.011</w:t>
            </w:r>
          </w:p>
        </w:tc>
        <w:tc>
          <w:tcPr>
            <w:tcW w:type="dxa" w:w="1234"/>
          </w:tcPr>
          <w:p>
            <w:r>
              <w:rPr>
                <w:sz w:val="18"/>
              </w:rPr>
              <w:t>0.001257</w:t>
            </w:r>
          </w:p>
        </w:tc>
        <w:tc>
          <w:tcPr>
            <w:tcW w:type="dxa" w:w="1234"/>
          </w:tcPr>
          <w:p>
            <w:r>
              <w:rPr>
                <w:sz w:val="18"/>
              </w:rPr>
              <w:t>0.015</w:t>
            </w:r>
          </w:p>
        </w:tc>
        <w:tc>
          <w:tcPr>
            <w:tcW w:type="dxa" w:w="1234"/>
          </w:tcPr>
          <w:p>
            <w:r>
              <w:rPr>
                <w:sz w:val="18"/>
              </w:rPr>
              <w:t>9.35%</w:t>
            </w:r>
          </w:p>
        </w:tc>
        <w:tc>
          <w:tcPr>
            <w:tcW w:type="dxa" w:w="1234"/>
          </w:tcPr>
          <w:p>
            <w:r>
              <w:rPr>
                <w:sz w:val="18"/>
              </w:rPr>
              <w:t>117</w:t>
            </w:r>
          </w:p>
        </w:tc>
      </w:tr>
    </w:tbl>
    <w:p>
      <w:r>
        <w:rPr>
          <w:i/>
          <w:sz w:val="18"/>
        </w:rPr>
        <w:t>Note: Newey-West HAC(4) standard errors.</w:t>
      </w:r>
    </w:p>
    <w:p>
      <w:r>
        <w:t>Minutes produce substantially higher R² than statements (9.35% vs. 1.57% for the combined measure), likely because the longer, more detailed minutes contain more policy-relevant discussion. However, the higher R² for minutes does not necessarily mean that statements are uninformative: statements are released immediately and move markets; minutes are released with a three-week delay and their information content may already be priced.</w:t>
      </w:r>
    </w:p>
    <w:p>
      <w:pPr>
        <w:pStyle w:val="Heading2"/>
      </w:pPr>
      <w:r>
        <w:rPr>
          <w:rFonts w:ascii="Times New Roman" w:hAnsi="Times New Roman"/>
        </w:rPr>
        <w:t>5.9 Economic Significance</w:t>
      </w:r>
    </w:p>
    <w:p>
      <w:r>
        <w:t>The standardized coefficients provide the clearest measure of economic magnitude: in the CB-only specification, a one-standard-deviation target shock moves sentiment by 0.135 standard deviations. For asset returns, a one-standard-deviation unexpected tightening is associated with a 36 basis point decline in the CRSP VW return. Using rate changes instead of high-frequency shocks renders the sentiment relationship undetectable (p = 0.726 vs. 0.017), demonstrating that the choice of surprise measure has first-order implications.</w:t>
      </w:r>
    </w:p>
    <w:p>
      <w:pPr>
        <w:pStyle w:val="Heading1"/>
      </w:pPr>
      <w:r>
        <w:rPr>
          <w:rFonts w:ascii="Times New Roman" w:hAnsi="Times New Roman"/>
        </w:rPr>
        <w:t>6. Robustness and Extensions</w:t>
      </w:r>
    </w:p>
    <w:p>
      <w:pPr>
        <w:pStyle w:val="Heading2"/>
      </w:pPr>
      <w:r>
        <w:rPr>
          <w:rFonts w:ascii="Times New Roman" w:hAnsi="Times New Roman"/>
        </w:rPr>
        <w:t>6.1 Newey-West Lag Sensitivity</w:t>
      </w:r>
    </w:p>
    <w:p>
      <w:r>
        <w:t>The target shock remains significant at the 5% level for all lag specifications (1–6). The path shock is marginally significant only with lag = 1 (p = 0.100). R² is unchanged across specifications.</w:t>
      </w:r>
    </w:p>
    <w:p>
      <w:pPr>
        <w:pStyle w:val="Heading2"/>
      </w:pPr>
      <w:r>
        <w:rPr>
          <w:rFonts w:ascii="Times New Roman" w:hAnsi="Times New Roman"/>
        </w:rPr>
        <w:t>6.2 Kuttner Surprise in Basis Points</w:t>
      </w:r>
    </w:p>
    <w:p>
      <w:r>
        <w:t>The Kuttner surprise is significant (p = 0.010) with an R² of 1.49%, confirming robustness to the choice of surprise measure.</w:t>
      </w:r>
    </w:p>
    <w:p>
      <w:pPr>
        <w:pStyle w:val="Heading2"/>
      </w:pPr>
      <w:r>
        <w:rPr>
          <w:rFonts w:ascii="Times New Roman" w:hAnsi="Times New Roman"/>
        </w:rPr>
        <w:t>6.3 Post-2010 Subsample</w:t>
      </w:r>
    </w:p>
    <w:p>
      <w:r>
        <w:t>Restricting to the post-2010 period (97 meetings) reduces R² to 0.59% and renders both shocks insignificant, likely reflecting reduced variation during the ZLB period.</w:t>
      </w:r>
    </w:p>
    <w:p>
      <w:pPr>
        <w:pStyle w:val="Heading2"/>
      </w:pPr>
      <w:r>
        <w:rPr>
          <w:rFonts w:ascii="Times New Roman" w:hAnsi="Times New Roman"/>
        </w:rPr>
        <w:t>6.4 Excluding COVID</w:t>
      </w:r>
    </w:p>
    <w:p>
      <w:r>
        <w:t>Excluding March–June 2020 has minimal effect (target p = 0.017, path p = 0.154).</w:t>
      </w:r>
    </w:p>
    <w:p>
      <w:pPr>
        <w:pStyle w:val="Heading2"/>
      </w:pPr>
      <w:r>
        <w:rPr>
          <w:rFonts w:ascii="Times New Roman" w:hAnsi="Times New Roman"/>
        </w:rPr>
        <w:t>6.5 Sentiment Dictionary Comparison</w:t>
      </w:r>
    </w:p>
    <w:p>
      <w:r>
        <w:t>The CB dictionary outperforms the LM dictionary by an order of magnitude (R² = 3.90% vs. 0.33%). The combined measure (R² = 1.57%) is dominated by the CB component and diluted by the LM noise. This finding is consistent with Chen et al. (2026), who show that GPT-3.5 misses 97% of forward guidance content, implying that dictionary-based measures systematically understate the path shock's role.</w:t>
      </w:r>
    </w:p>
    <w:p>
      <w:pPr>
        <w:pStyle w:val="Heading2"/>
      </w:pPr>
      <w:r>
        <w:rPr>
          <w:rFonts w:ascii="Times New Roman" w:hAnsi="Times New Roman"/>
        </w:rPr>
        <w:t>6.6 The Bauer-Swanson Critique</w:t>
      </w:r>
    </w:p>
    <w:p>
      <w:r>
        <w:t>Bauer and Swanson (2023) argue that high-frequency surprises may contain predictable components. Since the critique applies equally to both target and path shocks, the relative comparison remains informative. However, the text-based approaches of Aruoba and Drechsel (2024) and Fernández-Fuertes (2026) offer a promising alternative that sidesteps this concern by constructing shocks from pre-meeting Fed documents.</w:t>
      </w:r>
    </w:p>
    <w:p>
      <w:pPr>
        <w:pStyle w:val="Heading2"/>
      </w:pPr>
      <w:r>
        <w:rPr>
          <w:rFonts w:ascii="Times New Roman" w:hAnsi="Times New Roman"/>
        </w:rPr>
        <w:t>6.7 Comparison Across Fed Chairs</w:t>
      </w:r>
    </w:p>
    <w:p>
      <w:r>
        <w:t>The target shock is significant during the Bernanke era (p = 0.005) and the Yellen era (p = 0.031), but not during the Powell era (p = 0.064).</w:t>
      </w:r>
    </w:p>
    <w:p>
      <w:pPr>
        <w:pStyle w:val="Heading2"/>
      </w:pPr>
      <w:r>
        <w:rPr>
          <w:rFonts w:ascii="Times New Roman" w:hAnsi="Times New Roman"/>
        </w:rPr>
        <w:t>6.8 Chair Fixed Effects</w:t>
      </w:r>
    </w:p>
    <w:p>
      <w:r>
        <w:t>Including chair dummies increases R² to 27.08%. The target shock becomes insignificant in the sentiment regression but remains significant in the asset return regression (p = 0.043), suggesting that sentiment is partially a function of who is speaking, but asset prices respond to what is decided.</w:t>
      </w:r>
    </w:p>
    <w:p>
      <w:pPr>
        <w:pStyle w:val="Heading2"/>
      </w:pPr>
      <w:r>
        <w:rPr>
          <w:rFonts w:ascii="Times New Roman" w:hAnsi="Times New Roman"/>
        </w:rPr>
        <w:t>6.9 CRSP vs. Yahoo Finance</w:t>
      </w:r>
    </w:p>
    <w:p>
      <w:r>
        <w:t>The yfinance coefficient is 34% smaller in magnitude than the CRSP coefficient, reflecting the absence of delisting adjustments.</w:t>
      </w:r>
    </w:p>
    <w:p>
      <w:pPr>
        <w:pStyle w:val="Heading2"/>
      </w:pPr>
      <w:r>
        <w:rPr>
          <w:rFonts w:ascii="Times New Roman" w:hAnsi="Times New Roman"/>
        </w:rPr>
        <w:t>6.10 Placebo Test: Non-FOMC Days</w:t>
      </w:r>
    </w:p>
    <w:p>
      <w:r>
        <w:t>Randomly selected non-FOMC days yield p = 0.612 and R² = 0.02%, consistent with a genuine relationship on FOMC days.</w:t>
      </w:r>
    </w:p>
    <w:p>
      <w:pPr>
        <w:pStyle w:val="Heading2"/>
      </w:pPr>
      <w:r>
        <w:rPr>
          <w:rFonts w:ascii="Times New Roman" w:hAnsi="Times New Roman"/>
        </w:rPr>
        <w:t>6.11 Sentiment Persistence</w:t>
      </w:r>
    </w:p>
    <w:p>
      <w:r>
        <w:t>Including lagged sentiment (AR(1) = 0.62), the target shock remains significant (p = 0.019). R² increases to 70.3%.</w:t>
      </w:r>
    </w:p>
    <w:p>
      <w:pPr>
        <w:pStyle w:val="Heading2"/>
      </w:pPr>
      <w:r>
        <w:rPr>
          <w:rFonts w:ascii="Times New Roman" w:hAnsi="Times New Roman"/>
        </w:rPr>
        <w:t>6.12 Subsample Analysis</w:t>
      </w:r>
    </w:p>
    <w:p>
      <w:r>
        <w:t>The post-crisis subsample (2010–2022) shows a reversal: target p = 0.699, path p = 0.056, consistent with the ZLB period where the path shock captured forward guidance.</w:t>
      </w:r>
    </w:p>
    <w:p>
      <w:pPr>
        <w:pStyle w:val="Heading1"/>
      </w:pPr>
      <w:r>
        <w:rPr>
          <w:rFonts w:ascii="Times New Roman" w:hAnsi="Times New Roman"/>
        </w:rPr>
        <w:t>7. Conclusion and Discussion</w:t>
      </w:r>
    </w:p>
    <w:p>
      <w: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117 FOMC meetings (2006–2022), we find that the answer depends critically on the sentiment measure and the policy regime.</w:t>
      </w:r>
    </w:p>
    <w:p>
      <w:r>
        <w:t>Three main conclusions emerge. First, the choice of sentiment dictionary matters substantially. The CB dictionary captures the relevant semantic variation far more effectively than the LM dictionary (R² = 3.90% vs. 0.33%), and the equal-weighted combination dilutes the CB signal. When the CB score is used, both target and path shocks significantly predict sentiment, providing evidence for both channels. A Wald test cannot reject equal effects (p = 0.90), so we cannot statistically distinguish the two channels.</w:t>
      </w:r>
    </w:p>
    <w:p>
      <w:r>
        <w:t>Second, the relationship between shocks and sentiment is strongly regime-dependent.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w:t>
      </w:r>
    </w:p>
    <w:p>
      <w:r>
        <w:t>Third, the modest R² — even in the best specification —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Chen et al. (2026) further show that GPT-3.5 misses 97% of forward guidance content, suggesting that dictionary-based measures — including our CB dictionary — may systematically understate the path shock's role. Our R² of 3.90% is therefore a lower bound on the true relationship between monetary policy and FOMC language.</w:t>
      </w:r>
    </w:p>
    <w:p>
      <w:pPr>
        <w:pStyle w:val="Heading2"/>
      </w:pPr>
      <w:r>
        <w:rPr>
          <w:rFonts w:ascii="Times New Roman" w:hAnsi="Times New Roman"/>
        </w:rPr>
        <w:t>7.1 Reconciling with the Literature</w:t>
      </w:r>
    </w:p>
    <w:p>
      <w:r>
        <w:t>Our findings speak to several strands of the literature. Regarding the information channel hypothesis (Romer and Romer, 2000; Nakamura and Steinsson, 2018), our results present a nuanced picture. The CB-only specification shows both target and path shocks significant, consistent with both channels operating simultaneously. The regime-dependent results further complicate the picture: the path shock is highly significant during rate cuts but not during rate hikes.</w:t>
      </w:r>
    </w:p>
    <w:p>
      <w:r>
        <w:t>Regarding the portfolio rebalancing channel (Lu and Wu, 2026; Gabaix and Koijen, 2021), our cross-asset results are consistent with both the traditional financing-constraint mechanism and the rebalancing mechanism. The null path shock effect on asset returns is consistent with the rebalancing interpretation: institutional flows respond primarily to the current rate decision, which changes bond prices and triggers rebalancing, rather than forward guidance expectations. Distinguishing between these mechanisms requires institutional ownership data, which we regard as an important avenue for future work.</w:t>
      </w:r>
    </w:p>
    <w:p>
      <w:pPr>
        <w:pStyle w:val="Heading2"/>
      </w:pPr>
      <w:r>
        <w:rPr>
          <w:rFonts w:ascii="Times New Roman" w:hAnsi="Times New Roman"/>
        </w:rPr>
        <w:t>7.2 The Jarociński-Karadi Decomposition</w:t>
      </w:r>
    </w:p>
    <w:p>
      <w:r>
        <w:t>An important limitation is that the GSS decomposition does not separately identify monetary policy shocks from information shocks (Jarociński and Karadi, 2020). If information shocks are present, they could bias our estimates. Implementing the Jarociński-Karadi sign restriction decomposition would allow us to separately identify these effects.</w:t>
      </w:r>
    </w:p>
    <w:p>
      <w:pPr>
        <w:pStyle w:val="Heading2"/>
      </w:pPr>
      <w:r>
        <w:rPr>
          <w:rFonts w:ascii="Times New Roman" w:hAnsi="Times New Roman"/>
        </w:rPr>
        <w:t>7.3 From Dictionaries to LLMs: The Path Forward</w:t>
      </w:r>
    </w:p>
    <w:p>
      <w:r>
        <w:t>Our finding that the CB score alone yields substantially stronger results than the combined LM+CB score (R² = 3.90% vs. 1.57%) has important implications for the sentiment analysis literature. However, even the CB dictionary is a bag-of-words approach that cannot capture the nuanced semantics of FOMC language. Three recent developments suggest a clear path forward.</w:t>
      </w:r>
    </w:p>
    <w:p>
      <w:pPr>
        <w:pStyle w:val="ListBullet"/>
      </w:pPr>
      <w:r>
        <w:t>First, Chen, Granville, and Matousek (2026) demonstrate that GPT-4 can decode FOMC materials into four topics — including forward guidance — and that GPT-3.5 misses 97% of forward guidance content. This finding directly explains why our CB dictionary, like GPT-3.5, underestimates the path shock's role: bag-of-words approaches cannot distinguish forward guidance language from other policy-relevant text.</w:t>
      </w:r>
    </w:p>
    <w:p>
      <w:pPr>
        <w:pStyle w:val="ListBullet"/>
      </w:pPr>
      <w:r>
        <w:t>Second, Gambacorta et al. (2024) introduce CB-LMs — open-weight encoder-only models retrained on central bank corpora — that outperform general models in capturing monetary policy nuances while offering full reproducibility. For our analysis, replacing the CB dictionary with CB-LM embeddings could capture contextual meaning while preserving reproducibility.</w:t>
      </w:r>
    </w:p>
    <w:p>
      <w:pPr>
        <w:pStyle w:val="ListBullet"/>
      </w:pPr>
      <w:r>
        <w:t>Third, Fernández-Fuertes (2026) demonstrates that a multi-agent LLM framework can construct narrative monetary policy surprises that capture 81.5% more information than standard high-frequency measures. His approach — which processes Statements, Minutes, Beige Books, and press conferences — represents the most ambitious application of LLMs to monetary policy identification to date. The key insight is that LLMs can extract conditional expectations from Fed communications, yielding less noisy surprises than market-based measures.</w:t>
      </w:r>
    </w:p>
    <w:p>
      <w:r>
        <w:t>Yao and Chai (2025) propose an uncertainty-aware LLM framework that explicitly accounts for model uncertainty and variability in LLM outputs. This approach is particularly relevant for constructing confidence intervals around LLM sentiment scores, addressing a key concern about the reliability of LLM-based measures.</w:t>
      </w:r>
    </w:p>
    <w:p>
      <w:r>
        <w:t>Taken together, these developments suggest that the next generation of monetary policy communication research will use LLM-based measures — either as replacements for dictionary-based sentiment scores or as tools for constructing narrative shocks — rather than the bag-of-words approaches that have dominated the literature to date. Our finding that the CB dictionary outperforms the LM dictionary by an order of magnitude is a first step in this direction, but the Chen et al. (2026) result implies that even the CB dictionary captures only a fraction of the relevant semantic variation.</w:t>
      </w:r>
    </w:p>
    <w:p>
      <w:pPr>
        <w:pStyle w:val="Heading2"/>
      </w:pPr>
      <w:r>
        <w:rPr>
          <w:rFonts w:ascii="Times New Roman" w:hAnsi="Times New Roman"/>
        </w:rPr>
        <w:t>7.4 Limitations and Future Directions</w:t>
      </w:r>
    </w:p>
    <w:p>
      <w:r>
        <w:t>Several limitations should be noted. Our sentiment dictionary, while expanded to 591 hawkish and 222 dovish terms, remains a bag-of-words approach that cannot capture nuanced semantics. The GSS shocks capture at most 18.5% of the information in FOMC communications (Fernández-Fuertes, 2026). The small sample sizes in regime-specific analyses (N = 11 for rate cuts, N = 17 for rate hikes) limit statistical power. The Bauer-Swanson (2023) critique applies to both shock dimensions. We cannot distinguish the financing-constraint and portfolio rebalancing mechanisms without institutional ownership data.</w:t>
      </w:r>
    </w:p>
    <w:p>
      <w:r>
        <w:t>Several avenues for future research emerge. First, replacing the CB dictionary with LLM-based measures (GPT-4 or CB-LMs) could substantially improve the measurement of FOMC statement sentiment, particularly the forward guidance dimension. Second, using narrative shocks (Fernández-Fuertes, 2026) or text-based shocks (Aruoba and Drechsel, 2024) as the independent variable could address the information limitation of the GSS shocks. Third, obtaining institutional ownership data (13F filings) would allow us to distinguish the financing-constraint and portfolio rebalancing mechanisms. Fourth, implementing the Jarociński-Karadi (2020) decomposition would provide structural identification of monetary policy vs. information shocks. Fifth, cross-country comparisons could shed light on whether the patterns we document are specific to the Federal Reserve.</w:t>
      </w:r>
    </w:p>
    <w:p>
      <w:r>
        <w:rPr>
          <w:i/>
          <w:sz w:val="20"/>
        </w:rPr>
        <w:t>Data Availability. 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rPr>
          <w:rFonts w:ascii="Times New Roman" w:hAnsi="Times New Roman"/>
        </w:rPr>
        <w:t>References</w:t>
      </w:r>
    </w:p>
    <w:p>
      <w:pPr>
        <w:ind w:left="720" w:hanging="720"/>
      </w:pPr>
      <w:r>
        <w:rPr>
          <w:sz w:val="20"/>
        </w:rPr>
        <w:t>Acosta, M. (2022). The perceived causes of monetary policy surprises. Working Paper, Columbia University.</w:t>
      </w:r>
    </w:p>
    <w:p>
      <w:pPr>
        <w:ind w:left="720" w:hanging="720"/>
      </w:pPr>
      <w:r>
        <w:rPr>
          <w:sz w:val="20"/>
        </w:rPr>
        <w:t>Apel, M., and Blix, G. (2014). How Riksbank forecasts are affected by the central bank's interest rate decisions. Riksbank Research Paper.</w:t>
      </w:r>
    </w:p>
    <w:p>
      <w:pPr>
        <w:ind w:left="720" w:hanging="720"/>
      </w:pPr>
      <w:r>
        <w:rPr>
          <w:sz w:val="20"/>
        </w:rPr>
        <w:t>Aruoba, S. B., and Drechsel, T. (2024). Identifying monetary policy shocks: A natural language approach. NBER Working Paper No. 32417.</w:t>
      </w:r>
    </w:p>
    <w:p>
      <w:pPr>
        <w:ind w:left="720" w:hanging="720"/>
      </w:pPr>
      <w:r>
        <w:rPr>
          <w:sz w:val="20"/>
        </w:rPr>
        <w:t>Bauer, M. D., and Swanson, E. T. (2023). A reassessment of monetary policy surprises and high-frequency identification. NBER Macroeconomics Annual, 37(1), 87–155.</w:t>
      </w:r>
    </w:p>
    <w:p>
      <w:pPr>
        <w:ind w:left="720" w:hanging="720"/>
      </w:pPr>
      <w:r>
        <w:rPr>
          <w:sz w:val="20"/>
        </w:rPr>
        <w:t>Bernanke, B. S., and Kuttner, K. N. (2005). What explains the stock market's reaction to Federal Reserve policy? Journal of Finance, 60(3), 1221–1257.</w:t>
      </w:r>
    </w:p>
    <w:p>
      <w:pPr>
        <w:ind w:left="720" w:hanging="720"/>
      </w:pPr>
      <w:r>
        <w:rPr>
          <w:sz w:val="20"/>
        </w:rPr>
        <w:t>Bianchi, F., Ludvigson, S. C., and Ma, S. (2022). Monetary policy and asset valuation. Journal of Finance, 77(2), 967–1017.</w:t>
      </w:r>
    </w:p>
    <w:p>
      <w:pPr>
        <w:ind w:left="720" w:hanging="720"/>
      </w:pPr>
      <w:r>
        <w:rPr>
          <w:sz w:val="20"/>
        </w:rPr>
        <w:t>Campbell, J. R., Evans, C. L., Fisher, J. D. M., and Justiniano, A. (2012). Macroeconomic effects of Federal Reserve forward guidance. Brookings Papers on Economic Activity, Spring, 1–80.</w:t>
      </w:r>
    </w:p>
    <w:p>
      <w:pPr>
        <w:ind w:left="720" w:hanging="720"/>
      </w:pPr>
      <w:r>
        <w:rPr>
          <w:sz w:val="20"/>
        </w:rPr>
        <w:t>Chen, K., Granville, B., and Matousek, R. (2026). Decoding central bank communications with large language models. Journal of International Financial Markets, Institutions and Money.</w:t>
      </w:r>
    </w:p>
    <w:p>
      <w:pPr>
        <w:ind w:left="720" w:hanging="720"/>
      </w:pPr>
      <w:r>
        <w:rPr>
          <w:sz w:val="20"/>
        </w:rPr>
        <w:t>Doh, T., Song, D., and Yang, S.-K. X. (2020). Deciphering Federal Reserve communication via text analysis of alternative FOMC statements. Research Working Paper, Federal Reserve Bank of Kansas City.</w:t>
      </w:r>
    </w:p>
    <w:p>
      <w:pPr>
        <w:ind w:left="720" w:hanging="720"/>
      </w:pPr>
      <w:r>
        <w:rPr>
          <w:sz w:val="20"/>
        </w:rPr>
        <w:t>Fernández-Fuertes, R. (2026). Monetary policy shocks: A new hope — Large language models and central bank communication. Bocconi University Job Market Paper.</w:t>
      </w:r>
    </w:p>
    <w:p>
      <w:pPr>
        <w:ind w:left="720" w:hanging="720"/>
      </w:pPr>
      <w:r>
        <w:rPr>
          <w:sz w:val="20"/>
        </w:rPr>
        <w:t>Gabaix, X., and Koijen, R. S. J. (2021). In search of the origins of financial fluctuations: The inelastic markets hypothesis. NBER Working Paper No. 28967.</w:t>
      </w:r>
    </w:p>
    <w:p>
      <w:pPr>
        <w:ind w:left="720" w:hanging="720"/>
      </w:pPr>
      <w:r>
        <w:rPr>
          <w:sz w:val="20"/>
        </w:rPr>
        <w:t>Gambacorta, L., et al. (2024). CB-LMs: Language models for central banking. BIS Working Paper No. 1215.</w:t>
      </w:r>
    </w:p>
    <w:p>
      <w:pPr>
        <w:ind w:left="720" w:hanging="720"/>
      </w:pPr>
      <w:r>
        <w:rPr>
          <w:sz w:val="20"/>
        </w:rPr>
        <w:t>Gertler, M., and Gilchrist, S. (1994). Monetary policy, business cycles, and the behavior of small manufacturing firms. Quarterly Journal of Economics, 109(2), 309–340.</w:t>
      </w:r>
    </w:p>
    <w:p>
      <w:pPr>
        <w:ind w:left="720" w:hanging="720"/>
      </w:pPr>
      <w:r>
        <w:rPr>
          <w:sz w:val="20"/>
        </w:rPr>
        <w:t>Gürkaynak, R. S., Sack, B., and Swanson, E. T. (2005a). The sensitivity of long-term interest rates to economic news: Evidence and implications for monetary policy. American Economic Review, 95(1), 425–436.</w:t>
      </w:r>
    </w:p>
    <w:p>
      <w:pPr>
        <w:ind w:left="720" w:hanging="720"/>
      </w:pPr>
      <w:r>
        <w:rPr>
          <w:sz w:val="20"/>
        </w:rPr>
        <w:t>Gürkaynak, R. S., Sack, B., and Swanson, E. T. (2005b). Do actions speak louder than words? The response of asset prices to monetary policy actions and statements. International Journal of Central Banking, 1(1), 55–93.</w:t>
      </w:r>
    </w:p>
    <w:p>
      <w:pPr>
        <w:ind w:left="720" w:hanging="720"/>
      </w:pPr>
      <w:r>
        <w:rPr>
          <w:sz w:val="20"/>
        </w:rPr>
        <w:t>Hansen, A. L., and Kazinnik, S. (2023). Can ChatGPT decipher Fedspeak? SSRN Working Paper No. 4399406.</w:t>
      </w:r>
    </w:p>
    <w:p>
      <w:pPr>
        <w:ind w:left="720" w:hanging="720"/>
      </w:pPr>
      <w:r>
        <w:rPr>
          <w:sz w:val="20"/>
        </w:rPr>
        <w:t>Hansen, S., and McMahon, M. (2016). Shocking language: Understanding the macroeconomic effects of central bank communication. Journal of International Economics, 99, S121–S133.</w:t>
      </w:r>
    </w:p>
    <w:p>
      <w:pPr>
        <w:ind w:left="720" w:hanging="720"/>
      </w:pPr>
      <w:r>
        <w:rPr>
          <w:sz w:val="20"/>
        </w:rPr>
        <w:t>Jarociński, M., and Karadi, P. (2020). Deconstructing monetary policy surprises — The role of information shocks. American Economic Journal: Macroeconomics, 12(2), 1–43.</w:t>
      </w:r>
    </w:p>
    <w:p>
      <w:pPr>
        <w:ind w:left="720" w:hanging="720"/>
      </w:pPr>
      <w:r>
        <w:rPr>
          <w:sz w:val="20"/>
        </w:rPr>
        <w:t>Kekre, R., and Lenel, M. (2022). Monetary policy, redistribution, and risk premia. Econometrica, 90(5), 2269–2312.</w:t>
      </w:r>
    </w:p>
    <w:p>
      <w:pPr>
        <w:ind w:left="720" w:hanging="720"/>
      </w:pPr>
      <w:r>
        <w:rPr>
          <w:sz w:val="20"/>
        </w:rPr>
        <w:t>Kuttner, K. N. (2001). Monetary policy surprises and interest rates: Evidence from the Fed funds futures market. Journal of Monetary Economics, 47(3), 523–544.</w:t>
      </w:r>
    </w:p>
    <w:p>
      <w:pPr>
        <w:ind w:left="720" w:hanging="720"/>
      </w:pPr>
      <w:r>
        <w:rPr>
          <w:sz w:val="20"/>
        </w:rPr>
        <w:t>Loughran, T., and McDonald, B. (2011). When is a liability not a liability? Textual analysis, dictionaries, and 10-Ks. Journal of Finance, 66(1), 35–65.</w:t>
      </w:r>
    </w:p>
    <w:p>
      <w:pPr>
        <w:ind w:left="720" w:hanging="720"/>
      </w:pPr>
      <w:r>
        <w:rPr>
          <w:sz w:val="20"/>
        </w:rPr>
        <w:t>Lu, X., and Wu, L. (2026). Monetary transmission and portfolio rebalancing: A cross-sectional approach. SSRN Working Paper No. 4413059.</w:t>
      </w:r>
    </w:p>
    <w:p>
      <w:pPr>
        <w:ind w:left="720" w:hanging="720"/>
      </w:pPr>
      <w:r>
        <w:rPr>
          <w:sz w:val="20"/>
        </w:rPr>
        <w:t>Miranda-Agrippino, S., and Ricco, G. (2021). The transmission of monetary policy shocks. American Economic Journal: Macroeconomics, 13(3), 1–30.</w:t>
      </w:r>
    </w:p>
    <w:p>
      <w:pPr>
        <w:ind w:left="720" w:hanging="720"/>
      </w:pPr>
      <w:r>
        <w:rPr>
          <w:sz w:val="20"/>
        </w:rPr>
        <w:t>Nakamura, E., and Steinsson, J. (2018). High-frequency identification of monetary non-neutrality: The information effect. Quarterly Journal of Economics, 133(3), 1283–1330.</w:t>
      </w:r>
    </w:p>
    <w:p>
      <w:pPr>
        <w:ind w:left="720" w:hanging="720"/>
      </w:pPr>
      <w:r>
        <w:rPr>
          <w:sz w:val="20"/>
        </w:rPr>
        <w:t>Piller, A., Schranz, M., and Schwaller, L. (2025). Using natural language processing to identify monetary policy shocks. SNB Working Paper 25.05.</w:t>
      </w:r>
    </w:p>
    <w:p>
      <w:pPr>
        <w:ind w:left="720" w:hanging="720"/>
      </w:pPr>
      <w:r>
        <w:rPr>
          <w:sz w:val="20"/>
        </w:rPr>
        <w:t>Romer, C. D., and Romer, D. H. (2000). Federal Reserve information and the behavior of interest rates. American Economic Review, 90(3), 429–457.</w:t>
      </w:r>
    </w:p>
    <w:p>
      <w:pPr>
        <w:ind w:left="720" w:hanging="720"/>
      </w:pPr>
      <w:r>
        <w:rPr>
          <w:sz w:val="20"/>
        </w:rPr>
        <w:t>Silva, T. C., Moriya, K., and Veyrune, R. M. (2025). From text to quantified insights: A large-scale LLM analysis of central bank communication. IMF Working Paper 2025/109.</w:t>
      </w:r>
    </w:p>
    <w:p>
      <w:pPr>
        <w:ind w:left="720" w:hanging="720"/>
      </w:pPr>
      <w:r>
        <w:rPr>
          <w:sz w:val="20"/>
        </w:rPr>
        <w:t>Yao, R., and Chai, Q. (2025). Interpreting Fedspeak with confidence: A LLM-based uncertainty-aware framework. Working Paper.</w:t>
      </w:r>
    </w:p>
    <w:p>
      <w:pPr>
        <w:pStyle w:val="Heading1"/>
      </w:pPr>
      <w:r>
        <w:rPr>
          <w:rFonts w:ascii="Times New Roman" w:hAnsi="Times New Roman"/>
        </w:rPr>
        <w:t>Appendix A: Central Bank Sentiment Dictionary</w:t>
      </w:r>
    </w:p>
    <w:p>
      <w:r>
        <w:t>The CB dictionary contains 591 hawkish terms and 222 dovish terms. The full dictionary is available in the replication materials.</w:t>
      </w:r>
    </w:p>
    <w:p>
      <w:pPr>
        <w:pStyle w:val="Heading1"/>
      </w:pPr>
      <w:r>
        <w:rPr>
          <w:rFonts w:ascii="Times New Roman" w:hAnsi="Times New Roman"/>
        </w:rPr>
        <w:t>Appendix B: Data Sources Summary</w:t>
      </w:r>
    </w:p>
    <w:p>
      <w:pPr>
        <w:pStyle w:val="Heading1"/>
      </w:pPr>
      <w:r>
        <w:rPr>
          <w:rFonts w:ascii="Times New Roman" w:hAnsi="Times New Roman"/>
        </w:rPr>
        <w:t>Appendix C: Additional Robustness</w:t>
      </w:r>
    </w:p>
    <w:p>
      <w:pPr>
        <w:pStyle w:val="Heading2"/>
      </w:pPr>
      <w:r>
        <w:rPr>
          <w:rFonts w:ascii="Times New Roman" w:hAnsi="Times New Roman"/>
        </w:rPr>
        <w:t>C.1 Newey-West Lag Sensitivity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Lag</w:t>
            </w:r>
          </w:p>
        </w:tc>
        <w:tc>
          <w:tcPr>
            <w:tcW w:type="dxa" w:w="1440"/>
          </w:tcPr>
          <w:p>
            <w:r>
              <w:rPr>
                <w:b/>
                <w:sz w:val="18"/>
              </w:rPr>
              <w:t>β_T (t)</w:t>
            </w:r>
          </w:p>
        </w:tc>
        <w:tc>
          <w:tcPr>
            <w:tcW w:type="dxa" w:w="1440"/>
          </w:tcPr>
          <w:p>
            <w:r>
              <w:rPr>
                <w:b/>
                <w:sz w:val="18"/>
              </w:rPr>
              <w:t>p_target</w:t>
            </w:r>
          </w:p>
        </w:tc>
        <w:tc>
          <w:tcPr>
            <w:tcW w:type="dxa" w:w="1440"/>
          </w:tcPr>
          <w:p>
            <w:r>
              <w:rPr>
                <w:b/>
                <w:sz w:val="18"/>
              </w:rPr>
              <w:t>β_P (t)</w:t>
            </w:r>
          </w:p>
        </w:tc>
        <w:tc>
          <w:tcPr>
            <w:tcW w:type="dxa" w:w="1440"/>
          </w:tcPr>
          <w:p>
            <w:r>
              <w:rPr>
                <w:b/>
                <w:sz w:val="18"/>
              </w:rPr>
              <w:t>p_path</w:t>
            </w:r>
          </w:p>
        </w:tc>
        <w:tc>
          <w:tcPr>
            <w:tcW w:type="dxa" w:w="1440"/>
          </w:tcPr>
          <w:p>
            <w:r>
              <w:rPr>
                <w:b/>
                <w:sz w:val="18"/>
              </w:rPr>
              <w:t>R²</w:t>
            </w:r>
          </w:p>
        </w:tc>
      </w:tr>
      <w:tr>
        <w:tc>
          <w:tcPr>
            <w:tcW w:type="dxa" w:w="1440"/>
          </w:tcPr>
          <w:p>
            <w:r>
              <w:rPr>
                <w:sz w:val="18"/>
              </w:rPr>
              <w:t>1</w:t>
            </w:r>
          </w:p>
        </w:tc>
        <w:tc>
          <w:tcPr>
            <w:tcW w:type="dxa" w:w="1440"/>
          </w:tcPr>
          <w:p>
            <w:r>
              <w:rPr>
                <w:sz w:val="18"/>
              </w:rPr>
              <w:t>0.000577 (2.78)</w:t>
            </w:r>
          </w:p>
        </w:tc>
        <w:tc>
          <w:tcPr>
            <w:tcW w:type="dxa" w:w="1440"/>
          </w:tcPr>
          <w:p>
            <w:r>
              <w:rPr>
                <w:sz w:val="18"/>
              </w:rPr>
              <w:t>0.006</w:t>
            </w:r>
          </w:p>
        </w:tc>
        <w:tc>
          <w:tcPr>
            <w:tcW w:type="dxa" w:w="1440"/>
          </w:tcPr>
          <w:p>
            <w:r>
              <w:rPr>
                <w:sz w:val="18"/>
              </w:rPr>
              <w:t>0.000633 (1.64)</w:t>
            </w:r>
          </w:p>
        </w:tc>
        <w:tc>
          <w:tcPr>
            <w:tcW w:type="dxa" w:w="1440"/>
          </w:tcPr>
          <w:p>
            <w:r>
              <w:rPr>
                <w:sz w:val="18"/>
              </w:rPr>
              <w:t>0.100</w:t>
            </w:r>
          </w:p>
        </w:tc>
        <w:tc>
          <w:tcPr>
            <w:tcW w:type="dxa" w:w="1440"/>
          </w:tcPr>
          <w:p>
            <w:r>
              <w:rPr>
                <w:sz w:val="18"/>
              </w:rPr>
              <w:t>1.57%</w:t>
            </w:r>
          </w:p>
        </w:tc>
      </w:tr>
      <w:tr>
        <w:tc>
          <w:tcPr>
            <w:tcW w:type="dxa" w:w="1440"/>
          </w:tcPr>
          <w:p>
            <w:r>
              <w:rPr>
                <w:sz w:val="18"/>
              </w:rPr>
              <w:t>2</w:t>
            </w:r>
          </w:p>
        </w:tc>
        <w:tc>
          <w:tcPr>
            <w:tcW w:type="dxa" w:w="1440"/>
          </w:tcPr>
          <w:p>
            <w:r>
              <w:rPr>
                <w:sz w:val="18"/>
              </w:rPr>
              <w:t>0.000577 (2.61)</w:t>
            </w:r>
          </w:p>
        </w:tc>
        <w:tc>
          <w:tcPr>
            <w:tcW w:type="dxa" w:w="1440"/>
          </w:tcPr>
          <w:p>
            <w:r>
              <w:rPr>
                <w:sz w:val="18"/>
              </w:rPr>
              <w:t>0.010</w:t>
            </w:r>
          </w:p>
        </w:tc>
        <w:tc>
          <w:tcPr>
            <w:tcW w:type="dxa" w:w="1440"/>
          </w:tcPr>
          <w:p>
            <w:r>
              <w:rPr>
                <w:sz w:val="18"/>
              </w:rPr>
              <w:t>0.000633 (1.55)</w:t>
            </w:r>
          </w:p>
        </w:tc>
        <w:tc>
          <w:tcPr>
            <w:tcW w:type="dxa" w:w="1440"/>
          </w:tcPr>
          <w:p>
            <w:r>
              <w:rPr>
                <w:sz w:val="18"/>
              </w:rPr>
              <w:t>0.123</w:t>
            </w:r>
          </w:p>
        </w:tc>
        <w:tc>
          <w:tcPr>
            <w:tcW w:type="dxa" w:w="1440"/>
          </w:tcPr>
          <w:p>
            <w:r>
              <w:rPr>
                <w:sz w:val="18"/>
              </w:rPr>
              <w:t>1.57%</w:t>
            </w:r>
          </w:p>
        </w:tc>
      </w:tr>
      <w:tr>
        <w:tc>
          <w:tcPr>
            <w:tcW w:type="dxa" w:w="1440"/>
          </w:tcPr>
          <w:p>
            <w:r>
              <w:rPr>
                <w:sz w:val="18"/>
              </w:rPr>
              <w:t>4</w:t>
            </w:r>
          </w:p>
        </w:tc>
        <w:tc>
          <w:tcPr>
            <w:tcW w:type="dxa" w:w="1440"/>
          </w:tcPr>
          <w:p>
            <w:r>
              <w:rPr>
                <w:sz w:val="18"/>
              </w:rPr>
              <w:t>0.000577 (2.43)</w:t>
            </w:r>
          </w:p>
        </w:tc>
        <w:tc>
          <w:tcPr>
            <w:tcW w:type="dxa" w:w="1440"/>
          </w:tcPr>
          <w:p>
            <w:r>
              <w:rPr>
                <w:sz w:val="18"/>
              </w:rPr>
              <w:t>0.017</w:t>
            </w:r>
          </w:p>
        </w:tc>
        <w:tc>
          <w:tcPr>
            <w:tcW w:type="dxa" w:w="1440"/>
          </w:tcPr>
          <w:p>
            <w:r>
              <w:rPr>
                <w:sz w:val="18"/>
              </w:rPr>
              <w:t>0.000633 (1.44)</w:t>
            </w:r>
          </w:p>
        </w:tc>
        <w:tc>
          <w:tcPr>
            <w:tcW w:type="dxa" w:w="1440"/>
          </w:tcPr>
          <w:p>
            <w:r>
              <w:rPr>
                <w:sz w:val="18"/>
              </w:rPr>
              <w:t>0.152</w:t>
            </w:r>
          </w:p>
        </w:tc>
        <w:tc>
          <w:tcPr>
            <w:tcW w:type="dxa" w:w="1440"/>
          </w:tcPr>
          <w:p>
            <w:r>
              <w:rPr>
                <w:sz w:val="18"/>
              </w:rPr>
              <w:t>1.57%</w:t>
            </w:r>
          </w:p>
        </w:tc>
      </w:tr>
      <w:tr>
        <w:tc>
          <w:tcPr>
            <w:tcW w:type="dxa" w:w="1440"/>
          </w:tcPr>
          <w:p>
            <w:r>
              <w:rPr>
                <w:sz w:val="18"/>
              </w:rPr>
              <w:t>6</w:t>
            </w:r>
          </w:p>
        </w:tc>
        <w:tc>
          <w:tcPr>
            <w:tcW w:type="dxa" w:w="1440"/>
          </w:tcPr>
          <w:p>
            <w:r>
              <w:rPr>
                <w:sz w:val="18"/>
              </w:rPr>
              <w:t>0.000577 (2.29)</w:t>
            </w:r>
          </w:p>
        </w:tc>
        <w:tc>
          <w:tcPr>
            <w:tcW w:type="dxa" w:w="1440"/>
          </w:tcPr>
          <w:p>
            <w:r>
              <w:rPr>
                <w:sz w:val="18"/>
              </w:rPr>
              <w:t>0.024</w:t>
            </w:r>
          </w:p>
        </w:tc>
        <w:tc>
          <w:tcPr>
            <w:tcW w:type="dxa" w:w="1440"/>
          </w:tcPr>
          <w:p>
            <w:r>
              <w:rPr>
                <w:sz w:val="18"/>
              </w:rPr>
              <w:t>0.000633 (1.45)</w:t>
            </w:r>
          </w:p>
        </w:tc>
        <w:tc>
          <w:tcPr>
            <w:tcW w:type="dxa" w:w="1440"/>
          </w:tcPr>
          <w:p>
            <w:r>
              <w:rPr>
                <w:sz w:val="18"/>
              </w:rPr>
              <w:t>0.149</w:t>
            </w:r>
          </w:p>
        </w:tc>
        <w:tc>
          <w:tcPr>
            <w:tcW w:type="dxa" w:w="1440"/>
          </w:tcPr>
          <w:p>
            <w:r>
              <w:rPr>
                <w:sz w:val="18"/>
              </w:rPr>
              <w:t>1.57%</w:t>
            </w:r>
          </w:p>
        </w:tc>
      </w:tr>
    </w:tbl>
    <w:p>
      <w:pPr>
        <w:pStyle w:val="Heading2"/>
      </w:pPr>
      <w:r>
        <w:rPr>
          <w:rFonts w:ascii="Times New Roman" w:hAnsi="Times New Roman"/>
        </w:rPr>
        <w:t>C.2 Subsample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Subperiod</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Pre-crisis (2006–2007)</w:t>
            </w:r>
          </w:p>
        </w:tc>
        <w:tc>
          <w:tcPr>
            <w:tcW w:type="dxa" w:w="1728"/>
          </w:tcPr>
          <w:p>
            <w:r>
              <w:rPr>
                <w:sz w:val="18"/>
              </w:rPr>
              <w:t>7</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Crisis (2008–2009)</w:t>
            </w:r>
          </w:p>
        </w:tc>
        <w:tc>
          <w:tcPr>
            <w:tcW w:type="dxa" w:w="1728"/>
          </w:tcPr>
          <w:p>
            <w:r>
              <w:rPr>
                <w:sz w:val="18"/>
              </w:rPr>
              <w:t>13</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Post-crisis (2010–2022)</w:t>
            </w:r>
          </w:p>
        </w:tc>
        <w:tc>
          <w:tcPr>
            <w:tcW w:type="dxa" w:w="1728"/>
          </w:tcPr>
          <w:p>
            <w:r>
              <w:rPr>
                <w:sz w:val="18"/>
              </w:rPr>
              <w:t>97</w:t>
            </w:r>
          </w:p>
        </w:tc>
        <w:tc>
          <w:tcPr>
            <w:tcW w:type="dxa" w:w="1728"/>
          </w:tcPr>
          <w:p>
            <w:r>
              <w:rPr>
                <w:sz w:val="18"/>
              </w:rPr>
              <w:t>1.6%</w:t>
            </w:r>
          </w:p>
        </w:tc>
        <w:tc>
          <w:tcPr>
            <w:tcW w:type="dxa" w:w="1728"/>
          </w:tcPr>
          <w:p>
            <w:r>
              <w:rPr>
                <w:sz w:val="18"/>
              </w:rPr>
              <w:t>−0.000433 (0.699)</w:t>
            </w:r>
          </w:p>
        </w:tc>
        <w:tc>
          <w:tcPr>
            <w:tcW w:type="dxa" w:w="1728"/>
          </w:tcPr>
          <w:p>
            <w:r>
              <w:rPr>
                <w:sz w:val="18"/>
              </w:rPr>
              <w:t>0.001247 (0.056)</w:t>
            </w:r>
          </w:p>
        </w:tc>
      </w:tr>
    </w:tbl>
    <w:p>
      <w:pPr>
        <w:pStyle w:val="Heading2"/>
      </w:pPr>
      <w:r>
        <w:rPr>
          <w:rFonts w:ascii="Times New Roman" w:hAnsi="Times New Roman"/>
        </w:rPr>
        <w:t>C.3 Comparison Across Fed Chairs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Chair</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Bernanke (2006–2014)</w:t>
            </w:r>
          </w:p>
        </w:tc>
        <w:tc>
          <w:tcPr>
            <w:tcW w:type="dxa" w:w="1728"/>
          </w:tcPr>
          <w:p>
            <w:r>
              <w:rPr>
                <w:sz w:val="18"/>
              </w:rPr>
              <w:t>53</w:t>
            </w:r>
          </w:p>
        </w:tc>
        <w:tc>
          <w:tcPr>
            <w:tcW w:type="dxa" w:w="1728"/>
          </w:tcPr>
          <w:p>
            <w:r>
              <w:rPr>
                <w:sz w:val="18"/>
              </w:rPr>
              <w:t>10.3%</w:t>
            </w:r>
          </w:p>
        </w:tc>
        <w:tc>
          <w:tcPr>
            <w:tcW w:type="dxa" w:w="1728"/>
          </w:tcPr>
          <w:p>
            <w:r>
              <w:rPr>
                <w:sz w:val="18"/>
              </w:rPr>
              <w:t>0.000812 (0.005)</w:t>
            </w:r>
          </w:p>
        </w:tc>
        <w:tc>
          <w:tcPr>
            <w:tcW w:type="dxa" w:w="1728"/>
          </w:tcPr>
          <w:p>
            <w:r>
              <w:rPr>
                <w:sz w:val="18"/>
              </w:rPr>
              <w:t>0.000234 (0.612)</w:t>
            </w:r>
          </w:p>
        </w:tc>
      </w:tr>
      <w:tr>
        <w:tc>
          <w:tcPr>
            <w:tcW w:type="dxa" w:w="1728"/>
          </w:tcPr>
          <w:p>
            <w:r>
              <w:rPr>
                <w:sz w:val="18"/>
              </w:rPr>
              <w:t>Yellen (2014–2018)</w:t>
            </w:r>
          </w:p>
        </w:tc>
        <w:tc>
          <w:tcPr>
            <w:tcW w:type="dxa" w:w="1728"/>
          </w:tcPr>
          <w:p>
            <w:r>
              <w:rPr>
                <w:sz w:val="18"/>
              </w:rPr>
              <w:t>30</w:t>
            </w:r>
          </w:p>
        </w:tc>
        <w:tc>
          <w:tcPr>
            <w:tcW w:type="dxa" w:w="1728"/>
          </w:tcPr>
          <w:p>
            <w:r>
              <w:rPr>
                <w:sz w:val="18"/>
              </w:rPr>
              <w:t>5.8%</w:t>
            </w:r>
          </w:p>
        </w:tc>
        <w:tc>
          <w:tcPr>
            <w:tcW w:type="dxa" w:w="1728"/>
          </w:tcPr>
          <w:p>
            <w:r>
              <w:rPr>
                <w:sz w:val="18"/>
              </w:rPr>
              <w:t>0.000645 (0.031)</w:t>
            </w:r>
          </w:p>
        </w:tc>
        <w:tc>
          <w:tcPr>
            <w:tcW w:type="dxa" w:w="1728"/>
          </w:tcPr>
          <w:p>
            <w:r>
              <w:rPr>
                <w:sz w:val="18"/>
              </w:rPr>
              <w:t>0.000189 (0.789)</w:t>
            </w:r>
          </w:p>
        </w:tc>
      </w:tr>
      <w:tr>
        <w:tc>
          <w:tcPr>
            <w:tcW w:type="dxa" w:w="1728"/>
          </w:tcPr>
          <w:p>
            <w:r>
              <w:rPr>
                <w:sz w:val="18"/>
              </w:rPr>
              <w:t>Powell (2018–2022)</w:t>
            </w:r>
          </w:p>
        </w:tc>
        <w:tc>
          <w:tcPr>
            <w:tcW w:type="dxa" w:w="1728"/>
          </w:tcPr>
          <w:p>
            <w:r>
              <w:rPr>
                <w:sz w:val="18"/>
              </w:rPr>
              <w:t>34</w:t>
            </w:r>
          </w:p>
        </w:tc>
        <w:tc>
          <w:tcPr>
            <w:tcW w:type="dxa" w:w="1728"/>
          </w:tcPr>
          <w:p>
            <w:r>
              <w:rPr>
                <w:sz w:val="18"/>
              </w:rPr>
              <w:t>2.4%</w:t>
            </w:r>
          </w:p>
        </w:tc>
        <w:tc>
          <w:tcPr>
            <w:tcW w:type="dxa" w:w="1728"/>
          </w:tcPr>
          <w:p>
            <w:r>
              <w:rPr>
                <w:sz w:val="18"/>
              </w:rPr>
              <w:t>0.000398 (0.064)</w:t>
            </w:r>
          </w:p>
        </w:tc>
        <w:tc>
          <w:tcPr>
            <w:tcW w:type="dxa" w:w="1728"/>
          </w:tcPr>
          <w:p>
            <w:r>
              <w:rPr>
                <w:sz w:val="18"/>
              </w:rPr>
              <w:t>0.000567 (0.412)</w:t>
            </w:r>
          </w:p>
        </w:tc>
      </w:tr>
    </w:tbl>
    <w:p>
      <w:pPr>
        <w:pStyle w:val="Heading2"/>
      </w:pPr>
      <w:r>
        <w:rPr>
          <w:rFonts w:ascii="Times New Roman" w:hAnsi="Times New Roman"/>
        </w:rPr>
        <w:t>C.4 CRSP vs. Yahoo Finance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Data Source</w:t>
            </w:r>
          </w:p>
        </w:tc>
        <w:tc>
          <w:tcPr>
            <w:tcW w:type="dxa" w:w="2160"/>
          </w:tcPr>
          <w:p>
            <w:r>
              <w:rPr>
                <w:b/>
                <w:sz w:val="18"/>
              </w:rPr>
              <w:t>β_T</w:t>
            </w:r>
          </w:p>
        </w:tc>
        <w:tc>
          <w:tcPr>
            <w:tcW w:type="dxa" w:w="2160"/>
          </w:tcPr>
          <w:p>
            <w:r>
              <w:rPr>
                <w:b/>
                <w:sz w:val="18"/>
              </w:rPr>
              <w:t>p_target</w:t>
            </w:r>
          </w:p>
        </w:tc>
        <w:tc>
          <w:tcPr>
            <w:tcW w:type="dxa" w:w="2160"/>
          </w:tcPr>
          <w:p>
            <w:r>
              <w:rPr>
                <w:b/>
                <w:sz w:val="18"/>
              </w:rPr>
              <w:t>R²</w:t>
            </w:r>
          </w:p>
        </w:tc>
      </w:tr>
      <w:tr>
        <w:tc>
          <w:tcPr>
            <w:tcW w:type="dxa" w:w="2160"/>
          </w:tcPr>
          <w:p>
            <w:r>
              <w:rPr>
                <w:sz w:val="18"/>
              </w:rPr>
              <w:t>CRSP (sprtrn)</w:t>
            </w:r>
          </w:p>
        </w:tc>
        <w:tc>
          <w:tcPr>
            <w:tcW w:type="dxa" w:w="2160"/>
          </w:tcPr>
          <w:p>
            <w:r>
              <w:rPr>
                <w:sz w:val="18"/>
              </w:rPr>
              <w:t>−0.391</w:t>
            </w:r>
          </w:p>
        </w:tc>
        <w:tc>
          <w:tcPr>
            <w:tcW w:type="dxa" w:w="2160"/>
          </w:tcPr>
          <w:p>
            <w:r>
              <w:rPr>
                <w:sz w:val="18"/>
              </w:rPr>
              <w:t>0.073</w:t>
            </w:r>
          </w:p>
        </w:tc>
        <w:tc>
          <w:tcPr>
            <w:tcW w:type="dxa" w:w="2160"/>
          </w:tcPr>
          <w:p>
            <w:r>
              <w:rPr>
                <w:sz w:val="18"/>
              </w:rPr>
              <w:t>7.8%</w:t>
            </w:r>
          </w:p>
        </w:tc>
      </w:tr>
      <w:tr>
        <w:tc>
          <w:tcPr>
            <w:tcW w:type="dxa" w:w="2160"/>
          </w:tcPr>
          <w:p>
            <w:r>
              <w:rPr>
                <w:sz w:val="18"/>
              </w:rPr>
              <w:t>yfinance (^GSPC)</w:t>
            </w:r>
          </w:p>
        </w:tc>
        <w:tc>
          <w:tcPr>
            <w:tcW w:type="dxa" w:w="2160"/>
          </w:tcPr>
          <w:p>
            <w:r>
              <w:rPr>
                <w:sz w:val="18"/>
              </w:rPr>
              <w:t>−0.259</w:t>
            </w:r>
          </w:p>
        </w:tc>
        <w:tc>
          <w:tcPr>
            <w:tcW w:type="dxa" w:w="2160"/>
          </w:tcPr>
          <w:p>
            <w:r>
              <w:rPr>
                <w:sz w:val="18"/>
              </w:rPr>
              <w:t>0.030</w:t>
            </w:r>
          </w:p>
        </w:tc>
        <w:tc>
          <w:tcPr>
            <w:tcW w:type="dxa" w:w="2160"/>
          </w:tcPr>
          <w:p>
            <w:r>
              <w:rPr>
                <w:sz w:val="18"/>
              </w:rPr>
              <w:t>2.9%</w:t>
            </w:r>
          </w:p>
        </w:tc>
      </w:tr>
    </w:tbl>
    <w:p>
      <w:pPr>
        <w:pStyle w:val="Heading2"/>
      </w:pPr>
      <w:r>
        <w:rPr>
          <w:rFonts w:ascii="Times New Roman" w:hAnsi="Times New Roman"/>
        </w:rPr>
        <w:t>C.5 NASDAQ Forward Guidance Interaction Detail</w:t>
      </w:r>
    </w:p>
    <w:p>
      <w:r>
        <w:t>The NASDAQ specification produces a coefficient of 202.17 (p = 0.041) on the Sentiment × FG term. While statistically significant, this coefficient is economically implausible: a one-unit change in sentiment (σ = 0.006) implies a 202 × 0.006 = 1.2 basis point change — negligible. The large raw coefficient reflects the extremely small scale of the sentiment variable rather than a meaningful economic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