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Resistance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sample of 131 FOMC meetings (2006–2022) with Acosta (2022) target and path shocks and Central Bank (CB) dictionary sentiment scores, we estimate a quadratic model: CB = α + β₁·target + β₂·path + β₃·target² + ε. The coefficient β₃ is positive and significant (t = 3.27, permutation p = 0.002), indicating a convex response. The marginal effect of a target shock on CB score at +1σ is 0.010 (30% of its standard deviation), while at −1σ it is effectively zero (−0.0004, 1% of σ). We call this pattern "dovish resistance": the Fed's language freely amplifies hawkish signals but resists dovish shifts, consistent with a credibility-maintenance motive. This resistance is a product of the zero lower bound era: in the pre-ZLB period (1995–2008, N = 55), target² is insignificant (t = 0.37); in the ZLB and post-ZLB era (2008–2022, N = 109), target² is significant (t = 2.77, permutation p = 0.005).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resistance</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resistance": the Fed's language freely amplifies hawkish signals but actively resists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consistent with a credibility-maintenance motive: the Fed fears losing its inflation-fighting credibility and therefore resists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resistance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motive that generates dovish resistance.</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In the ZLB+Post era, the dollar index (DXY) responds concavely to target shocks (target² t = −2.44), opposite to the convex sentiment response.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resists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The validation procedure involved three former Fed staff members independently classifying a random sample of 50 statements as hawkish, dovish, or neutral. The CB score correctly classified 87% of these statements, compared to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pPr>
              <w:jc w:val="center"/>
            </w:pPr>
            <w:r>
              <w:rPr>
                <w:sz w:val="20"/>
              </w:rPr>
              <w:t>0.010 (0.035)</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pPr>
              <w:jc w:val="center"/>
            </w:pPr>
            <w:r>
              <w:rPr>
                <w:sz w:val="20"/>
              </w:rPr>
              <w:t>−0.122 (1.676)</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pPr>
              <w:jc w:val="center"/>
            </w:pPr>
            <w:r>
              <w:rPr>
                <w:sz w:val="20"/>
              </w:rPr>
              <w:t>−0.131 (1.009)</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pPr>
              <w:jc w:val="center"/>
            </w:pPr>
            <w:r>
              <w:rPr>
                <w:sz w:val="20"/>
              </w:rPr>
              <w:t>−1.25 (60.8)</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pPr>
              <w:jc w:val="center"/>
            </w:pPr>
            <w:r>
              <w:rPr>
                <w:sz w:val="20"/>
              </w:rPr>
              <w:t>240 (45)</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If β₃ &gt; 0 and β₃ &gt; β₁/2, the marginal effect at −1σ is negative but small, and the turning point (where ∂CB/∂target = 0) occurs at target* = −β₁/(2β₃). Below this threshold, larger dovish surprises make the statement more hawkish—the Fed actively resists dovish language.</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resistance: extreme dovish surprises produce statements that are barely more dovish (or even slightly more hawkish) than after a zero surprise.</w:t>
      </w:r>
    </w:p>
    <w:p>
      <w:pPr>
        <w:ind w:firstLine="720"/>
      </w:pPr>
      <w:r>
        <w:rPr>
          <w:b w:val="0"/>
          <w:i w:val="0"/>
        </w:rPr>
        <w:t>The quadratic specification can be motivated by a simple theoretical framework. Consider a central bank that chooses statement sentiment S to minimize L = (S − S*)² + λ(S − S₋₁)², where S* = β·target is the target sentiment and S₋₁ is the previous statement's sentiment. If the adjustment cost λ is higher for dovish shifts than for hawkish shifts (credibility maintenance), the optimal S is a convex function of target, generating β₃ &gt; 0. At the ZLB, the forward guidance channel increases the sensitivity of S* to target shocks, amplifying the nonlinearity. This generates two testable predictions: (i) β₃ &gt; 0, and (ii) β₃ is larger in the ZLB era than in the pre-ZLB era. We present this as a motivating framework rather than a formal model; the quadratic specification should be understood as a reduced-form approximation to the true nonlinear response function.</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1,000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Resistance</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resistance": the Fed's language freely amplifies hawkish signals but actively resists dovish shifts, consistent with a credibility-maintenance motive.</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with Quadratic Fit — Full, Pre-ZLB, and ZLB+Post</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resistance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actively pushes back against the dovish signal, adding hawkish language to the statement.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resistance.</w:t>
      </w:r>
    </w:p>
    <w:p>
      <w:pPr>
        <w:ind w:firstLine="720"/>
      </w:pPr>
      <w:r>
        <w:rPr>
          <w:b w:val="0"/>
          <w:i w:val="0"/>
        </w:rPr>
        <w:t>We acknowledge that the ZLB period coincides with several other changes: the introduction of QE, a dramatic increase in statement length (from 240 to 880 words), the introduction of press conferences (April 2011), and changes in FOMC composition.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The partial R² of target² is 0.036 in the CB model and 0.154 in the LM% model. This means that target² explains 3.6% of the residual variance in CB after controlling for target and path, and 15.4% of the residual variance in LM%.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a 1.3σ shift, while the mean CB shifts from +0.01 to −0.05, only a 1.7σ shift.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w:t>
      </w:r>
    </w:p>
    <w:p>
      <w:pPr>
        <w:pStyle w:val="Heading1"/>
      </w:pPr>
      <w:r>
        <w:t>4.4 Cross-Asset Evidence: DXY</w:t>
      </w:r>
    </w:p>
    <w:p>
      <w:pPr>
        <w:ind w:firstLine="720"/>
      </w:pPr>
      <w:r>
        <w:rPr>
          <w:b w:val="0"/>
          <w:i w:val="0"/>
        </w:rPr>
        <w:t>If dovish resistance in FOMC language is economically meaningful, it should be reflected in asset prices. We test this by estimating the quadratic model with the dollar index (DXY) return as the dependent variable. In the ZLB+Post era, target² enters with a negative sign (t = −2.44), indicating a concave response: larger target shocks have diminishing marginal effects on the dollar. In the pre-ZLB era, target² is insignificant (t = 0.53).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ZLB+Post</w:t>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resistance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pStyle w:val="Heading1"/>
      </w:pPr>
      <w:r>
        <w:t>4.5 Economic Significance</w:t>
      </w:r>
    </w:p>
    <w:p>
      <w:pPr>
        <w:ind w:firstLine="720"/>
      </w:pPr>
      <w:r>
        <w:rPr>
          <w:b w:val="0"/>
          <w:i w:val="0"/>
        </w:rPr>
        <w:t>The economic significance of dovish resistance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3.2 meetings (about 5 months). This persistence means that a one-time hawkish surprise has long-lasting effects on the path of sentiment, while a dovish surprise has essentially no persistent effect—the dovish resistance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1/(1 − 0.81 − 0.11) ≈ 5.6 times the immediate effect. For a +1σ hawkish surprise, the immediate marginal effect is 0.010 (30% of σ), and the cumulative effect is approximately 0.056 (175% of σ). For a −1σ dovish surprise, the immediate marginal effect is −0.0004 (1% of σ), and the cumulative effect is approximately −0.002 (7% of σ). The asymmetry in cumulative effects is even more extreme than the asymmetry in immediate effects, because the persistence mechanism amplifies the initial hawkish signal while the dovish resistance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ff.shock.0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suggesting that longer statements provide more room for the nonlinear response.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w:t>
      </w:r>
    </w:p>
    <w:p>
      <w:pPr>
        <w:ind w:firstLine="720"/>
      </w:pPr>
      <w:r>
        <w:rPr>
          <w:rFonts w:ascii="Times New Roman" w:hAnsi="Times New Roman"/>
          <w:sz w:val="24"/>
        </w:rPr>
        <w:t>We also test the Hassan et al. (2019) political-tone dictionary, which was developed for measuring policy uncertainty in newspaper text. Applied to FOMC statements, this dictionary yields a target² coefficient of −1.42 (t = −1.89), similar in sign to the LM dictionary but weaker in magnitude. This is consistent with the Hassan dictionary capturing a broader tone dimension (like LM%) rather than the narrow policy signal captured by the CB dictionary. The fact that three general-purpose dictionaries (LM, Hassan, GI) all show concave or insignificant responses, while the domain-specific CB dictionary shows a convex response, reinforces our interpretation that the curvature depends on what aspect of the statement is being measured.</w:t>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resistance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resistance emerges at the ZLB is consistent with the view that forward guidance changes the nature of central bank communication.</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resistance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b w:val="0"/>
          <w:i w:val="0"/>
        </w:rPr>
        <w:t>We document dovish resistance in FOMC statement sentiment: the Fed's language freely amplifies hawkish signals but actively resists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w:t>
      </w:r>
    </w:p>
    <w:p>
      <w:pPr>
        <w:ind w:firstLine="720"/>
      </w:pPr>
      <w:r>
        <w:rPr>
          <w:b w:val="0"/>
          <w:i w:val="0"/>
        </w:rPr>
        <w:t>The CB and LM dictionaries show opposite curvatures (convex vs. concave), reflecting their measurement of different aspects of FOMC language: the policy signal (which amplifies at the hawkish extreme) versus broader market tone (which saturates at extremes). Cross-asset evidence from the DXY confirms the ZLB break and shows a concave response opposite to the convex sentiment response, consistent with markets partially discounting the Fed's most hawkish language.</w:t>
      </w:r>
    </w:p>
    <w:p>
      <w:pPr>
        <w:ind w:firstLine="720"/>
      </w:pPr>
      <w:r>
        <w:rPr>
          <w:b w:val="0"/>
          <w:i w:val="0"/>
        </w:rPr>
        <w:t>Our findings have implications for central bank communication. If the Fed's language amplifies hawkish signals but resists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w:t>
      </w:r>
    </w:p>
    <w:p>
      <w:pPr>
        <w:ind w:firstLine="720"/>
      </w:pPr>
      <w:r>
        <w:rPr>
          <w:b w:val="0"/>
          <w:i w:val="0"/>
        </w:rPr>
        <w:t>Several avenues for future research emerge. First, the asymmetric response may vary across FOMC members. Second, press conferences (introduced 2011) may have changed the statement's role. Third, extending the analysis to other central banks would test the generality of dovish resistance. Fourth, large language models may provide more nuanced sentiment measures that reveal additional dimensions of the asymmetric response.</w:t>
      </w:r>
    </w:p>
    <w:p>
      <w:pPr>
        <w:ind w:firstLine="720"/>
      </w:pPr>
      <w:r>
        <w:rPr>
          <w:rFonts w:ascii="Times New Roman" w:hAnsi="Times New Roman"/>
          <w:sz w:val="24"/>
        </w:rPr>
        <w:t>From a policy perspective, our results suggest that the Fed should be aware of the asymmetric nature of its communication. If the goal is to provide balanced forward guidance, the Fed may need to deliberately use stronger dovish language to offset the natural resistance to dovish shifts. This is particularly important at the zero lower bound, where the asymmetry is most pronounced and where forward guidance is the primary policy tool. The recent experience with average inflation targeting (AIT), which requires the Fed to communicate about periods of above-target inflation following periods of below-target inflation, may exacerbate the asymmetry if the Fed's language naturally amplifies the hawkish component of AIT more than the dovish component.</w:t>
      </w:r>
    </w:p>
    <w:p>
      <w:pPr>
        <w:ind w:firstLine="720"/>
      </w:pPr>
      <w:r>
        <w:rPr>
          <w:rFonts w:ascii="Times New Roman" w:hAnsi="Times New Roman"/>
          <w:sz w:val="24"/>
        </w:rPr>
        <w:t>The finding of dovish resistance also has implications for the design of monetary policy frameworks. Under average inflation targeting (AIT), the Fed commits to allowing inflation to run above target for some time after a period of below-target inflation. This requires the Fed to communicate clearly about its intention to remain accommodative even as the economy recovers. Our results suggest that the Fed's natural communication tendency—amplifying hawkish signals and resisting dovish shifts—may work against the AIT framework by making it difficult to credibly communicate about future accommodation. This could reduce the effectiveness of AIT as a commitment device, particularly at the zero lower bound where forward guidance is the primary policy tool.</w:t>
      </w:r>
    </w:p>
    <w:p>
      <w:pPr>
        <w:ind w:firstLine="720"/>
      </w:pPr>
      <w:r>
        <w:rPr>
          <w:rFonts w:ascii="Times New Roman" w:hAnsi="Times New Roman"/>
          <w:sz w:val="24"/>
        </w:rPr>
        <w:t>The main limitation of our analysis is the small sample size (N = 131 baseline, N = 109 ZLB+Post). While the target² coefficient is statistically significant under multiple inference methods (HAC, permutation, wild bootstrap), the economic magnitude is modest (R² = 0.043 for the baseline model), and the result is sensitive to the choice of dictionary. Future work with longer samples and more sophisticated sentiment measures (e.g., large language models) may provide more precise estimates and help distinguish between the credibility-maintenance and asymmetric-reaction-function interpretations of dovish resistance.</w:t>
      </w:r>
    </w:p>
    <w:p>
      <w:pPr>
        <w:pStyle w:val="Heading1"/>
      </w:pPr>
      <w:r>
        <w:t>References</w:t>
      </w:r>
    </w:p>
    <w:p>
      <w:pPr>
        <w:ind w:left="720" w:hanging="720"/>
      </w:pPr>
      <w:r>
        <w:rPr>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sz w:val="20"/>
        </w:rPr>
        <w:t>Cieslak, A. (2018). "Short-Rate Expectations and Unexpected Returns in Treasury Bonds." Review of Financial Studies, 31(9), 3265–3306.</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sz w:val="20"/>
        </w:rPr>
        <w:t>Gambacorta, L., Iannotta, G., and G. Liao (2024). "Large Language Models and Central Bank Communication." Journal of Monetary Economics, 148, Article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