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Dovish Asymmetry in FOMC Statement Sentiment</w:t>
        <w:br/>
        <w:t>and Monetary Policy Shocks at the Zero Lower Bound</w:t>
      </w:r>
    </w:p>
    <w:p>
      <w:pPr>
        <w:pStyle w:val="Heading1"/>
      </w:pPr>
      <w:r>
        <w:t>Abstract</w:t>
      </w:r>
    </w:p>
    <w:p>
      <w:pPr>
        <w:ind w:firstLine="720"/>
      </w:pPr>
      <w:r>
        <w:rPr>
          <w:b w:val="0"/>
          <w:i w:val="0"/>
        </w:rPr>
        <w:t>We show that FOMC statement sentiment responds to monetary policy shocks, but only on the hawkish side. Using a baseline sample of 131 FOMC meetings (2006–2022) with Acosta (2022) target and path shocks and Central Bank (CB) dictionary sentiment scores (extended to 164 meetings for the ZLB structural break test), we estimate a quadratic model: CB = α + β₁·target + β₂·path + β₃·target² + ε. The coefficient β₃ is positive and significant (t = 8.77, permutation p = 0.002, wild bootstrap p = 0.012), indicating a convex response. The marginal effect of a target shock on CB score at +1σ is 0.010 (30% of its standard deviation), while at −1σ it is effectively zero (3.4:1 in cumulative ΔCB at ±1σ) (−0.0004, 1% of σ). We call this pattern "dovish asymmetry": the Fed's language freely amplifies hawkish signals but barely responds to dovish shifts, consistent with a credibility-maintenance interpretation. This resistance is a product of the zero lower bound era: in the pre-ZLB period (1995–2008, N = 55), target² is insignificant (t = 0.37); in the ZLB and post-ZLB era (2008–2022, N = 109), target² is significant (t = 2.77, permutation p = 0.005; the result is robust to a 1.5% size-corrected threshold by permutation but not by wild bootstrap). A Chow test rejects parameter stability (F = 14.12, p &lt; 0.001). The Loughran–McDonald dictionary shows the opposite curvature (target² t = −6.89), reflecting its broader tone measurement that saturates at extremes rather than amplifying hawkish signals. Cross-asset evidence from the dollar index (DXY) confirms the ZLB break and shows a concave response (target² t = −2.44), opposite to the convex sentiment response.</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interpreted through the lens of a credibility-maintenance narrative: the Fed fears losing its inflation-fighting credibility and therefore responds weakly to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In the ZLB+Post era, the dollar index (DXY) responds concavely to target shocks (target² t = −2.44), opposite to the convex sentiment response.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r>
              <w:t>0.018 (0.083)</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r>
              <w:t>0.124 (1.398)</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r>
              <w:t>-0.198 (1.191)</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r>
              <w:t>-0.22 (5.3)</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r>
              <w:t>168 (107)</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25:1 ratio in marginal effects (3.4:1 in cumulative ΔCB at ±1σ).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1"/>
      </w:pPr>
      <w:r>
        <w:t>4.4 Cross-Asset Evidence: DXY</w:t>
      </w:r>
    </w:p>
    <w:p>
      <w:pPr>
        <w:ind w:firstLine="720"/>
      </w:pPr>
      <w:r>
        <w:rPr>
          <w:b w:val="0"/>
          <w:i w:val="0"/>
        </w:rPr>
        <w:t>If dovish asymmetry in FOMC language is economically meaningful, it should be reflected in asset prices. We test this using the dollar index (DXY) as the sole cross-asset check (other asset classes—equities, gold, Treasuries—are left for future work). In the ZLB+Post era, target² enters with a negative sign (t = −2.44, N = 109), indicating a concave response: larger target shocks have diminishing marginal effects on the dollar. In the pre-ZLB era, target² is insignificant (t = 0.53).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pStyle w:val="Heading1"/>
      </w:pPr>
      <w:r>
        <w:t>4.5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8.7 meetings (about 14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1/(1 − 0.923) ≈ 13.0 times the immediate effect. For a +1σ hawkish surprise, the immediate marginal effect is 0.010 (30% of σ), and the cumulative effect is approximately 0.130 (406% of σ). For a −1σ dovish surprise, the immediate marginal effect is −0.0004 (1% of σ), and the cumulative effect is approximately −0.005 (16%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(240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rFonts w:ascii="Times New Roman" w:hAnsi="Times New Roman"/>
          <w:sz w:val="24"/>
        </w:rPr>
        <w:t>Fourth,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rPr>
          <w:rFonts w:ascii="Times New Roman" w:hAnsi="Times New Roman"/>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rFonts w:ascii="Times New Roman" w:hAnsi="Times New Roman"/>
          <w:sz w:val="20"/>
        </w:rPr>
        <w:t>Bauer, M. D., and E. T. Swanson (2023). "An Alternative Explanation for the 'Fed Information Effect'." American Economic Review, 113(5), 1266–1310.</w:t>
      </w:r>
    </w:p>
    <w:p>
      <w:pPr>
        <w:ind w:left="720" w:hanging="720"/>
      </w:pPr>
      <w:r>
        <w:rPr>
          <w:rFonts w:ascii="Times New Roman" w:hAnsi="Times New Roman"/>
          <w:sz w:val="20"/>
        </w:rPr>
        <w:t>Bennani, H. (2020). "Machine Learning and FOMC Minutes: Using Topic Models to Analyze Central Bank Communication." Journal of Economics and Business, 108, 105890.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rFonts w:ascii="Times New Roman" w:hAnsi="Times New Roman"/>
          <w:sz w:val="20"/>
        </w:rPr>
        <w:t>Blinder, A. S., Ehrmann, M., Fratzscher, M., De Haan, J., and D.-J. Jansen (2008). "Central Bank Communication and Monetary Policy: A Survey of Theory and Evidence." Journal of Economic Literature, 46(4), 910–945.</w:t>
      </w:r>
    </w:p>
    <w:p>
      <w:pPr>
        <w:ind w:left="720" w:hanging="720"/>
      </w:pPr>
      <w:r>
        <w:rPr>
          <w:rFonts w:ascii="Times New Roman" w:hAnsi="Times New Roman"/>
          <w:sz w:val="20"/>
        </w:rPr>
        <w:t>Boukus, E., and J. V. Rosenberg (2006). "The Information Content of FOMC Minutes." Federal Reserve Bank of New York Staff Report No. 289.</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sz w:val="20"/>
        </w:rPr>
        <w:t>Gambacorta, L., Iannotta, G., and G. Liao (2024). "Large Language Models and Central Bank Communication." Journal of Monetary Economics, 148, Article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