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Regime-Dependent Asymmetry in FOMC Statement Sentiment</w:t>
        <w:br/>
        <w:t>and Monetary Policy Shocks at the Zero Lower Bound</w:t>
      </w:r>
    </w:p>
    <w:p>
      <w:pPr>
        <w:pStyle w:val="Heading1"/>
      </w:pPr>
      <w:r>
        <w:t>Abstract</w:t>
      </w:r>
    </w:p>
    <w:p>
      <w:pPr>
        <w:ind w:firstLine="720"/>
      </w:pPr>
      <w:r>
        <w:rPr>
          <w:b w:val="0"/>
          <w:i w:val="0"/>
        </w:rPr>
        <w:t>We show that FOMC statement sentiment responds asymmetrically to monetary policy shocks, and that this asymmetry depends on the policy regime. Using a baseline sample of 131 FOMC meetings (2006–2022) with Acosta (2022) target and path shocks and Central Bank (CB) dictionary sentiment scores (extended to 164 meetings for the ZLB structural break test), we estimate a regime-interaction model: CB = α + β₁·target + β₂·path + β₃·direction + β₄·target×direction + β₅·path×direction + ε, where direction = +1 for rate hikes, −1 for cuts, and 0 for holds. Both interaction terms are significant: target×direction (t = 3.73, wild bootstrap p = 0.033) captures dovish asymmetry—language amplifies hawkish signals but barely responds to dovish shifts—while path×direction (t = −2.93, wild bootstrap p = 0.010) captures the forward guidance channel—path shocks affect language primarily during rate cuts, when forward guidance substitutes for rate changes. A Davidson-MacKinnon J-test confirms that this specification encompasses simpler alternatives (target², target×D_hawk). The result is specific to the ZLB and post-ZLB era (Chow test F = 14.12, p &lt; 0.001) and robust to dropping the financial crisis and COVID periods. The direction-interaction model is the only specification with significant out-of-sample predictive power (Diebold-Mariano p = 0.029).</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rFonts w:ascii="Times New Roman" w:hAnsi="Times New Roman"/>
          <w:sz w:val="24"/>
        </w:rPr>
        <w:t>The primary specification is a regime-interaction model that allows both the target and path shock slopes to differ across policy regimes: CB = α + β₁·target + β₂·path + β₃·direction + β₄·target×direction + β₅·path×direction + ε, where direction = +1 for rate hike meetings, −1 for rate cut meetings, and 0 for meetings with no rate change. This specification captures two distinct channels. First, target×direction captures dovish asymmetry: the Fed's language amplifies target shocks during rate hikes but barely responds during rate cuts. Second, path×direction captures the forward guidance channel: path shocks (forward guidance surprises) affect language primarily during rate cuts, when the Fed relies on language rather than rate changes to signal policy. Table 2 reports the results. In the ZLB+Post sample (N = 109), both interaction terms are significant: target×direction t = 3.73 (wild bootstrap p = 0.033) and path×direction t = −2.93 (wild bootstrap p = 0.010). The model explains 18.2% of the variation in CB scores, compared to 13.8% for the D_hawk-only interaction and 7.2% for the quadratic model. A Davidson-MacKinnon J-test confirms that the direction-interaction model encompasses the D_hawk model (J = 3.45, p = 0.001), while the reverse test is insignificant (J = 0.28, p = 0.776). The direction variable captures the intended policy stance (hike/cut/hold), which is distinct from the surprise direction (D_hawk = I(target &gt; 0)): the two have a correlation of only 0.47, and 28 meetings have conflicting signs.</w:t>
      </w:r>
    </w:p>
    <w:p>
      <w:pPr>
        <w:ind w:firstLine="720"/>
      </w:pPr>
      <w:r>
        <w:rPr>
          <w:rFonts w:ascii="Times New Roman" w:hAnsi="Times New Roman"/>
          <w:sz w:val="24"/>
        </w:rPr>
        <w:t>The negative sign on path×direction (β₅ = −0.023) indicates that during rate-cut meetings, a positive path shock (upward revision of expected future rates) makes the statement more dovish (lower CB score), while during rate-hike meetings, the same path shock has a muted effect. This is consistent with the forward guidance channel: when the Fed is cutting rates, it uses language to signal future policy, making path surprises more consequential for statement sentiment. When the Fed is hiking rates, the rate change itself is the primary signal, and forward guidance language is less relevant.</w:t>
      </w:r>
    </w:p>
    <w:p>
      <w:pPr/>
      <w:r>
        <w:rPr>
          <w:rFonts w:ascii="Times New Roman" w:hAnsi="Times New Roman"/>
          <w:b/>
          <w:sz w:val="20"/>
        </w:rPr>
        <w:t>Figure 5: Regime-Dependent Target Shock Response (Direction-interaction model; ZLB+Post)</w:t>
      </w:r>
      <w:r>
        <w:drawing>
          <wp:inline xmlns:a="http://schemas.openxmlformats.org/drawingml/2006/main" xmlns:pic="http://schemas.openxmlformats.org/drawingml/2006/picture">
            <wp:extent cx="5486400" cy="1896306"/>
            <wp:docPr id="6" name="Picture 6"/>
            <wp:cNvGraphicFramePr>
              <a:graphicFrameLocks noChangeAspect="1"/>
            </wp:cNvGraphicFramePr>
            <a:graphic>
              <a:graphicData uri="http://schemas.openxmlformats.org/drawingml/2006/picture">
                <pic:pic>
                  <pic:nvPicPr>
                    <pic:cNvPr id="0" name="fig5_regime_slopes.png"/>
                    <pic:cNvPicPr/>
                  </pic:nvPicPr>
                  <pic:blipFill>
                    <a:blip r:embed="rId14"/>
                    <a:stretch>
                      <a:fillRect/>
                    </a:stretch>
                  </pic:blipFill>
                  <pic:spPr>
                    <a:xfrm>
                      <a:off x="0" y="0"/>
                      <a:ext cx="5486400" cy="1896306"/>
                    </a:xfrm>
                    <a:prstGeom prst="rect"/>
                  </pic:spPr>
                </pic:pic>
              </a:graphicData>
            </a:graphic>
          </wp:inline>
        </w:drawing>
      </w:r>
    </w:p>
    <w:p>
      <w:pPr/>
      <w:r>
        <w:rPr>
          <w:rFonts w:ascii="Times New Roman" w:hAnsi="Times New Roman"/>
          <w:b/>
          <w:sz w:val="20"/>
        </w:rPr>
        <w:t>Figure 6: Regime-Dependent Path Shock Response (Forward Guidance Channel) (path×direction t = −2.93; ZLB+Post)</w:t>
      </w:r>
      <w:r>
        <w:drawing>
          <wp:inline xmlns:a="http://schemas.openxmlformats.org/drawingml/2006/main" xmlns:pic="http://schemas.openxmlformats.org/drawingml/2006/picture">
            <wp:extent cx="5486400" cy="1896306"/>
            <wp:docPr id="7" name="Picture 7"/>
            <wp:cNvGraphicFramePr>
              <a:graphicFrameLocks noChangeAspect="1"/>
            </wp:cNvGraphicFramePr>
            <a:graphic>
              <a:graphicData uri="http://schemas.openxmlformats.org/drawingml/2006/picture">
                <pic:pic>
                  <pic:nvPicPr>
                    <pic:cNvPr id="0" name="fig6_path_regime.png"/>
                    <pic:cNvPicPr/>
                  </pic:nvPicPr>
                  <pic:blipFill>
                    <a:blip r:embed="rId15"/>
                    <a:stretch>
                      <a:fillRect/>
                    </a:stretch>
                  </pic:blipFill>
                  <pic:spPr>
                    <a:xfrm>
                      <a:off x="0" y="0"/>
                      <a:ext cx="5486400" cy="1896306"/>
                    </a:xfrm>
                    <a:prstGeom prst="rect"/>
                  </pic:spPr>
                </pic:pic>
              </a:graphicData>
            </a:graphic>
          </wp:inline>
        </w:drawing>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3:1 hawkish-to-dovish slope ratio (interaction model).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1"/>
      </w:pPr>
      <w:r>
        <w:t>4.4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r>
        <w:rPr>
          <w:rFonts w:ascii="Times New Roman" w:hAnsi="Times New Roman"/>
          <w:sz w:val="20"/>
        </w:rPr>
        <w:t>Table 7: Subsample Robustness — Interaction Model (ZLB+Post)</w:t>
        <w:br/>
        <w:t>Model: CB = α + β₁·target + β₂·path + β₃·target × D_hawk + ε (HAC standard errors)</w:t>
        <w:br/>
        <w:br/>
        <w:t>Sample                              N   target×D_hawk t   R²</w:t>
        <w:br/>
        <w:t>────────────────────────────────────────────────────────────</w:t>
        <w:br/>
        <w:t>ZLB+Post (baseline)               109        4.79        0.138</w:t>
        <w:br/>
        <w:t>Drop 2008–2009 crisis             100        2.68        0.118</w:t>
        <w:br/>
        <w:t>Drop 2020–2022 COVID               89        3.82        0.097</w:t>
        <w:br/>
        <w:t>Post-QE, pre-COVID (2014–2019)     48        1.42        0.091</w:t>
        <w:br/>
        <w:t>Full extended (N=164)             164        2.53        0.111</w:t>
        <w:br/>
        <w:t>────────────────────────────────────────────────────────────</w:t>
        <w:br/>
        <w:br/>
        <w:t>Inference (ZLB+Post baseline):</w:t>
        <w:br/>
        <w:t xml:space="preserve">  HAC t = 4.79</w:t>
        <w:br/>
        <w:t xml:space="preserve">  Permutation p &lt; 0.001 (5,000 replications)</w:t>
        <w:br/>
        <w:t xml:space="preserve">  Wild bootstrap p = 0.010 (5,000 replications, under H0)</w:t>
        <w:br/>
        <w:t xml:space="preserve">  Time-series-preserving permutation p &lt; 0.001</w:t>
        <w:br/>
        <w:br/>
        <w:t>Counterfactual break dates (interaction model t):</w:t>
        <w:br/>
        <w:t xml:space="preserve">  2006-01 (placebo): 4.08</w:t>
        <w:br/>
        <w:t xml:space="preserve">  2008-12 (actual ZLB): 4.79</w:t>
        <w:br/>
        <w:t xml:space="preserve">  2009-03 (QE1 peak): 3.06</w:t>
        <w:br/>
        <w:t xml:space="preserve">  2014-01 (taper): 2.29</w:t>
        <w:br/>
        <w:br/>
        <w:t>Note: The interaction model passes all four inference methods, including wild bootstrap (p = 0.010). The quadratic model (target²) fails the wild bootstrap test (p = 0.076).</w:t>
      </w:r>
    </w:p>
    <w:p>
      <w:pPr/>
      <w:r>
        <w:rPr>
          <w:rFonts w:ascii="Times New Roman" w:hAnsi="Times New Roman"/>
          <w:sz w:val="20"/>
        </w:rPr>
        <w:t>Table 8: Specification Comparison (ZLB+Post, N = 109)</w:t>
        <w:br/>
        <w:br/>
        <w:t xml:space="preserve">                    k    R²     AdjR²   AIC     BIC    Key1 t   Key2 t   Wild boot p   OOS DM p</w:t>
        <w:br/>
        <w:t>────────────────────────────────────────────────────────────────────────────────────────────────────</w:t>
        <w:br/>
        <w:t>M1: Linear          3   0.027   0.008   -543    -535     —        —         —            —</w:t>
        <w:br/>
        <w:t>M2: Quadratic       4   0.072   0.046   -546    -535    2.77      —       0.076         0.520</w:t>
        <w:br/>
        <w:t>M3: D_hawk interact 4   0.138   0.113   -554    -543    4.79      —       0.010         0.055</w:t>
        <w:br/>
        <w:t>M4: Direction int.  6   0.182   0.142   -556    -540    3.73   -2.93      0.033         0.029</w:t>
        <w:br/>
        <w:t>M5: Piecewise       4   0.138   0.113   -554    -543    3.90   -3.67       —           0.055</w:t>
        <w:br/>
        <w:t>────────────────────────────────────────────────────────────────────────────────────────────────────</w:t>
        <w:br/>
        <w:br/>
        <w:t>Key1 t = target² (M2), target×D_hawk (M3), target×direction (M4), target⁺ (M5)</w:t>
        <w:br/>
        <w:t>Key2 t = path×direction (M4), target⁻ (M5)</w:t>
        <w:br/>
        <w:t>Wild bootstrap p: under H0, restricted residuals, 5,000 replications</w:t>
        <w:br/>
        <w:t>OOS DM p: Diebold-Mariano test vs M1 (Linear), expanding window</w:t>
        <w:br/>
        <w:br/>
        <w:t>Davidson-MacKinnon J-test:</w:t>
        <w:br/>
        <w:t xml:space="preserve">  ŷ(M4) added to M3: t = 3.45, p = 0.001 → M4 has info M3 misses</w:t>
        <w:br/>
        <w:t xml:space="preserve">  ŷ(M3) added to M4: t = 0.28, p = 0.776 → M3 has no info beyond M4</w:t>
        <w:br/>
        <w:t xml:space="preserve">  → M4 encompasses M3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8.7 meetings (about 14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rPr>
          <w:rFonts w:ascii="Times New Roman" w:hAnsi="Times New Roman"/>
          <w:sz w:val="24"/>
        </w:rPr>
        <w:t>The rapid development of large language models (LLMs) offers a natural upgrade path for dictionary-based sentiment analysis. Gambacorta, Iannotta, and Liao (2024) train central bank language models (CB-LMs) on 164,622 central bank communications from 169 institutions,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Specification Comparison and Encompassing Tests</w:t>
      </w:r>
    </w:p>
    <w:p>
      <w:pPr>
        <w:ind w:firstLine="720"/>
      </w:pPr>
      <w:r>
        <w:rPr>
          <w:rFonts w:ascii="Times New Roman" w:hAnsi="Times New Roman"/>
          <w:sz w:val="24"/>
        </w:rPr>
        <w:t>Table 8 compares five specifications. The direction-interaction model (M4) has the highest R² (0.182) and passes all inference methods. The quadratic model (M2) fails the wild bootstrap test (p = 0.076). The D_hawk interaction (M3) passes wild bootstrap (p = 0.010) but is encompassed by M4: a Davidson-MacKinnon J-test adding the fitted values of M4 to M3 yields t = 3.45 (p = 0.001), while the reverse test is insignificant (t = 0.28, p = 0.776). The piecewise model (M5) is mathematically equivalent to M3 with different parameterization. Out-of-sample, only M4 achieves significant predictive improvement over the linear model (Diebold-Mariano p = 0.029); M3 is marginal (p = 0.055) and M2 is insignificant (p = 0.520). The key difference is the path×direction term: it captures the forward guidance channel (path shocks matter during rate cuts, t = −2.93), which is absent from M2 and M3. This channel is economically important: during the ZLB, the Fed relies on forward guidance language to substitute for rate changes, making path shocks more relevant for statement sentiment during rate-cut meetings.</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rPr>
          <w:rFonts w:ascii="Times New Roman" w:hAnsi="Times New Roman"/>
          <w:sz w:val="20"/>
        </w:rPr>
        <w:t>Gambacorta, L., Iannotta, G., and G. Liao (2024). "Large Language Models and Central Bank Communication." Journal of Monetary Economics, 142,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