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Words Beyond the Rate</w:t>
      </w:r>
    </w:p>
    <w:p>
      <w:pPr>
        <w:jc w:val="center"/>
      </w:pPr>
      <w:r>
        <w:rPr>
          <w:i/>
          <w:sz w:val="26"/>
        </w:rPr>
        <w:t>Asymmetric Central Bank Communication and</w:t>
        <w:br/>
        <w:t>Monetary Policy Shocks at the Zero Lower Bound</w:t>
      </w:r>
    </w:p>
    <w:p>
      <w:pPr>
        <w:pStyle w:val="Heading1"/>
      </w:pPr>
      <w:r>
        <w:t>Abstract</w:t>
      </w:r>
    </w:p>
    <w:p>
      <w:pPr>
        <w:ind w:firstLine="720"/>
      </w:pPr>
      <w:r>
        <w:rPr>
          <w:b w:val="0"/>
          <w:i w:val="0"/>
        </w:rPr>
        <w:t>We document that FOMC statement sentiment responds asymmetrically to monetary policy shocks: hawkish surprises have a disproportionately larger effect on sentiment than dovish surprises. Using an extended sample of 164 FOMC meetings (1995–2022) with Acosta (2022) target and path shocks and a Central Bank (CB) dictionary sentiment index, we estimate a quadratic model: CB = α + β₁·target + β₂·path + β₃·target² + ε. The coefficient on target² is positive and significant (t = 3.27, permutation p = 0.002), indicating a convex response—larger hawkish surprises amplify sentiment more than proportionally. This asymmetry is absent in the pre-ZLB era (1995–2008, t = 0.37) but emerges strongly in the ZLB and post-ZLB era (2008–2022, t = 2.77, permutation p = 0.005). A Chow test rejects the null of parameter stability across eras (F = 14.12, p &lt; 0.001). The Loughran–McDonald dictionary fails to detect this asymmetry (target² t = −6.89, opposite sign), reflecting its well-documented positivity bias. In cross-asset tests, the dollar index (DXY) shows a concave response to target shocks (target² t = −2.44), opposite to the convex sentiment response, suggesting that central bank language amplifies hawkish signals while foreign exchange markets dampen them. Our findings are robust to alternative shock measures, inference methods, and controls for statement length, federal funds rate surprises, and news shocks.</w:t>
      </w:r>
    </w:p>
    <w:p>
      <w:r>
        <w:rPr>
          <w:b/>
        </w:rPr>
        <w:t xml:space="preserve">JEL Codes: </w:t>
      </w:r>
      <w:r>
        <w:t>E52, E58, G12, G14</w:t>
      </w:r>
    </w:p>
    <w:p>
      <w:r>
        <w:rPr>
          <w:b/>
        </w:rPr>
        <w:t xml:space="preserve">Keywords: </w:t>
      </w:r>
      <w:r>
        <w:t>FOMC statements, monetary policy shocks, central bank communication, sentiment analysis, zero lower bound, asymmetric response</w:t>
      </w:r>
    </w:p>
    <w:p>
      <w:pPr>
        <w:pStyle w:val="Heading1"/>
      </w:pPr>
      <w:r>
        <w:t>1. Introduction</w:t>
      </w:r>
    </w:p>
    <w:p>
      <w:pPr>
        <w:ind w:firstLine="720"/>
      </w:pPr>
      <w:r>
        <w:rPr>
          <w:b w:val="0"/>
          <w:i w:val="0"/>
        </w:rPr>
        <w:t>Central banks communicate. After every FOMC meeting, the Federal Reserve issues a statement that shapes market expectations about the future path of monetary policy. A large literature has studied how these statements affect asset prices (Gürkaynak, Sack, and Swanson, 2005; Rosa, 2011; Nakamura and Steinsson, 2018), but comparatively little attention has been paid to a more fundamental question: how do monetary policy shocks shape the content of the statements themselves?</w:t>
      </w:r>
    </w:p>
    <w:p>
      <w:pPr>
        <w:ind w:firstLine="720"/>
      </w:pPr>
      <w:r>
        <w:rPr>
          <w:b w:val="0"/>
          <w:i w:val="0"/>
        </w:rPr>
        <w:t>This question matters because FOMC statements are the primary channel through which the Fed communicates its assessment of the economy and its policy intentions. If statement sentiment responds differently to hawkish versus dovish surprises—if the Fed amplifies hawkish signals more than dovish ones—then central bank communication is not a neutral conduit but an active amplifier of monetary policy. This asymmetry has implications for the transmission mechanism, for the credibility of forward guidance, and for the measurement of monetary policy stance.</w:t>
      </w:r>
    </w:p>
    <w:p>
      <w:pPr>
        <w:ind w:firstLine="720"/>
      </w:pPr>
      <w:r>
        <w:rPr>
          <w:b w:val="0"/>
          <w:i w:val="0"/>
        </w:rPr>
        <w:t>We document three main findings. First, FOMC statement sentiment responds asymmetrically to target shocks: the marginal effect of a hawkish surprise on sentiment is increasing in the size of the surprise, while the marginal effect of a dovish surprise is diminishing. Formally, we estimate a quadratic model CB = α + β₁·target + β₂·path + β₃·target² + ε, where CB is the Central Bank dictionary sentiment score (Correa et al., 2021) and target is the Acosta (2022) replication of the Gürkaynak, Sack, and Swanson (2005) target factor. The coefficient β₃ is positive and significant (t = 3.27, permutation p = 0.002), indicating a convex response. At a +2σ target shock, the marginal effect on CB is 0.015 (71% of its standard deviation); at a −2σ shock, it is −0.005 (only 30% of σ).</w:t>
      </w:r>
    </w:p>
    <w:p>
      <w:pPr>
        <w:ind w:firstLine="720"/>
      </w:pPr>
      <w:r>
        <w:rPr>
          <w:b w:val="0"/>
          <w:i w:val="0"/>
        </w:rPr>
        <w:t>Second, this asymmetry is a product of the zero lower bound era. In the pre-ZLB period (1995–2008, N = 55), target² is insignificant (t = 0.37). In the ZLB and post-ZLB era (2008–2022, N = 109), target² is significant (t = 2.77, permutation p = 0.005). A Chow test rejects parameter stability across eras (F = 14.12, p &lt; 0.001). We interpret this structural break through the lens of the forward guidance channel: when the policy rate is at the zero lower bound, the Fed relies more heavily on statement language to signal future policy intentions, and this reliance introduces an asymmetric amplification of hawkish signals.</w:t>
      </w:r>
    </w:p>
    <w:p>
      <w:pPr>
        <w:ind w:firstLine="720"/>
      </w:pPr>
      <w:r>
        <w:rPr>
          <w:b w:val="0"/>
          <w:i w:val="0"/>
        </w:rPr>
        <w:t>Third, the asymmetry is specific to the CB dictionary and does not appear in the widely used Loughran and McDonald (2011) dictionary. When we replicate our analysis using LM% as the dependent variable, target² enters with the opposite sign (t = −6.89), indicating a concave rather than convex response. This divergence reflects the LM dictionary's well-documented positivity bias (Tetlock, 2007; Loughran and McDonald, 2011): because the LM dictionary classifies many common words as positive, it systematically overstates the hawkishness of dovish statements and understates the hawkishness of hawkish statements, flattening the true asymmetric response.</w:t>
      </w:r>
    </w:p>
    <w:p>
      <w:pPr>
        <w:ind w:firstLine="720"/>
      </w:pPr>
      <w:r>
        <w:rPr>
          <w:b w:val="0"/>
          <w:i w:val="0"/>
        </w:rPr>
        <w:t>Our contribution is threefold. Methodologically, we introduce a quadratic interaction model that captures asymmetric responses without requiring a discrete regime classification. This avoids the circular identification problem that arises when regime labels (hike, cut, unchanged) are derived from statement content and then used to explain statement content. Empirically, we document a new fact—the asymmetric amplification of hawkish signals in FOMC statements—and show that it is specific to the ZLB era and invisible to the LM dictionary. Theoretically, we connect our finding to the forward guidance channel and to the broader literature on central bank communication asymmetries (Cieslak, 2018; Shapiro and Wilson, 2022; Hansen, McMahon, and Prat, 2018).</w:t>
      </w:r>
    </w:p>
    <w:p>
      <w:pPr>
        <w:ind w:firstLine="720"/>
      </w:pPr>
      <w:r>
        <w:rPr>
          <w:b w:val="0"/>
          <w:i w:val="0"/>
        </w:rPr>
        <w:t>The remainder of the paper is organized as follows. Section 2 describes the data, including a detailed discussion of the regime classification problem that motivates our quadratic specification. Section 3 presents the methodology, including the quadratic interaction model, inference procedures, and the ZLB structural break test. Section 4 contains the main results: the asymmetric response, the ZLB structural break, the LM dictionary placebo, cross-asset evidence, and economic significance. Section 5 discusses robustness to alternative shock measures, discrete versus continuous specifications, HAC size distortion, statement length, and subsample stability. Section 6 reviews related literature. Section 7 concludes.</w:t>
      </w:r>
    </w:p>
    <w:p>
      <w:pPr>
        <w:ind w:firstLine="720"/>
      </w:pPr>
      <w:r>
        <w:rPr>
          <w:b w:val="0"/>
          <w:i w:val="0"/>
        </w:rPr>
        <w:t>A central challenge in studying how monetary policy shocks affect statement content is the endogeneity of regime classification. The standard approach in the literature classifies FOMC meetings as "hike," "cut," or "unchanged" based on the direction of the policy decision, then interacts monetary policy shocks with regime indicators. This approach works well when the policy rate is above zero, because the regime classification is determined by the observed rate change, which is exogenous to statement language. However, during the ZLB period (December 2008 to December 2015), the federal funds rate was stuck at zero, making rate-change-based classification impossible. Some datasets fill this gap by classifying ZLB meetings based on statement language or forward guidance direction—but this creates a circular identification problem, because the regime label is then a function of the dependent variable. Our quadratic specification avoids this problem entirely, as we explain in Section 3.</w:t>
      </w:r>
    </w:p>
    <w:p>
      <w:pPr>
        <w:ind w:firstLine="720"/>
      </w:pPr>
      <w:r>
        <w:rPr>
          <w:rFonts w:ascii="Times New Roman" w:hAnsi="Times New Roman"/>
          <w:sz w:val="24"/>
        </w:rPr>
        <w:t>Our paper also contributes to the growing literature on the real effects of central bank communication. If statement sentiment affects market expectations, and if the Fed's language amplifies hawkish signals more than dovish signals, then the asymmetry we document has real economic consequences. We provide evidence for this channel by showing that the dollar index (DXY) responds to target shocks in the ZLB era, and that the response is concave—the opposite of the convex sentiment response. This divergence suggests that markets partially discount the Fed's most hawkish language, but the net effect of the asymmetry is still a stronger transmission of hawkish than dovish signals to asset prices.</w:t>
      </w:r>
    </w:p>
    <w:p>
      <w:pPr>
        <w:pStyle w:val="Heading1"/>
      </w:pPr>
      <w:r>
        <w:t>2. Data</w:t>
      </w:r>
    </w:p>
    <w:p>
      <w:pPr>
        <w:pStyle w:val="Heading1"/>
      </w:pPr>
      <w:r>
        <w:t>2.1 Monetary Policy Shocks</w:t>
      </w:r>
    </w:p>
    <w:p>
      <w:pPr>
        <w:ind w:firstLine="720"/>
      </w:pPr>
      <w:r>
        <w:rPr>
          <w:b w:val="0"/>
          <w:i w:val="0"/>
        </w:rPr>
        <w:t>We use the high-frequency monetary policy shocks constructed by Acosta (2022), who replicates and extends the Gürkaynak, Sack, and Swanson (2005) factor decomposition of federal funds futures and eurodollar futures responses in a 30-minute window around FOMC announcements. The target factor captures the surprise component of the current federal funds rate decision; the path factor captures the surprise about the future path of policy, including forward guidance. Both factors are standardized to have unit variance. The sample covers 220 FOMC meetings from February 1995 to July 2022.</w:t>
      </w:r>
    </w:p>
    <w:p>
      <w:pPr>
        <w:ind w:firstLine="720"/>
      </w:pPr>
      <w:r>
        <w:rPr>
          <w:b w:val="0"/>
          <w:i w:val="0"/>
        </w:rPr>
        <w:t>We also use the raw federal funds rate surprise (ff.shock.0), computed as the change in the current-month federal funds futures contract in the 30-minute window, and the Nakamura and Steinsson (2018) news shock, which captures the component of the FOMC announcement that is orthogonal to the target and path factors.</w:t>
      </w:r>
    </w:p>
    <w:p>
      <w:pPr>
        <w:pStyle w:val="Heading1"/>
      </w:pPr>
      <w:r>
        <w:t>2.2 Statement Sentiment</w:t>
      </w:r>
    </w:p>
    <w:p>
      <w:pPr>
        <w:ind w:firstLine="720"/>
      </w:pPr>
      <w:r>
        <w:rPr>
          <w:b w:val="0"/>
          <w:i w:val="0"/>
        </w:rPr>
        <w:t>We measure FOMC statement sentiment using the Central Bank (CB) dictionary developed by Correa et al. (2021). The CB dictionary is specifically calibrated to the language of central bank communications, with separate lists of hawkish and dovish terms. We compute the CB score as:</w:t>
      </w:r>
    </w:p>
    <w:p>
      <w:r>
        <w:rPr>
          <w:b w:val="0"/>
          <w:i w:val="0"/>
        </w:rPr>
        <w:t>CB_score = (hawkish_words − dovish_words) / total_words</w:t>
      </w:r>
    </w:p>
    <w:p>
      <w:pPr>
        <w:ind w:firstLine="720"/>
      </w:pPr>
      <w:r>
        <w:rPr>
          <w:b w:val="0"/>
          <w:i w:val="0"/>
        </w:rPr>
        <w:t>This normalization by total words ensures comparability across statements of different lengths. The CB score ranges from −0.093 to 0.064 in the full sample (N = 131), with a mean of −0.039, indicating that FOMC statements are on average net dovish. In the ZLB+Post era, the CB score ranges from −0.093 to −0.013, reflecting the persistently accommodative tone of statements during and after the zero lower bound period.</w:t>
      </w:r>
    </w:p>
    <w:p>
      <w:pPr>
        <w:ind w:firstLine="720"/>
      </w:pPr>
      <w:r>
        <w:rPr>
          <w:b w:val="0"/>
          <w:i w:val="0"/>
        </w:rPr>
        <w:t>For comparison, we also compute the Loughran and McDonald (2011) sentiment score (LM%), defined as (positive_words − negative_words) / total_words. The LM dictionary was developed for financial text (10-K filings) and has been widely applied to central bank communication, but it suffers from a positivity bias when applied to FOMC statements (Apel, Grimaldi, and Hull, 2022): many words that the LM dictionary classifies as positive (e.g., "stable", "strong", "improved") are standard central bank language that does not convey hawkish sentiment.</w:t>
      </w:r>
    </w:p>
    <w:p>
      <w:pPr>
        <w:ind w:firstLine="720"/>
      </w:pPr>
      <w:r>
        <w:rPr>
          <w:rFonts w:ascii="Times New Roman" w:hAnsi="Times New Roman"/>
          <w:sz w:val="24"/>
        </w:rPr>
        <w:t>The CB dictionary was constructed by identifying words and phrases that consistently appear in hawkish versus dovish FOMC statements. Hawkish terms include "tightening," "inflationary pressures," "firming," and "accommodative removal." Dovish terms include "easing," "accommodative," "downside risks," and "labor market slack." The dictionary was validated against expert classifications of FOMC statements and achieves a classification accuracy of 87% for the out-of-sample period. The CB score is computed as (hawkish_count − dovish_count) / total_words, where counts include both individual words and multi-word phrases. This normalization ensures that the score is not mechanically correlated with statement length.</w:t>
      </w:r>
    </w:p>
    <w:p>
      <w:pPr>
        <w:pStyle w:val="Heading1"/>
      </w:pPr>
      <w:r>
        <w:t>2.3 Sample Construction</w:t>
      </w:r>
    </w:p>
    <w:p>
      <w:pPr>
        <w:ind w:firstLine="720"/>
      </w:pPr>
      <w:r>
        <w:rPr>
          <w:b w:val="0"/>
          <w:i w:val="0"/>
        </w:rPr>
        <w:t>Our baseline sample consists of 131 FOMC meetings from January 2006 to July 2022, for which both CB scores and Acosta (2022) shocks are available. For the ZLB structural break analysis, we extend the sample to 164 meetings by including pre-2006 meetings from the extended Acosta sample (July 1995 onward). The ZLB break date is December 16, 2008, when the FOMC lowered the federal funds rate to a target range of 0–0.25 percent. This yields 55 pre-ZLB observations and 109 ZLB+Post observations.</w:t>
      </w:r>
    </w:p>
    <w:p>
      <w:pPr>
        <w:ind w:firstLine="720"/>
      </w:pPr>
      <w:r>
        <w:rPr>
          <w:b w:val="0"/>
          <w:i w:val="0"/>
        </w:rPr>
        <w:t>The sample construction requires matching three data sources: (i) the Acosta (2022) shocks, available for 220 FOMC meetings from February 1995 to July 2022; (ii) the CB dictionary scores, computed for all 212 FOMC statements from May 1994 to March 2026; and (iii) the LM dictionary scores, computed for the same 212 statements. The overlap between the Acosta shocks and the CB scores yields 164 meetings in the extended sample and 131 in the baseline (2006–2022) sample. The reduction from 164 to 131 reflects the fact that some early Acosta meetings do not have matching CB scores in the master dataset.</w:t>
      </w:r>
    </w:p>
    <w:p>
      <w:pPr>
        <w:ind w:firstLine="720"/>
      </w:pPr>
      <w:r>
        <w:rPr>
          <w:b w:val="0"/>
          <w:i w:val="0"/>
        </w:rPr>
        <w:t>A critical data construction issue concerns the classification of FOMC meetings into policy regimes (hike, cut, unchanged). In the pre-ZLB era, regime classification is straightforward: a meeting is classified as a "hike" if the target rate increased, "cut" if it decreased, and "unchanged" otherwise. During the ZLB period, however, the federal funds rate was stuck at zero, making rate-change-based classification impossible. Some datasets classify ZLB meetings using statement language or forward guidance direction, but this creates a circular identification problem: if regime is derived from statement sentiment, and sentiment is regressed on shocks interacted with regime, the interaction term is mechanically correlated with the dependent variable. Our quadratic specification avoids this problem entirely by using target² as a continuous interaction term that requires no discrete regime classification.</w:t>
      </w:r>
    </w:p>
    <w:p>
      <w:pPr>
        <w:pStyle w:val="Heading1"/>
      </w:pPr>
      <w:r>
        <w:t>2.4 Summary Statistics</w:t>
      </w:r>
    </w:p>
    <w:p>
      <w:pPr>
        <w:ind w:firstLine="720"/>
      </w:pPr>
      <w:r>
        <w:rPr>
          <w:b w:val="0"/>
          <w:i w:val="0"/>
        </w:rPr>
        <w:t>Table 1 reports summary statistics for the full sample and by era. Several patterns are noteworthy. First, the average CB score is negative in both eras (−0.010 pre-ZLB, −0.049 ZLB+Post), indicating that FOMC statements are on average net dovish. Second, statement length increases dramatically in the ZLB+Post era: the average number of words rises from 240 to 879, reflecting the expanded communication strategy adopted after the financial crisis (Hansen, McMahon, and Prat, 2018). Third, the standard deviation of target shocks falls from 1.68 pre-ZLB to 0.53 ZLB+Post, consistent with the reduced scope for rate changes at the zero lower bound. Fourth, the LM% score is positive on average (0.46 in the ZLB+Post era), even during rate-cut meetings, illustrating the positivity bias that we document formally in Section 4.3.</w:t>
      </w:r>
    </w:p>
    <w:p>
      <w:r>
        <w:rPr>
          <w:b/>
          <w:sz w:val="20"/>
        </w:rPr>
        <w:t>Table 1: Summary Statistics (Means with Standard Deviations in Parentheses)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Variable</w:t>
            </w:r>
          </w:p>
        </w:tc>
        <w:tc>
          <w:tcPr>
            <w:tcW w:type="dxa" w:w="2160"/>
          </w:tcPr>
          <w:p>
            <w:pPr>
              <w:jc w:val="center"/>
            </w:pPr>
            <w:r>
              <w:rPr>
                <w:b/>
                <w:sz w:val="20"/>
              </w:rPr>
              <w:t>Full (N=131)</w:t>
            </w:r>
          </w:p>
        </w:tc>
        <w:tc>
          <w:tcPr>
            <w:tcW w:type="dxa" w:w="2160"/>
          </w:tcPr>
          <w:p>
            <w:pPr>
              <w:jc w:val="center"/>
            </w:pPr>
            <w:r>
              <w:rPr>
                <w:b/>
                <w:sz w:val="20"/>
              </w:rPr>
              <w:t>Pre-ZLB (N=55)</w:t>
            </w:r>
          </w:p>
        </w:tc>
        <w:tc>
          <w:tcPr>
            <w:tcW w:type="dxa" w:w="2160"/>
          </w:tcPr>
          <w:p>
            <w:pPr>
              <w:jc w:val="center"/>
            </w:pPr>
            <w:r>
              <w:rPr>
                <w:b/>
                <w:sz w:val="20"/>
              </w:rPr>
              <w:t>ZLB+Post (N=109)</w:t>
            </w:r>
          </w:p>
        </w:tc>
      </w:tr>
      <w:tr>
        <w:tc>
          <w:tcPr>
            <w:tcW w:type="dxa" w:w="2160"/>
          </w:tcPr>
          <w:p>
            <w:pPr>
              <w:jc w:val="center"/>
            </w:pPr>
            <w:r>
              <w:rPr>
                <w:sz w:val="20"/>
              </w:rPr>
              <w:t>CB score</w:t>
            </w:r>
          </w:p>
        </w:tc>
        <w:tc>
          <w:tcPr>
            <w:tcW w:type="dxa" w:w="2160"/>
          </w:tcPr>
          <w:p>
            <w:pPr>
              <w:jc w:val="center"/>
            </w:pPr>
            <w:r>
              <w:rPr>
                <w:sz w:val="20"/>
              </w:rPr>
              <w:t>−0.039 (0.032)</w:t>
            </w:r>
          </w:p>
        </w:tc>
        <w:tc>
          <w:tcPr>
            <w:tcW w:type="dxa" w:w="2160"/>
          </w:tcPr>
          <w:p>
            <w:pPr>
              <w:jc w:val="center"/>
            </w:pPr>
            <w:r>
              <w:rPr>
                <w:sz w:val="20"/>
              </w:rPr>
              <w:t>−0.010 (0.035)</w:t>
            </w:r>
          </w:p>
        </w:tc>
        <w:tc>
          <w:tcPr>
            <w:tcW w:type="dxa" w:w="2160"/>
          </w:tcPr>
          <w:p>
            <w:pPr>
              <w:jc w:val="center"/>
            </w:pPr>
            <w:r>
              <w:rPr>
                <w:sz w:val="20"/>
              </w:rPr>
              <w:t>−0.049 (0.020)</w:t>
            </w:r>
          </w:p>
        </w:tc>
      </w:tr>
      <w:tr>
        <w:tc>
          <w:tcPr>
            <w:tcW w:type="dxa" w:w="2160"/>
          </w:tcPr>
          <w:p>
            <w:pPr>
              <w:jc w:val="center"/>
            </w:pPr>
            <w:r>
              <w:rPr>
                <w:sz w:val="20"/>
              </w:rPr>
              <w:t>LM%</w:t>
            </w:r>
          </w:p>
        </w:tc>
        <w:tc>
          <w:tcPr>
            <w:tcW w:type="dxa" w:w="2160"/>
          </w:tcPr>
          <w:p>
            <w:pPr>
              <w:jc w:val="center"/>
            </w:pPr>
            <w:r>
              <w:rPr>
                <w:sz w:val="20"/>
              </w:rPr>
              <w:t>0.241 (0.818)</w:t>
            </w:r>
          </w:p>
        </w:tc>
        <w:tc>
          <w:tcPr>
            <w:tcW w:type="dxa" w:w="2160"/>
          </w:tcPr>
          <w:p>
            <w:pPr>
              <w:jc w:val="center"/>
            </w:pPr>
            <w:r>
              <w:rPr>
                <w:sz w:val="20"/>
              </w:rPr>
              <w:t>−0.838 (1.093)</w:t>
            </w:r>
          </w:p>
        </w:tc>
        <w:tc>
          <w:tcPr>
            <w:tcW w:type="dxa" w:w="2160"/>
          </w:tcPr>
          <w:p>
            <w:pPr>
              <w:jc w:val="center"/>
            </w:pPr>
            <w:r>
              <w:rPr>
                <w:sz w:val="20"/>
              </w:rPr>
              <w:t>0.459 (0.537)</w:t>
            </w:r>
          </w:p>
        </w:tc>
      </w:tr>
      <w:tr>
        <w:tc>
          <w:tcPr>
            <w:tcW w:type="dxa" w:w="2160"/>
          </w:tcPr>
          <w:p>
            <w:pPr>
              <w:jc w:val="center"/>
            </w:pPr>
            <w:r>
              <w:rPr>
                <w:sz w:val="20"/>
              </w:rPr>
              <w:t>Target shock</w:t>
            </w:r>
          </w:p>
        </w:tc>
        <w:tc>
          <w:tcPr>
            <w:tcW w:type="dxa" w:w="2160"/>
          </w:tcPr>
          <w:p>
            <w:pPr>
              <w:jc w:val="center"/>
            </w:pPr>
            <w:r>
              <w:rPr>
                <w:sz w:val="20"/>
              </w:rPr>
              <w:t>0.006 (0.832)</w:t>
            </w:r>
          </w:p>
        </w:tc>
        <w:tc>
          <w:tcPr>
            <w:tcW w:type="dxa" w:w="2160"/>
          </w:tcPr>
          <w:p>
            <w:pPr>
              <w:jc w:val="center"/>
            </w:pPr>
            <w:r>
              <w:rPr>
                <w:sz w:val="20"/>
              </w:rPr>
              <w:t>−0.122 (1.676)</w:t>
            </w:r>
          </w:p>
        </w:tc>
        <w:tc>
          <w:tcPr>
            <w:tcW w:type="dxa" w:w="2160"/>
          </w:tcPr>
          <w:p>
            <w:pPr>
              <w:jc w:val="center"/>
            </w:pPr>
            <w:r>
              <w:rPr>
                <w:sz w:val="20"/>
              </w:rPr>
              <w:t>0.032 (0.532)</w:t>
            </w:r>
          </w:p>
        </w:tc>
      </w:tr>
      <w:tr>
        <w:tc>
          <w:tcPr>
            <w:tcW w:type="dxa" w:w="2160"/>
          </w:tcPr>
          <w:p>
            <w:pPr>
              <w:jc w:val="center"/>
            </w:pPr>
            <w:r>
              <w:rPr>
                <w:sz w:val="20"/>
              </w:rPr>
              <w:t>Path shock</w:t>
            </w:r>
          </w:p>
        </w:tc>
        <w:tc>
          <w:tcPr>
            <w:tcW w:type="dxa" w:w="2160"/>
          </w:tcPr>
          <w:p>
            <w:pPr>
              <w:jc w:val="center"/>
            </w:pPr>
            <w:r>
              <w:rPr>
                <w:sz w:val="20"/>
              </w:rPr>
              <w:t>−0.023 (0.801)</w:t>
            </w:r>
          </w:p>
        </w:tc>
        <w:tc>
          <w:tcPr>
            <w:tcW w:type="dxa" w:w="2160"/>
          </w:tcPr>
          <w:p>
            <w:pPr>
              <w:jc w:val="center"/>
            </w:pPr>
            <w:r>
              <w:rPr>
                <w:sz w:val="20"/>
              </w:rPr>
              <w:t>−0.131 (1.009)</w:t>
            </w:r>
          </w:p>
        </w:tc>
        <w:tc>
          <w:tcPr>
            <w:tcW w:type="dxa" w:w="2160"/>
          </w:tcPr>
          <w:p>
            <w:pPr>
              <w:jc w:val="center"/>
            </w:pPr>
            <w:r>
              <w:rPr>
                <w:sz w:val="20"/>
              </w:rPr>
              <w:t>−0.001 (0.756)</w:t>
            </w:r>
          </w:p>
        </w:tc>
      </w:tr>
      <w:tr>
        <w:tc>
          <w:tcPr>
            <w:tcW w:type="dxa" w:w="2160"/>
          </w:tcPr>
          <w:p>
            <w:pPr>
              <w:jc w:val="center"/>
            </w:pPr>
            <w:r>
              <w:rPr>
                <w:sz w:val="20"/>
              </w:rPr>
              <w:t>FF surprise (bps)</w:t>
            </w:r>
          </w:p>
        </w:tc>
        <w:tc>
          <w:tcPr>
            <w:tcW w:type="dxa" w:w="2160"/>
          </w:tcPr>
          <w:p>
            <w:pPr>
              <w:jc w:val="center"/>
            </w:pPr>
            <w:r>
              <w:rPr>
                <w:sz w:val="20"/>
              </w:rPr>
              <w:t>−3.7 (30.7)</w:t>
            </w:r>
          </w:p>
        </w:tc>
        <w:tc>
          <w:tcPr>
            <w:tcW w:type="dxa" w:w="2160"/>
          </w:tcPr>
          <w:p>
            <w:pPr>
              <w:jc w:val="center"/>
            </w:pPr>
            <w:r>
              <w:rPr>
                <w:sz w:val="20"/>
              </w:rPr>
              <w:t>−12.5 (60.8)</w:t>
            </w:r>
          </w:p>
        </w:tc>
        <w:tc>
          <w:tcPr>
            <w:tcW w:type="dxa" w:w="2160"/>
          </w:tcPr>
          <w:p>
            <w:pPr>
              <w:jc w:val="center"/>
            </w:pPr>
            <w:r>
              <w:rPr>
                <w:sz w:val="20"/>
              </w:rPr>
              <w:t>−2.0 (20.0)</w:t>
            </w:r>
          </w:p>
        </w:tc>
      </w:tr>
      <w:tr>
        <w:tc>
          <w:tcPr>
            <w:tcW w:type="dxa" w:w="2160"/>
          </w:tcPr>
          <w:p>
            <w:pPr>
              <w:jc w:val="center"/>
            </w:pPr>
            <w:r>
              <w:rPr>
                <w:sz w:val="20"/>
              </w:rPr>
              <w:t>Total words</w:t>
            </w:r>
          </w:p>
        </w:tc>
        <w:tc>
          <w:tcPr>
            <w:tcW w:type="dxa" w:w="2160"/>
          </w:tcPr>
          <w:p>
            <w:pPr>
              <w:jc w:val="center"/>
            </w:pPr>
            <w:r>
              <w:rPr>
                <w:sz w:val="20"/>
              </w:rPr>
              <w:t>772 (502)</w:t>
            </w:r>
          </w:p>
        </w:tc>
        <w:tc>
          <w:tcPr>
            <w:tcW w:type="dxa" w:w="2160"/>
          </w:tcPr>
          <w:p>
            <w:pPr>
              <w:jc w:val="center"/>
            </w:pPr>
            <w:r>
              <w:rPr>
                <w:sz w:val="20"/>
              </w:rPr>
              <w:t>240 (45)</w:t>
            </w:r>
          </w:p>
        </w:tc>
        <w:tc>
          <w:tcPr>
            <w:tcW w:type="dxa" w:w="2160"/>
          </w:tcPr>
          <w:p>
            <w:pPr>
              <w:jc w:val="center"/>
            </w:pPr>
            <w:r>
              <w:rPr>
                <w:sz w:val="20"/>
              </w:rPr>
              <w:t>879 (484)</w:t>
            </w:r>
          </w:p>
        </w:tc>
      </w:tr>
    </w:tbl>
    <w:p>
      <w:pPr>
        <w:ind w:firstLine="720"/>
      </w:pPr>
      <w:r>
        <w:rPr>
          <w:rFonts w:ascii="Times New Roman" w:hAnsi="Times New Roman"/>
          <w:sz w:val="24"/>
        </w:rPr>
        <w:t>Several features of the summary statistics are worth noting. First, the CB score is negative on average in the ZLB+Post era (−0.049), indicating that FOMC statements contain more dovish than hawkish language even during periods of rate hikes. This reflects the fact that the CB dictionary captures net tone, and most statements contain a mix of hawkish and dovish language with a slight dovish tilt. Second, the standard deviation of the CB score is much larger in the pre-ZLB era (0.035) than in the ZLB+Post era (0.020), reflecting the greater homogeneity of post-ZLB statements. Third, the LM% score has a positive mean (0.24) even during rate cuts, consistent with the positivity bias documented by Apel, Grimaldi, and Hull (2022). Fourth, statement length increased dramatically from the pre-ZLB era (mean 240 words) to the ZLB+Post era (mean 880 words), reflecting the expanded communication role of FOMC statements during the zero lower bound period.</w:t>
      </w:r>
    </w:p>
    <w:p>
      <w:pPr>
        <w:pStyle w:val="Heading1"/>
      </w:pPr>
      <w:r>
        <w:t>3. Methodology</w:t>
      </w:r>
    </w:p>
    <w:p>
      <w:pPr>
        <w:pStyle w:val="Heading1"/>
      </w:pPr>
      <w:r>
        <w:t>3.1 Quadratic Interaction Model</w:t>
      </w:r>
    </w:p>
    <w:p>
      <w:pPr>
        <w:ind w:firstLine="720"/>
      </w:pPr>
      <w:r>
        <w:rPr>
          <w:b w:val="0"/>
          <w:i w:val="0"/>
        </w:rPr>
        <w:t>We estimate a quadratic model of statement sentiment as a function of monetary policy shocks:</w:t>
      </w:r>
    </w:p>
    <w:p>
      <w:r>
        <w:rPr>
          <w:b w:val="0"/>
          <w:i w:val="0"/>
        </w:rPr>
        <w:t>CB_t = α + β₁·target_t + β₂·path_t + β₃·target²_t + ε_t    (1)</w:t>
      </w:r>
    </w:p>
    <w:p>
      <w:pPr>
        <w:ind w:firstLine="720"/>
      </w:pPr>
      <w:r>
        <w:rPr>
          <w:b w:val="0"/>
          <w:i w:val="0"/>
        </w:rPr>
        <w:t>The key parameter is β₃, which captures the curvature of the sentiment response to target shocks. When β₃ &gt; 0, the marginal effect of a target shock on sentiment is increasing in the size of the shock:</w:t>
      </w:r>
    </w:p>
    <w:p>
      <w:r>
        <w:rPr>
          <w:b w:val="0"/>
          <w:i w:val="0"/>
        </w:rPr>
        <w:t>∂CB/∂target = β₁ + 2β₃·target    (2)</w:t>
      </w:r>
    </w:p>
    <w:p>
      <w:pPr>
        <w:ind w:firstLine="720"/>
      </w:pPr>
      <w:r>
        <w:rPr>
          <w:b w:val="0"/>
          <w:i w:val="0"/>
        </w:rPr>
        <w:t>For hawkish surprises (target &gt; 0), the marginal effect exceeds β₁; for dovish surprises (target &lt; 0), it falls below β₁. This is a convex response: the Fed amplifies hawkish signals more than proportionally and dampens dovish signals. Conversely, β₃ &lt; 0 would indicate a concave response.</w:t>
      </w:r>
    </w:p>
    <w:p>
      <w:pPr>
        <w:ind w:firstLine="720"/>
      </w:pPr>
      <w:r>
        <w:rPr>
          <w:b w:val="0"/>
          <w:i w:val="0"/>
        </w:rPr>
        <w:t>This specification has three advantages over the discrete regime-interaction model used in earlier work. First, it avoids the circular identification problem that arises when regime labels are derived from statement content. Second, it captures the continuous nature of the asymmetry: rather than imposing a sharp break between "hawkish" and "dovish" regimes, the quadratic term allows the marginal effect to vary smoothly with the size of the shock. Third, it is more parsimonious, requiring only one additional parameter (β₃) rather than two interaction terms (target × direction and path × direction).</w:t>
      </w:r>
    </w:p>
    <w:p>
      <w:pPr>
        <w:ind w:firstLine="720"/>
      </w:pPr>
      <w:r>
        <w:rPr>
          <w:rFonts w:ascii="Times New Roman" w:hAnsi="Times New Roman"/>
          <w:sz w:val="24"/>
        </w:rPr>
        <w:t>The quadratic specification can be motivated by a simple theoretical framework. Consider a central bank that chooses statement sentiment S to minimize the loss function L = (S − S*)² + λ(S − S₋₁)², where S* is the target sentiment (a function of the monetary policy shock) and S₋₁ is the previous statement's sentiment. The parameter λ captures the cost of changing sentiment, which may be higher for dovish shifts than for hawkish shifts if the central bank fears losing inflation-fighting credibility. If S* = β·target and the cost of dovish shifts is higher (asymmetric adjustment cost), then the optimal S is a convex function of target, generating β₃ &gt; 0. At the ZLB, the forward guidance channel increases the sensitivity of S* to target shocks, amplifying the asymmetry. This framework generates two testable predictions: (i) β₃ &gt; 0 (convex response), and (ii) β₃ is larger in the ZLB era than in the pre-ZLB era.</w:t>
      </w:r>
    </w:p>
    <w:p>
      <w:pPr>
        <w:pStyle w:val="Heading1"/>
      </w:pPr>
      <w:r>
        <w:t>3.2 Inference</w:t>
      </w:r>
    </w:p>
    <w:p>
      <w:pPr>
        <w:ind w:firstLine="720"/>
      </w:pPr>
      <w:r>
        <w:rPr>
          <w:b w:val="0"/>
          <w:i w:val="0"/>
        </w:rPr>
        <w:t>We report three types of p-values. Our baseline uses Newey–West HAC standard errors with lag length selected by L = int(T^{1/3}), following the data-dependent rule recommended by Andrews (1991). For N = 131, this yields L = 5; for N = 109, L = 4; for N = 55, L = 3.</w:t>
      </w:r>
    </w:p>
    <w:p>
      <w:pPr>
        <w:ind w:firstLine="720"/>
      </w:pPr>
      <w:r>
        <w:rPr>
          <w:b w:val="0"/>
          <w:i w:val="0"/>
        </w:rPr>
        <w:t>Because HAC-based inference can over-reject in small samples with persistent data (Müller, 2014), we also report permutation p-values. We randomly shuffle the target shock series across meetings (preserving the time series structure of CB scores and path shocks) and re-estimate equation (1) 5,000 times. The permutation p-value is the fraction of replications where the absolute t-statistic on target² exceeds the observed value. This procedure is exact under the sharp null that target shocks are exchangeable across meetings.</w:t>
      </w:r>
    </w:p>
    <w:p>
      <w:pPr>
        <w:ind w:firstLine="720"/>
      </w:pPr>
      <w:r>
        <w:rPr>
          <w:b w:val="0"/>
          <w:i w:val="0"/>
        </w:rPr>
        <w:t>As a third check, we report wild bootstrap p-values using Rademacher weights (Davidson and Flachaire, 2008). We resample residuals 1,000 times and compute the fraction of bootstrap t-statistics that exceed the observed value.</w:t>
      </w:r>
    </w:p>
    <w:p>
      <w:pPr>
        <w:ind w:firstLine="720"/>
      </w:pPr>
      <w:r>
        <w:rPr>
          <w:rFonts w:ascii="Times New Roman" w:hAnsi="Times New Roman"/>
          <w:sz w:val="24"/>
        </w:rPr>
        <w:t>We also report wild bootstrap p-values following Davidson and Flachaire (2008). The wild bootstrap is robust to heteroskedasticity of unknown form and provides reliable inference in small samples. For the full sample (N = 131), the wild bootstrap p-value for target² is 0.012, confirming the HAC-based inference. For the ZLB+Post subsample (N = 109), the wild bootstrap p-value is 0.018. All three inference methods—HAC, permutation, and wild bootstrap—agree that target² is significant at the 5% level.</w:t>
      </w:r>
    </w:p>
    <w:p>
      <w:pPr>
        <w:pStyle w:val="Heading1"/>
      </w:pPr>
      <w:r>
        <w:t>3.3 ZLB Structural Break Test</w:t>
      </w:r>
    </w:p>
    <w:p>
      <w:pPr>
        <w:ind w:firstLine="720"/>
      </w:pPr>
      <w:r>
        <w:rPr>
          <w:b w:val="0"/>
          <w:i w:val="0"/>
        </w:rPr>
        <w:t>We test for a structural break at the zero lower bound using a Chow test. Let SSR_R be the sum of squared residuals from the pooled regression (equation 1 estimated on the full sample), and SSR_U = SSR_{pre} + SSR_{post} be the sum from separate regressions for the pre-ZLB and ZLB+Post eras. The test statistic is:</w:t>
      </w:r>
    </w:p>
    <w:p>
      <w:r>
        <w:rPr>
          <w:b w:val="0"/>
          <w:i w:val="0"/>
        </w:rPr>
        <w:t>F = [(SSR_R − SSR_U) / k] / [SSR_U / (N₁ + N₂ − 2k)]    (3)</w:t>
      </w:r>
    </w:p>
    <w:p>
      <w:pPr>
        <w:ind w:firstLine="720"/>
      </w:pPr>
      <w:r>
        <w:rPr>
          <w:b w:val="0"/>
          <w:i w:val="0"/>
        </w:rPr>
        <w:t>where k = 4 is the number of parameters and N₁, N₂ are the sample sizes. Under the null of no structural break, F follows an F(k, N₁+N₂−2k) distribution.</w:t>
      </w:r>
    </w:p>
    <w:p>
      <w:pPr>
        <w:pStyle w:val="Heading1"/>
      </w:pPr>
      <w:r>
        <w:t>4. Results</w:t>
      </w:r>
    </w:p>
    <w:p>
      <w:pPr>
        <w:pStyle w:val="Heading1"/>
      </w:pPr>
      <w:r>
        <w:t>4.1 The Asymmetric Response</w:t>
      </w:r>
    </w:p>
    <w:p>
      <w:pPr>
        <w:ind w:firstLine="720"/>
      </w:pPr>
      <w:r>
        <w:rPr>
          <w:b w:val="0"/>
          <w:i w:val="0"/>
        </w:rPr>
        <w:t>Table 2 presents the main results. Column (1) shows the baseline linear model: CB = f(target, path). Neither target (t = −0.56) nor path (t = 1.34) is significant, consistent with the weak relationship documented in earlier work (Rosa, 2013). Column (2) adds target², which enters significantly positive (t = 2.77, permutation p = 0.005). The R² increases from 2.7% to 7.2%, indicating that the quadratic term explains substantial additional variation.</w:t>
      </w:r>
    </w:p>
    <w:p>
      <w:pPr>
        <w:ind w:firstLine="720"/>
      </w:pPr>
      <w:r>
        <w:rPr>
          <w:b w:val="0"/>
          <w:i w:val="0"/>
        </w:rPr>
        <w:t>Columns (3)–(6) add controls sequentially: the federal funds rate surprise (ff.shock.0), the Nakamura–Steinsson news shock, statement length (total_words), and all controls jointly. The coefficient on target² remains significant across all specifications, ranging from t = 2.61 to t = 4.13. In the full model with all controls (column 6), target² has t = 3.70 (permutation p &lt; 0.001). Notably, adding total_words increases the R² from 7.2% to 51.4%, reflecting the strong correlation between statement length and sentiment: longer statements contain more hawkish and dovish words, and controlling for length isolates the per-word sentiment effect.</w:t>
      </w:r>
    </w:p>
    <w:p>
      <w:r>
        <w:rPr>
          <w:b/>
          <w:sz w:val="20"/>
        </w:rPr>
        <w:t>Table 2: Quadratic Sentiment Model (ZLB+Post, N = 109)</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r>
          </w:p>
        </w:tc>
        <w:tc>
          <w:tcPr>
            <w:tcW w:type="dxa" w:w="1234"/>
          </w:tcPr>
          <w:p>
            <w:pPr>
              <w:jc w:val="center"/>
            </w:pPr>
            <w:r>
              <w:rPr>
                <w:b/>
                <w:sz w:val="20"/>
              </w:rPr>
              <w:t>(1)</w:t>
            </w:r>
          </w:p>
        </w:tc>
        <w:tc>
          <w:tcPr>
            <w:tcW w:type="dxa" w:w="1234"/>
          </w:tcPr>
          <w:p>
            <w:pPr>
              <w:jc w:val="center"/>
            </w:pPr>
            <w:r>
              <w:rPr>
                <w:b/>
                <w:sz w:val="20"/>
              </w:rPr>
              <w:t>(2)</w:t>
            </w:r>
          </w:p>
        </w:tc>
        <w:tc>
          <w:tcPr>
            <w:tcW w:type="dxa" w:w="1234"/>
          </w:tcPr>
          <w:p>
            <w:pPr>
              <w:jc w:val="center"/>
            </w:pPr>
            <w:r>
              <w:rPr>
                <w:b/>
                <w:sz w:val="20"/>
              </w:rPr>
              <w:t>(3)</w:t>
            </w:r>
          </w:p>
        </w:tc>
        <w:tc>
          <w:tcPr>
            <w:tcW w:type="dxa" w:w="1234"/>
          </w:tcPr>
          <w:p>
            <w:pPr>
              <w:jc w:val="center"/>
            </w:pPr>
            <w:r>
              <w:rPr>
                <w:b/>
                <w:sz w:val="20"/>
              </w:rPr>
              <w:t>(4)</w:t>
            </w:r>
          </w:p>
        </w:tc>
        <w:tc>
          <w:tcPr>
            <w:tcW w:type="dxa" w:w="1234"/>
          </w:tcPr>
          <w:p>
            <w:pPr>
              <w:jc w:val="center"/>
            </w:pPr>
            <w:r>
              <w:rPr>
                <w:b/>
                <w:sz w:val="20"/>
              </w:rPr>
              <w:t>(5)</w:t>
            </w:r>
          </w:p>
        </w:tc>
        <w:tc>
          <w:tcPr>
            <w:tcW w:type="dxa" w:w="1234"/>
          </w:tcPr>
          <w:p>
            <w:pPr>
              <w:jc w:val="center"/>
            </w:pPr>
            <w:r>
              <w:rPr>
                <w:b/>
                <w:sz w:val="20"/>
              </w:rPr>
              <w:t>(6)</w:t>
            </w:r>
          </w:p>
        </w:tc>
      </w:tr>
      <w:tr>
        <w:tc>
          <w:tcPr>
            <w:tcW w:type="dxa" w:w="1234"/>
          </w:tcPr>
          <w:p>
            <w:pPr>
              <w:jc w:val="center"/>
            </w:pPr>
            <w:r>
              <w:rPr>
                <w:sz w:val="20"/>
              </w:rPr>
              <w:t>Target</w:t>
            </w:r>
          </w:p>
        </w:tc>
        <w:tc>
          <w:tcPr>
            <w:tcW w:type="dxa" w:w="1234"/>
          </w:tcPr>
          <w:p>
            <w:pPr>
              <w:jc w:val="center"/>
            </w:pPr>
            <w:r>
              <w:rPr>
                <w:sz w:val="20"/>
              </w:rPr>
              <w:t>−0.0015</w:t>
            </w:r>
          </w:p>
        </w:tc>
        <w:tc>
          <w:tcPr>
            <w:tcW w:type="dxa" w:w="1234"/>
          </w:tcPr>
          <w:p>
            <w:pPr>
              <w:jc w:val="center"/>
            </w:pPr>
            <w:r>
              <w:rPr>
                <w:sz w:val="20"/>
              </w:rPr>
              <w:t>0.0064</w:t>
            </w:r>
          </w:p>
        </w:tc>
        <w:tc>
          <w:tcPr>
            <w:tcW w:type="dxa" w:w="1234"/>
          </w:tcPr>
          <w:p>
            <w:pPr>
              <w:jc w:val="center"/>
            </w:pPr>
            <w:r>
              <w:rPr>
                <w:sz w:val="20"/>
              </w:rPr>
              <w:t>0.0053</w:t>
            </w:r>
          </w:p>
        </w:tc>
        <w:tc>
          <w:tcPr>
            <w:tcW w:type="dxa" w:w="1234"/>
          </w:tcPr>
          <w:p>
            <w:pPr>
              <w:jc w:val="center"/>
            </w:pPr>
            <w:r>
              <w:rPr>
                <w:sz w:val="20"/>
              </w:rPr>
              <w:t>0.0061</w:t>
            </w:r>
          </w:p>
        </w:tc>
        <w:tc>
          <w:tcPr>
            <w:tcW w:type="dxa" w:w="1234"/>
          </w:tcPr>
          <w:p>
            <w:pPr>
              <w:jc w:val="center"/>
            </w:pPr>
            <w:r>
              <w:rPr>
                <w:sz w:val="20"/>
              </w:rPr>
              <w:t>0.2798**</w:t>
            </w:r>
          </w:p>
        </w:tc>
        <w:tc>
          <w:tcPr>
            <w:tcW w:type="dxa" w:w="1234"/>
          </w:tcPr>
          <w:p>
            <w:pPr>
              <w:jc w:val="center"/>
            </w:pPr>
            <w:r>
              <w:rPr>
                <w:sz w:val="20"/>
              </w:rPr>
              <w:t>0.2798**</w:t>
            </w:r>
          </w:p>
        </w:tc>
      </w:tr>
      <w:tr>
        <w:tc>
          <w:tcPr>
            <w:tcW w:type="dxa" w:w="1234"/>
          </w:tcPr>
          <w:p>
            <w:pPr>
              <w:jc w:val="center"/>
            </w:pPr>
            <w:r>
              <w:rPr>
                <w:sz w:val="20"/>
              </w:rPr>
            </w:r>
          </w:p>
        </w:tc>
        <w:tc>
          <w:tcPr>
            <w:tcW w:type="dxa" w:w="1234"/>
          </w:tcPr>
          <w:p>
            <w:pPr>
              <w:jc w:val="center"/>
            </w:pPr>
            <w:r>
              <w:rPr>
                <w:sz w:val="20"/>
              </w:rPr>
              <w:t>(−0.56)</w:t>
            </w:r>
          </w:p>
        </w:tc>
        <w:tc>
          <w:tcPr>
            <w:tcW w:type="dxa" w:w="1234"/>
          </w:tcPr>
          <w:p>
            <w:pPr>
              <w:jc w:val="center"/>
            </w:pPr>
            <w:r>
              <w:rPr>
                <w:sz w:val="20"/>
              </w:rPr>
              <w:t>(1.21)</w:t>
            </w:r>
          </w:p>
        </w:tc>
        <w:tc>
          <w:tcPr>
            <w:tcW w:type="dxa" w:w="1234"/>
          </w:tcPr>
          <w:p>
            <w:pPr>
              <w:jc w:val="center"/>
            </w:pPr>
            <w:r>
              <w:rPr>
                <w:sz w:val="20"/>
              </w:rPr>
              <w:t>(0.97)</w:t>
            </w:r>
          </w:p>
        </w:tc>
        <w:tc>
          <w:tcPr>
            <w:tcW w:type="dxa" w:w="1234"/>
          </w:tcPr>
          <w:p>
            <w:pPr>
              <w:jc w:val="center"/>
            </w:pPr>
            <w:r>
              <w:rPr>
                <w:sz w:val="20"/>
              </w:rPr>
              <w:t>(1.07)</w:t>
            </w:r>
          </w:p>
        </w:tc>
        <w:tc>
          <w:tcPr>
            <w:tcW w:type="dxa" w:w="1234"/>
          </w:tcPr>
          <w:p>
            <w:pPr>
              <w:jc w:val="center"/>
            </w:pPr>
            <w:r>
              <w:rPr>
                <w:sz w:val="20"/>
              </w:rPr>
              <w:t>(2.82)</w:t>
            </w:r>
          </w:p>
        </w:tc>
        <w:tc>
          <w:tcPr>
            <w:tcW w:type="dxa" w:w="1234"/>
          </w:tcPr>
          <w:p>
            <w:pPr>
              <w:jc w:val="center"/>
            </w:pPr>
            <w:r>
              <w:rPr>
                <w:sz w:val="20"/>
              </w:rPr>
              <w:t>(2.82)</w:t>
            </w:r>
          </w:p>
        </w:tc>
      </w:tr>
      <w:tr>
        <w:tc>
          <w:tcPr>
            <w:tcW w:type="dxa" w:w="1234"/>
          </w:tcPr>
          <w:p>
            <w:pPr>
              <w:jc w:val="center"/>
            </w:pPr>
            <w:r>
              <w:rPr>
                <w:sz w:val="20"/>
              </w:rPr>
              <w:t>Path</w:t>
            </w:r>
          </w:p>
        </w:tc>
        <w:tc>
          <w:tcPr>
            <w:tcW w:type="dxa" w:w="1234"/>
          </w:tcPr>
          <w:p>
            <w:pPr>
              <w:jc w:val="center"/>
            </w:pPr>
            <w:r>
              <w:rPr>
                <w:sz w:val="20"/>
              </w:rPr>
              <w:t>0.0042</w:t>
            </w:r>
          </w:p>
        </w:tc>
        <w:tc>
          <w:tcPr>
            <w:tcW w:type="dxa" w:w="1234"/>
          </w:tcPr>
          <w:p>
            <w:pPr>
              <w:jc w:val="center"/>
            </w:pPr>
            <w:r>
              <w:rPr>
                <w:sz w:val="20"/>
              </w:rPr>
              <w:t>0.0057*</w:t>
            </w:r>
          </w:p>
        </w:tc>
        <w:tc>
          <w:tcPr>
            <w:tcW w:type="dxa" w:w="1234"/>
          </w:tcPr>
          <w:p>
            <w:pPr>
              <w:jc w:val="center"/>
            </w:pPr>
            <w:r>
              <w:rPr>
                <w:sz w:val="20"/>
              </w:rPr>
              <w:t>0.0054*</w:t>
            </w:r>
          </w:p>
        </w:tc>
        <w:tc>
          <w:tcPr>
            <w:tcW w:type="dxa" w:w="1234"/>
          </w:tcPr>
          <w:p>
            <w:pPr>
              <w:jc w:val="center"/>
            </w:pPr>
            <w:r>
              <w:rPr>
                <w:sz w:val="20"/>
              </w:rPr>
              <w:t>0.0056*</w:t>
            </w:r>
          </w:p>
        </w:tc>
        <w:tc>
          <w:tcPr>
            <w:tcW w:type="dxa" w:w="1234"/>
          </w:tcPr>
          <w:p>
            <w:pPr>
              <w:jc w:val="center"/>
            </w:pPr>
            <w:r>
              <w:rPr>
                <w:sz w:val="20"/>
              </w:rPr>
              <w:t>0.4990**</w:t>
            </w:r>
          </w:p>
        </w:tc>
        <w:tc>
          <w:tcPr>
            <w:tcW w:type="dxa" w:w="1234"/>
          </w:tcPr>
          <w:p>
            <w:pPr>
              <w:jc w:val="center"/>
            </w:pPr>
            <w:r>
              <w:rPr>
                <w:sz w:val="20"/>
              </w:rPr>
              <w:t>0.4990**</w:t>
            </w:r>
          </w:p>
        </w:tc>
      </w:tr>
      <w:tr>
        <w:tc>
          <w:tcPr>
            <w:tcW w:type="dxa" w:w="1234"/>
          </w:tcPr>
          <w:p>
            <w:pPr>
              <w:jc w:val="center"/>
            </w:pPr>
            <w:r>
              <w:rPr>
                <w:sz w:val="20"/>
              </w:rPr>
            </w:r>
          </w:p>
        </w:tc>
        <w:tc>
          <w:tcPr>
            <w:tcW w:type="dxa" w:w="1234"/>
          </w:tcPr>
          <w:p>
            <w:pPr>
              <w:jc w:val="center"/>
            </w:pPr>
            <w:r>
              <w:rPr>
                <w:sz w:val="20"/>
              </w:rPr>
              <w:t>(1.34)</w:t>
            </w:r>
          </w:p>
        </w:tc>
        <w:tc>
          <w:tcPr>
            <w:tcW w:type="dxa" w:w="1234"/>
          </w:tcPr>
          <w:p>
            <w:pPr>
              <w:jc w:val="center"/>
            </w:pPr>
            <w:r>
              <w:rPr>
                <w:sz w:val="20"/>
              </w:rPr>
              <w:t>(2.05)</w:t>
            </w:r>
          </w:p>
        </w:tc>
        <w:tc>
          <w:tcPr>
            <w:tcW w:type="dxa" w:w="1234"/>
          </w:tcPr>
          <w:p>
            <w:pPr>
              <w:jc w:val="center"/>
            </w:pPr>
            <w:r>
              <w:rPr>
                <w:sz w:val="20"/>
              </w:rPr>
              <w:t>(1.99)</w:t>
            </w:r>
          </w:p>
        </w:tc>
        <w:tc>
          <w:tcPr>
            <w:tcW w:type="dxa" w:w="1234"/>
          </w:tcPr>
          <w:p>
            <w:pPr>
              <w:jc w:val="center"/>
            </w:pPr>
            <w:r>
              <w:rPr>
                <w:sz w:val="20"/>
              </w:rPr>
              <w:t>(1.98)</w:t>
            </w:r>
          </w:p>
        </w:tc>
        <w:tc>
          <w:tcPr>
            <w:tcW w:type="dxa" w:w="1234"/>
          </w:tcPr>
          <w:p>
            <w:pPr>
              <w:jc w:val="center"/>
            </w:pPr>
            <w:r>
              <w:rPr>
                <w:sz w:val="20"/>
              </w:rPr>
              <w:t>(2.92)</w:t>
            </w:r>
          </w:p>
        </w:tc>
        <w:tc>
          <w:tcPr>
            <w:tcW w:type="dxa" w:w="1234"/>
          </w:tcPr>
          <w:p>
            <w:pPr>
              <w:jc w:val="center"/>
            </w:pPr>
            <w:r>
              <w:rPr>
                <w:sz w:val="20"/>
              </w:rPr>
              <w:t>(2.92)</w:t>
            </w:r>
          </w:p>
        </w:tc>
      </w:tr>
      <w:tr>
        <w:tc>
          <w:tcPr>
            <w:tcW w:type="dxa" w:w="1234"/>
          </w:tcPr>
          <w:p>
            <w:pPr>
              <w:jc w:val="center"/>
            </w:pPr>
            <w:r>
              <w:rPr>
                <w:sz w:val="20"/>
              </w:rPr>
              <w:t>Target²</w:t>
            </w:r>
          </w:p>
        </w:tc>
        <w:tc>
          <w:tcPr>
            <w:tcW w:type="dxa" w:w="1234"/>
          </w:tcPr>
          <w:p>
            <w:pPr>
              <w:jc w:val="center"/>
            </w:pPr>
            <w:r>
              <w:rPr>
                <w:sz w:val="20"/>
              </w:rPr>
            </w:r>
          </w:p>
        </w:tc>
        <w:tc>
          <w:tcPr>
            <w:tcW w:type="dxa" w:w="1234"/>
          </w:tcPr>
          <w:p>
            <w:pPr>
              <w:jc w:val="center"/>
            </w:pPr>
            <w:r>
              <w:rPr>
                <w:sz w:val="20"/>
              </w:rPr>
              <w:t>0.0040**</w:t>
            </w:r>
          </w:p>
        </w:tc>
        <w:tc>
          <w:tcPr>
            <w:tcW w:type="dxa" w:w="1234"/>
          </w:tcPr>
          <w:p>
            <w:pPr>
              <w:jc w:val="center"/>
            </w:pPr>
            <w:r>
              <w:rPr>
                <w:sz w:val="20"/>
              </w:rPr>
              <w:t>0.0038**</w:t>
            </w:r>
          </w:p>
        </w:tc>
        <w:tc>
          <w:tcPr>
            <w:tcW w:type="dxa" w:w="1234"/>
          </w:tcPr>
          <w:p>
            <w:pPr>
              <w:jc w:val="center"/>
            </w:pPr>
            <w:r>
              <w:rPr>
                <w:sz w:val="20"/>
              </w:rPr>
              <w:t>0.0037**</w:t>
            </w:r>
          </w:p>
        </w:tc>
        <w:tc>
          <w:tcPr>
            <w:tcW w:type="dxa" w:w="1234"/>
          </w:tcPr>
          <w:p>
            <w:pPr>
              <w:jc w:val="center"/>
            </w:pPr>
            <w:r>
              <w:rPr>
                <w:sz w:val="20"/>
              </w:rPr>
              <w:t>0.0029***</w:t>
            </w:r>
          </w:p>
        </w:tc>
        <w:tc>
          <w:tcPr>
            <w:tcW w:type="dxa" w:w="1234"/>
          </w:tcPr>
          <w:p>
            <w:pPr>
              <w:jc w:val="center"/>
            </w:pPr>
            <w:r>
              <w:rPr>
                <w:sz w:val="20"/>
              </w:rPr>
              <w:t>0.0029***</w:t>
            </w:r>
          </w:p>
        </w:tc>
      </w:tr>
      <w:tr>
        <w:tc>
          <w:tcPr>
            <w:tcW w:type="dxa" w:w="1234"/>
          </w:tcPr>
          <w:p>
            <w:pPr>
              <w:jc w:val="center"/>
            </w:pPr>
            <w:r>
              <w:rPr>
                <w:sz w:val="20"/>
              </w:rPr>
            </w:r>
          </w:p>
        </w:tc>
        <w:tc>
          <w:tcPr>
            <w:tcW w:type="dxa" w:w="1234"/>
          </w:tcPr>
          <w:p>
            <w:pPr>
              <w:jc w:val="center"/>
            </w:pPr>
            <w:r>
              <w:rPr>
                <w:sz w:val="20"/>
              </w:rPr>
            </w:r>
          </w:p>
        </w:tc>
        <w:tc>
          <w:tcPr>
            <w:tcW w:type="dxa" w:w="1234"/>
          </w:tcPr>
          <w:p>
            <w:pPr>
              <w:jc w:val="center"/>
            </w:pPr>
            <w:r>
              <w:rPr>
                <w:sz w:val="20"/>
              </w:rPr>
              <w:t>(2.77)</w:t>
            </w:r>
          </w:p>
        </w:tc>
        <w:tc>
          <w:tcPr>
            <w:tcW w:type="dxa" w:w="1234"/>
          </w:tcPr>
          <w:p>
            <w:pPr>
              <w:jc w:val="center"/>
            </w:pPr>
            <w:r>
              <w:rPr>
                <w:sz w:val="20"/>
              </w:rPr>
              <w:t>(2.65)</w:t>
            </w:r>
          </w:p>
        </w:tc>
        <w:tc>
          <w:tcPr>
            <w:tcW w:type="dxa" w:w="1234"/>
          </w:tcPr>
          <w:p>
            <w:pPr>
              <w:jc w:val="center"/>
            </w:pPr>
            <w:r>
              <w:rPr>
                <w:sz w:val="20"/>
              </w:rPr>
              <w:t>(2.61)</w:t>
            </w:r>
          </w:p>
        </w:tc>
        <w:tc>
          <w:tcPr>
            <w:tcW w:type="dxa" w:w="1234"/>
          </w:tcPr>
          <w:p>
            <w:pPr>
              <w:jc w:val="center"/>
            </w:pPr>
            <w:r>
              <w:rPr>
                <w:sz w:val="20"/>
              </w:rPr>
              <w:t>(4.13)</w:t>
            </w:r>
          </w:p>
        </w:tc>
        <w:tc>
          <w:tcPr>
            <w:tcW w:type="dxa" w:w="1234"/>
          </w:tcPr>
          <w:p>
            <w:pPr>
              <w:jc w:val="center"/>
            </w:pPr>
            <w:r>
              <w:rPr>
                <w:sz w:val="20"/>
              </w:rPr>
              <w:t>(3.70)</w:t>
            </w:r>
          </w:p>
        </w:tc>
      </w:tr>
      <w:tr>
        <w:tc>
          <w:tcPr>
            <w:tcW w:type="dxa" w:w="1234"/>
          </w:tcPr>
          <w:p>
            <w:pPr>
              <w:jc w:val="center"/>
            </w:pPr>
            <w:r>
              <w:rPr>
                <w:sz w:val="20"/>
              </w:rPr>
              <w:t>FF surprise</w:t>
            </w:r>
          </w:p>
        </w:tc>
        <w:tc>
          <w:tcPr>
            <w:tcW w:type="dxa" w:w="1234"/>
          </w:tcPr>
          <w:p>
            <w:pPr>
              <w:jc w:val="center"/>
            </w:pPr>
            <w:r>
              <w:rPr>
                <w:sz w:val="20"/>
              </w:rPr>
            </w:r>
          </w:p>
        </w:tc>
        <w:tc>
          <w:tcPr>
            <w:tcW w:type="dxa" w:w="1234"/>
          </w:tcPr>
          <w:p>
            <w:pPr>
              <w:jc w:val="center"/>
            </w:pPr>
            <w:r>
              <w:rPr>
                <w:sz w:val="20"/>
              </w:rPr>
            </w:r>
          </w:p>
        </w:tc>
        <w:tc>
          <w:tcPr>
            <w:tcW w:type="dxa" w:w="1234"/>
          </w:tcPr>
          <w:p>
            <w:pPr>
              <w:jc w:val="center"/>
            </w:pPr>
            <w:r>
              <w:rPr>
                <w:sz w:val="20"/>
              </w:rPr>
              <w:t>Yes</w:t>
            </w:r>
          </w:p>
        </w:tc>
        <w:tc>
          <w:tcPr>
            <w:tcW w:type="dxa" w:w="1234"/>
          </w:tcPr>
          <w:p>
            <w:pPr>
              <w:jc w:val="center"/>
            </w:pPr>
            <w:r>
              <w:rPr>
                <w:sz w:val="20"/>
              </w:rPr>
            </w:r>
          </w:p>
        </w:tc>
        <w:tc>
          <w:tcPr>
            <w:tcW w:type="dxa" w:w="1234"/>
          </w:tcPr>
          <w:p>
            <w:pPr>
              <w:jc w:val="center"/>
            </w:pPr>
            <w:r>
              <w:rPr>
                <w:sz w:val="20"/>
              </w:rPr>
            </w:r>
          </w:p>
        </w:tc>
        <w:tc>
          <w:tcPr>
            <w:tcW w:type="dxa" w:w="1234"/>
          </w:tcPr>
          <w:p>
            <w:pPr>
              <w:jc w:val="center"/>
            </w:pPr>
            <w:r>
              <w:rPr>
                <w:sz w:val="20"/>
              </w:rPr>
              <w:t>Yes</w:t>
            </w:r>
          </w:p>
        </w:tc>
      </w:tr>
      <w:tr>
        <w:tc>
          <w:tcPr>
            <w:tcW w:type="dxa" w:w="1234"/>
          </w:tcPr>
          <w:p>
            <w:pPr>
              <w:jc w:val="center"/>
            </w:pPr>
            <w:r>
              <w:rPr>
                <w:sz w:val="20"/>
              </w:rPr>
              <w:t>NS shock</w:t>
            </w:r>
          </w:p>
        </w:tc>
        <w:tc>
          <w:tcPr>
            <w:tcW w:type="dxa" w:w="1234"/>
          </w:tcPr>
          <w:p>
            <w:pPr>
              <w:jc w:val="center"/>
            </w:pPr>
            <w:r>
              <w:rPr>
                <w:sz w:val="20"/>
              </w:rPr>
            </w:r>
          </w:p>
        </w:tc>
        <w:tc>
          <w:tcPr>
            <w:tcW w:type="dxa" w:w="1234"/>
          </w:tcPr>
          <w:p>
            <w:pPr>
              <w:jc w:val="center"/>
            </w:pPr>
            <w:r>
              <w:rPr>
                <w:sz w:val="20"/>
              </w:rPr>
            </w:r>
          </w:p>
        </w:tc>
        <w:tc>
          <w:tcPr>
            <w:tcW w:type="dxa" w:w="1234"/>
          </w:tcPr>
          <w:p>
            <w:pPr>
              <w:jc w:val="center"/>
            </w:pPr>
            <w:r>
              <w:rPr>
                <w:sz w:val="20"/>
              </w:rPr>
            </w:r>
          </w:p>
        </w:tc>
        <w:tc>
          <w:tcPr>
            <w:tcW w:type="dxa" w:w="1234"/>
          </w:tcPr>
          <w:p>
            <w:pPr>
              <w:jc w:val="center"/>
            </w:pPr>
            <w:r>
              <w:rPr>
                <w:sz w:val="20"/>
              </w:rPr>
              <w:t>Yes</w:t>
            </w:r>
          </w:p>
        </w:tc>
        <w:tc>
          <w:tcPr>
            <w:tcW w:type="dxa" w:w="1234"/>
          </w:tcPr>
          <w:p>
            <w:pPr>
              <w:jc w:val="center"/>
            </w:pPr>
            <w:r>
              <w:rPr>
                <w:sz w:val="20"/>
              </w:rPr>
            </w:r>
          </w:p>
        </w:tc>
        <w:tc>
          <w:tcPr>
            <w:tcW w:type="dxa" w:w="1234"/>
          </w:tcPr>
          <w:p>
            <w:pPr>
              <w:jc w:val="center"/>
            </w:pPr>
            <w:r>
              <w:rPr>
                <w:sz w:val="20"/>
              </w:rPr>
              <w:t>Yes</w:t>
            </w:r>
          </w:p>
        </w:tc>
      </w:tr>
      <w:tr>
        <w:tc>
          <w:tcPr>
            <w:tcW w:type="dxa" w:w="1234"/>
          </w:tcPr>
          <w:p>
            <w:pPr>
              <w:jc w:val="center"/>
            </w:pPr>
            <w:r>
              <w:rPr>
                <w:sz w:val="20"/>
              </w:rPr>
              <w:t>Total words</w:t>
            </w:r>
          </w:p>
        </w:tc>
        <w:tc>
          <w:tcPr>
            <w:tcW w:type="dxa" w:w="1234"/>
          </w:tcPr>
          <w:p>
            <w:pPr>
              <w:jc w:val="center"/>
            </w:pPr>
            <w:r>
              <w:rPr>
                <w:sz w:val="20"/>
              </w:rPr>
            </w:r>
          </w:p>
        </w:tc>
        <w:tc>
          <w:tcPr>
            <w:tcW w:type="dxa" w:w="1234"/>
          </w:tcPr>
          <w:p>
            <w:pPr>
              <w:jc w:val="center"/>
            </w:pPr>
            <w:r>
              <w:rPr>
                <w:sz w:val="20"/>
              </w:rPr>
            </w:r>
          </w:p>
        </w:tc>
        <w:tc>
          <w:tcPr>
            <w:tcW w:type="dxa" w:w="1234"/>
          </w:tcPr>
          <w:p>
            <w:pPr>
              <w:jc w:val="center"/>
            </w:pPr>
            <w:r>
              <w:rPr>
                <w:sz w:val="20"/>
              </w:rPr>
            </w:r>
          </w:p>
        </w:tc>
        <w:tc>
          <w:tcPr>
            <w:tcW w:type="dxa" w:w="1234"/>
          </w:tcPr>
          <w:p>
            <w:pPr>
              <w:jc w:val="center"/>
            </w:pPr>
            <w:r>
              <w:rPr>
                <w:sz w:val="20"/>
              </w:rPr>
            </w:r>
          </w:p>
        </w:tc>
        <w:tc>
          <w:tcPr>
            <w:tcW w:type="dxa" w:w="1234"/>
          </w:tcPr>
          <w:p>
            <w:pPr>
              <w:jc w:val="center"/>
            </w:pPr>
            <w:r>
              <w:rPr>
                <w:sz w:val="20"/>
              </w:rPr>
              <w:t>Yes</w:t>
            </w:r>
          </w:p>
        </w:tc>
        <w:tc>
          <w:tcPr>
            <w:tcW w:type="dxa" w:w="1234"/>
          </w:tcPr>
          <w:p>
            <w:pPr>
              <w:jc w:val="center"/>
            </w:pPr>
            <w:r>
              <w:rPr>
                <w:sz w:val="20"/>
              </w:rPr>
              <w:t>Yes</w:t>
            </w:r>
          </w:p>
        </w:tc>
      </w:tr>
      <w:tr>
        <w:tc>
          <w:tcPr>
            <w:tcW w:type="dxa" w:w="1234"/>
          </w:tcPr>
          <w:p>
            <w:pPr>
              <w:jc w:val="center"/>
            </w:pPr>
            <w:r>
              <w:rPr>
                <w:sz w:val="20"/>
              </w:rPr>
              <w:t>R²</w:t>
            </w:r>
          </w:p>
        </w:tc>
        <w:tc>
          <w:tcPr>
            <w:tcW w:type="dxa" w:w="1234"/>
          </w:tcPr>
          <w:p>
            <w:pPr>
              <w:jc w:val="center"/>
            </w:pPr>
            <w:r>
              <w:rPr>
                <w:sz w:val="20"/>
              </w:rPr>
              <w:t>0.027</w:t>
            </w:r>
          </w:p>
        </w:tc>
        <w:tc>
          <w:tcPr>
            <w:tcW w:type="dxa" w:w="1234"/>
          </w:tcPr>
          <w:p>
            <w:pPr>
              <w:jc w:val="center"/>
            </w:pPr>
            <w:r>
              <w:rPr>
                <w:sz w:val="20"/>
              </w:rPr>
              <w:t>0.072</w:t>
            </w:r>
          </w:p>
        </w:tc>
        <w:tc>
          <w:tcPr>
            <w:tcW w:type="dxa" w:w="1234"/>
          </w:tcPr>
          <w:p>
            <w:pPr>
              <w:jc w:val="center"/>
            </w:pPr>
            <w:r>
              <w:rPr>
                <w:sz w:val="20"/>
              </w:rPr>
              <w:t>0.094</w:t>
            </w:r>
          </w:p>
        </w:tc>
        <w:tc>
          <w:tcPr>
            <w:tcW w:type="dxa" w:w="1234"/>
          </w:tcPr>
          <w:p>
            <w:pPr>
              <w:jc w:val="center"/>
            </w:pPr>
            <w:r>
              <w:rPr>
                <w:sz w:val="20"/>
              </w:rPr>
              <w:t>0.082</w:t>
            </w:r>
          </w:p>
        </w:tc>
        <w:tc>
          <w:tcPr>
            <w:tcW w:type="dxa" w:w="1234"/>
          </w:tcPr>
          <w:p>
            <w:pPr>
              <w:jc w:val="center"/>
            </w:pPr>
            <w:r>
              <w:rPr>
                <w:sz w:val="20"/>
              </w:rPr>
              <w:t>0.514</w:t>
            </w:r>
          </w:p>
        </w:tc>
        <w:tc>
          <w:tcPr>
            <w:tcW w:type="dxa" w:w="1234"/>
          </w:tcPr>
          <w:p>
            <w:pPr>
              <w:jc w:val="center"/>
            </w:pPr>
            <w:r>
              <w:rPr>
                <w:sz w:val="20"/>
              </w:rPr>
              <w:t>0.547</w:t>
            </w:r>
          </w:p>
        </w:tc>
      </w:tr>
      <w:tr>
        <w:tc>
          <w:tcPr>
            <w:tcW w:type="dxa" w:w="1234"/>
          </w:tcPr>
          <w:p>
            <w:pPr>
              <w:jc w:val="center"/>
            </w:pPr>
            <w:r>
              <w:rPr>
                <w:sz w:val="20"/>
              </w:rPr>
              <w:t>N</w:t>
            </w:r>
          </w:p>
        </w:tc>
        <w:tc>
          <w:tcPr>
            <w:tcW w:type="dxa" w:w="1234"/>
          </w:tcPr>
          <w:p>
            <w:pPr>
              <w:jc w:val="center"/>
            </w:pPr>
            <w:r>
              <w:rPr>
                <w:sz w:val="20"/>
              </w:rPr>
              <w:t>109</w:t>
            </w:r>
          </w:p>
        </w:tc>
        <w:tc>
          <w:tcPr>
            <w:tcW w:type="dxa" w:w="1234"/>
          </w:tcPr>
          <w:p>
            <w:pPr>
              <w:jc w:val="center"/>
            </w:pPr>
            <w:r>
              <w:rPr>
                <w:sz w:val="20"/>
              </w:rPr>
              <w:t>109</w:t>
            </w:r>
          </w:p>
        </w:tc>
        <w:tc>
          <w:tcPr>
            <w:tcW w:type="dxa" w:w="1234"/>
          </w:tcPr>
          <w:p>
            <w:pPr>
              <w:jc w:val="center"/>
            </w:pPr>
            <w:r>
              <w:rPr>
                <w:sz w:val="20"/>
              </w:rPr>
              <w:t>109</w:t>
            </w:r>
          </w:p>
        </w:tc>
        <w:tc>
          <w:tcPr>
            <w:tcW w:type="dxa" w:w="1234"/>
          </w:tcPr>
          <w:p>
            <w:pPr>
              <w:jc w:val="center"/>
            </w:pPr>
            <w:r>
              <w:rPr>
                <w:sz w:val="20"/>
              </w:rPr>
              <w:t>109</w:t>
            </w:r>
          </w:p>
        </w:tc>
        <w:tc>
          <w:tcPr>
            <w:tcW w:type="dxa" w:w="1234"/>
          </w:tcPr>
          <w:p>
            <w:pPr>
              <w:jc w:val="center"/>
            </w:pPr>
            <w:r>
              <w:rPr>
                <w:sz w:val="20"/>
              </w:rPr>
              <w:t>109</w:t>
            </w:r>
          </w:p>
        </w:tc>
        <w:tc>
          <w:tcPr>
            <w:tcW w:type="dxa" w:w="1234"/>
          </w:tcPr>
          <w:p>
            <w:pPr>
              <w:jc w:val="center"/>
            </w:pPr>
            <w:r>
              <w:rPr>
                <w:sz w:val="20"/>
              </w:rPr>
              <w:t>109</w:t>
            </w:r>
          </w:p>
        </w:tc>
      </w:tr>
    </w:tbl>
    <w:p>
      <w:r>
        <w:rPr>
          <w:b w:val="0"/>
          <w:i w:val="0"/>
        </w:rPr>
        <w:t>Note: HAC standard errors with L = int(T^{1/3}) = 4 lags. t-statistics in parentheses. *, **, *** denote significance at the 10%, 5%, and 1% levels. The dependent variable is the CB dictionary sentiment score. Target and path shocks are from Acosta (2022).</w:t>
      </w:r>
    </w:p>
    <w:p>
      <w:pPr>
        <w:ind w:firstLine="720"/>
      </w:pPr>
      <w:r>
        <w:rPr>
          <w:b w:val="0"/>
          <w:i w:val="0"/>
        </w:rPr>
        <w:t>The economic magnitude of the asymmetry is substantial. Using the full-sample estimates (N = 131, β₁ = 0.0047, β₃ = 0.0025), the marginal effect of a target shock on CB score at different shock levels is:</w:t>
      </w:r>
    </w:p>
    <w:p>
      <w:r>
        <w:rPr>
          <w:b/>
          <w:sz w:val="20"/>
        </w:rPr>
        <w:t>Table 3: Marginal Effects of Target Shocks on CB Score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Target Shock</w:t>
            </w:r>
          </w:p>
        </w:tc>
        <w:tc>
          <w:tcPr>
            <w:tcW w:type="dxa" w:w="2160"/>
          </w:tcPr>
          <w:p>
            <w:pPr>
              <w:jc w:val="center"/>
            </w:pPr>
            <w:r>
              <w:rPr>
                <w:b/>
                <w:sz w:val="20"/>
              </w:rPr>
              <w:t>∂CB/∂target</w:t>
            </w:r>
          </w:p>
        </w:tc>
        <w:tc>
          <w:tcPr>
            <w:tcW w:type="dxa" w:w="2160"/>
          </w:tcPr>
          <w:p>
            <w:pPr>
              <w:jc w:val="center"/>
            </w:pPr>
            <w:r>
              <w:rPr>
                <w:b/>
                <w:sz w:val="20"/>
              </w:rPr>
              <w:t>ΔCB</w:t>
            </w:r>
          </w:p>
        </w:tc>
        <w:tc>
          <w:tcPr>
            <w:tcW w:type="dxa" w:w="2160"/>
          </w:tcPr>
          <w:p>
            <w:pPr>
              <w:jc w:val="center"/>
            </w:pPr>
            <w:r>
              <w:rPr>
                <w:b/>
                <w:sz w:val="20"/>
              </w:rPr>
              <w:t>% of σ(CB)</w:t>
            </w:r>
          </w:p>
        </w:tc>
      </w:tr>
      <w:tr>
        <w:tc>
          <w:tcPr>
            <w:tcW w:type="dxa" w:w="2160"/>
          </w:tcPr>
          <w:p>
            <w:pPr>
              <w:jc w:val="center"/>
            </w:pPr>
            <w:r>
              <w:rPr>
                <w:sz w:val="20"/>
              </w:rPr>
              <w:t>−2σ</w:t>
            </w:r>
          </w:p>
        </w:tc>
        <w:tc>
          <w:tcPr>
            <w:tcW w:type="dxa" w:w="2160"/>
          </w:tcPr>
          <w:p>
            <w:pPr>
              <w:jc w:val="center"/>
            </w:pPr>
            <w:r>
              <w:rPr>
                <w:sz w:val="20"/>
              </w:rPr>
              <w:t>−0.0054</w:t>
            </w:r>
          </w:p>
        </w:tc>
        <w:tc>
          <w:tcPr>
            <w:tcW w:type="dxa" w:w="2160"/>
          </w:tcPr>
          <w:p>
            <w:pPr>
              <w:jc w:val="center"/>
            </w:pPr>
            <w:r>
              <w:rPr>
                <w:sz w:val="20"/>
              </w:rPr>
              <w:t>−0.0108</w:t>
            </w:r>
          </w:p>
        </w:tc>
        <w:tc>
          <w:tcPr>
            <w:tcW w:type="dxa" w:w="2160"/>
          </w:tcPr>
          <w:p>
            <w:pPr>
              <w:jc w:val="center"/>
            </w:pPr>
            <w:r>
              <w:rPr>
                <w:sz w:val="20"/>
              </w:rPr>
              <w:t>−34%</w:t>
            </w:r>
          </w:p>
        </w:tc>
      </w:tr>
      <w:tr>
        <w:tc>
          <w:tcPr>
            <w:tcW w:type="dxa" w:w="2160"/>
          </w:tcPr>
          <w:p>
            <w:pPr>
              <w:jc w:val="center"/>
            </w:pPr>
            <w:r>
              <w:rPr>
                <w:sz w:val="20"/>
              </w:rPr>
              <w:t>−1σ</w:t>
            </w:r>
          </w:p>
        </w:tc>
        <w:tc>
          <w:tcPr>
            <w:tcW w:type="dxa" w:w="2160"/>
          </w:tcPr>
          <w:p>
            <w:pPr>
              <w:jc w:val="center"/>
            </w:pPr>
            <w:r>
              <w:rPr>
                <w:sz w:val="20"/>
              </w:rPr>
              <w:t>−0.0004</w:t>
            </w:r>
          </w:p>
        </w:tc>
        <w:tc>
          <w:tcPr>
            <w:tcW w:type="dxa" w:w="2160"/>
          </w:tcPr>
          <w:p>
            <w:pPr>
              <w:jc w:val="center"/>
            </w:pPr>
            <w:r>
              <w:rPr>
                <w:sz w:val="20"/>
              </w:rPr>
              <w:t>−0.0004</w:t>
            </w:r>
          </w:p>
        </w:tc>
        <w:tc>
          <w:tcPr>
            <w:tcW w:type="dxa" w:w="2160"/>
          </w:tcPr>
          <w:p>
            <w:pPr>
              <w:jc w:val="center"/>
            </w:pPr>
            <w:r>
              <w:rPr>
                <w:sz w:val="20"/>
              </w:rPr>
              <w:t>−1%</w:t>
            </w:r>
          </w:p>
        </w:tc>
      </w:tr>
      <w:tr>
        <w:tc>
          <w:tcPr>
            <w:tcW w:type="dxa" w:w="2160"/>
          </w:tcPr>
          <w:p>
            <w:pPr>
              <w:jc w:val="center"/>
            </w:pPr>
            <w:r>
              <w:rPr>
                <w:sz w:val="20"/>
              </w:rPr>
              <w:t>0</w:t>
            </w:r>
          </w:p>
        </w:tc>
        <w:tc>
          <w:tcPr>
            <w:tcW w:type="dxa" w:w="2160"/>
          </w:tcPr>
          <w:p>
            <w:pPr>
              <w:jc w:val="center"/>
            </w:pPr>
            <w:r>
              <w:rPr>
                <w:sz w:val="20"/>
              </w:rPr>
              <w:t>0.0047</w:t>
            </w:r>
          </w:p>
        </w:tc>
        <w:tc>
          <w:tcPr>
            <w:tcW w:type="dxa" w:w="2160"/>
          </w:tcPr>
          <w:p>
            <w:pPr>
              <w:jc w:val="center"/>
            </w:pPr>
            <w:r>
              <w:rPr>
                <w:sz w:val="20"/>
              </w:rPr>
              <w:t>0</w:t>
            </w:r>
          </w:p>
        </w:tc>
        <w:tc>
          <w:tcPr>
            <w:tcW w:type="dxa" w:w="2160"/>
          </w:tcPr>
          <w:p>
            <w:pPr>
              <w:jc w:val="center"/>
            </w:pPr>
            <w:r>
              <w:rPr>
                <w:sz w:val="20"/>
              </w:rPr>
              <w:t>0%</w:t>
            </w:r>
          </w:p>
        </w:tc>
      </w:tr>
      <w:tr>
        <w:tc>
          <w:tcPr>
            <w:tcW w:type="dxa" w:w="2160"/>
          </w:tcPr>
          <w:p>
            <w:pPr>
              <w:jc w:val="center"/>
            </w:pPr>
            <w:r>
              <w:rPr>
                <w:sz w:val="20"/>
              </w:rPr>
              <w:t>+1σ</w:t>
            </w:r>
          </w:p>
        </w:tc>
        <w:tc>
          <w:tcPr>
            <w:tcW w:type="dxa" w:w="2160"/>
          </w:tcPr>
          <w:p>
            <w:pPr>
              <w:jc w:val="center"/>
            </w:pPr>
            <w:r>
              <w:rPr>
                <w:sz w:val="20"/>
              </w:rPr>
              <w:t>0.0097</w:t>
            </w:r>
          </w:p>
        </w:tc>
        <w:tc>
          <w:tcPr>
            <w:tcW w:type="dxa" w:w="2160"/>
          </w:tcPr>
          <w:p>
            <w:pPr>
              <w:jc w:val="center"/>
            </w:pPr>
            <w:r>
              <w:rPr>
                <w:sz w:val="20"/>
              </w:rPr>
              <w:t>0.0097</w:t>
            </w:r>
          </w:p>
        </w:tc>
        <w:tc>
          <w:tcPr>
            <w:tcW w:type="dxa" w:w="2160"/>
          </w:tcPr>
          <w:p>
            <w:pPr>
              <w:jc w:val="center"/>
            </w:pPr>
            <w:r>
              <w:rPr>
                <w:sz w:val="20"/>
              </w:rPr>
              <w:t>+30%</w:t>
            </w:r>
          </w:p>
        </w:tc>
      </w:tr>
      <w:tr>
        <w:tc>
          <w:tcPr>
            <w:tcW w:type="dxa" w:w="2160"/>
          </w:tcPr>
          <w:p>
            <w:pPr>
              <w:jc w:val="center"/>
            </w:pPr>
            <w:r>
              <w:rPr>
                <w:sz w:val="20"/>
              </w:rPr>
              <w:t>+2σ</w:t>
            </w:r>
          </w:p>
        </w:tc>
        <w:tc>
          <w:tcPr>
            <w:tcW w:type="dxa" w:w="2160"/>
          </w:tcPr>
          <w:p>
            <w:pPr>
              <w:jc w:val="center"/>
            </w:pPr>
            <w:r>
              <w:rPr>
                <w:sz w:val="20"/>
              </w:rPr>
              <w:t>0.0147</w:t>
            </w:r>
          </w:p>
        </w:tc>
        <w:tc>
          <w:tcPr>
            <w:tcW w:type="dxa" w:w="2160"/>
          </w:tcPr>
          <w:p>
            <w:pPr>
              <w:jc w:val="center"/>
            </w:pPr>
            <w:r>
              <w:rPr>
                <w:sz w:val="20"/>
              </w:rPr>
              <w:t>0.0295</w:t>
            </w:r>
          </w:p>
        </w:tc>
        <w:tc>
          <w:tcPr>
            <w:tcW w:type="dxa" w:w="2160"/>
          </w:tcPr>
          <w:p>
            <w:pPr>
              <w:jc w:val="center"/>
            </w:pPr>
            <w:r>
              <w:rPr>
                <w:sz w:val="20"/>
              </w:rPr>
              <w:t>+92%</w:t>
            </w:r>
          </w:p>
        </w:tc>
      </w:tr>
    </w:tbl>
    <w:p>
      <w:pPr>
        <w:ind w:firstLine="720"/>
      </w:pPr>
      <w:r>
        <w:rPr>
          <w:b w:val="0"/>
          <w:i w:val="0"/>
        </w:rPr>
        <w:t>A +2σ hawkish surprise moves the CB score by 0.030, or 92% of its standard deviation. A −2σ dovish surprise moves it by only −0.011, or 34% of σ. The ratio is 2.7:1—the Fed's language amplifies hawkish signals nearly three times more than dovish signals. This asymmetry is consistent with the "central bank hawkish bias" documented in the communication literature (Shapiro and Wilson, 2022; Cieslak, 2018): the Fed communicates more forcefully when tightening than when easing, perhaps because hawkish communication is seen as more credible or because the Fed fears losing inflation-fighting credibility.</w:t>
      </w:r>
    </w:p>
    <w:p>
      <w:pPr>
        <w:ind w:firstLine="720"/>
      </w:pPr>
      <w:r>
        <w:rPr>
          <w:rFonts w:ascii="Times New Roman" w:hAnsi="Times New Roman"/>
          <w:sz w:val="24"/>
        </w:rPr>
        <w:t>An alternative interpretation is that the convexity reflects the asymmetric impact of monetary policy on the economy. Hawkish surprises may generate more uncertainty about future policy than dovish surprises, because the Fed's reaction function is asymmetric: the Fed responds more aggressively to inflation above target than to inflation below target (the "Fed put"). If statement language reflects this asymmetric reaction function, then the convexity we observe is a manifestation of the Fed's underlying policy asymmetry rather than a communication choice per se. Distinguishing between these interpretations is an important avenue for future research.</w:t>
      </w:r>
    </w:p>
    <w:p>
      <w:pPr>
        <w:ind w:firstLine="720"/>
      </w:pPr>
      <w:r>
        <w:rPr>
          <w:rFonts w:ascii="Times New Roman" w:hAnsi="Times New Roman"/>
          <w:sz w:val="24"/>
        </w:rPr>
        <w:t>The convex response of sentiment to target shocks has a natural interpretation in terms of the Fed's communication incentives. When the Fed delivers a hawkish surprise (target &gt; 0), it has an incentive to reinforce the surprise with strong language, because hawkish communication helps establish credibility as an inflation fighter. When the Fed delivers a dovish surprise (target &lt; 0), it has less incentive to amplify the signal, because dovish communication risks undermining the credibility built during previous tightening cycles. This asymmetry in communication incentives generates the convex response we observe in the data.</w:t>
      </w:r>
    </w:p>
    <w:p>
      <w:pPr>
        <w:pStyle w:val="Heading1"/>
      </w:pPr>
      <w:r>
        <w:t>4.2 The ZLB Structural Break</w:t>
      </w:r>
    </w:p>
    <w:p>
      <w:pPr>
        <w:ind w:firstLine="720"/>
      </w:pPr>
      <w:r>
        <w:rPr>
          <w:b w:val="0"/>
          <w:i w:val="0"/>
        </w:rPr>
        <w:t>Table 4 reports the quadratic model estimated separately for the pre-ZLB and ZLB+Post eras. In the pre-ZLB period (N = 55), target² is insignificant (t = 0.37, β = 0.0006). In the ZLB+Post period (N = 109), target² is significant (t = 2.77, β = 0.0040). The coefficient increases by a factor of 7.2 across eras. A Chow test formally rejects the null of parameter stability (F = 14.12, p &lt; 0.001).</w:t>
      </w:r>
    </w:p>
    <w:p>
      <w:r>
        <w:rPr>
          <w:b/>
          <w:sz w:val="20"/>
        </w:rPr>
        <w:t>Table 4: ZLB Structural Break Test</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Pre-ZLB (N=55)</w:t>
            </w:r>
          </w:p>
        </w:tc>
        <w:tc>
          <w:tcPr>
            <w:tcW w:type="dxa" w:w="2880"/>
          </w:tcPr>
          <w:p>
            <w:pPr>
              <w:jc w:val="center"/>
            </w:pPr>
            <w:r>
              <w:rPr>
                <w:b/>
                <w:sz w:val="20"/>
              </w:rPr>
              <w:t>ZLB+Post (N=109)</w:t>
            </w:r>
          </w:p>
        </w:tc>
      </w:tr>
      <w:tr>
        <w:tc>
          <w:tcPr>
            <w:tcW w:type="dxa" w:w="2880"/>
          </w:tcPr>
          <w:p>
            <w:pPr>
              <w:jc w:val="center"/>
            </w:pPr>
            <w:r>
              <w:rPr>
                <w:sz w:val="20"/>
              </w:rPr>
              <w:t>Target</w:t>
            </w:r>
          </w:p>
        </w:tc>
        <w:tc>
          <w:tcPr>
            <w:tcW w:type="dxa" w:w="2880"/>
          </w:tcPr>
          <w:p>
            <w:pPr>
              <w:jc w:val="center"/>
            </w:pPr>
            <w:r>
              <w:rPr>
                <w:sz w:val="20"/>
              </w:rPr>
              <w:t>0.0013 (0.27)</w:t>
            </w:r>
          </w:p>
        </w:tc>
        <w:tc>
          <w:tcPr>
            <w:tcW w:type="dxa" w:w="2880"/>
          </w:tcPr>
          <w:p>
            <w:pPr>
              <w:jc w:val="center"/>
            </w:pPr>
            <w:r>
              <w:rPr>
                <w:sz w:val="20"/>
              </w:rPr>
              <w:t>0.0064 (1.21)</w:t>
            </w:r>
          </w:p>
        </w:tc>
      </w:tr>
      <w:tr>
        <w:tc>
          <w:tcPr>
            <w:tcW w:type="dxa" w:w="2880"/>
          </w:tcPr>
          <w:p>
            <w:pPr>
              <w:jc w:val="center"/>
            </w:pPr>
            <w:r>
              <w:rPr>
                <w:sz w:val="20"/>
              </w:rPr>
              <w:t>Path</w:t>
            </w:r>
          </w:p>
        </w:tc>
        <w:tc>
          <w:tcPr>
            <w:tcW w:type="dxa" w:w="2880"/>
          </w:tcPr>
          <w:p>
            <w:pPr>
              <w:jc w:val="center"/>
            </w:pPr>
            <w:r>
              <w:rPr>
                <w:sz w:val="20"/>
              </w:rPr>
              <w:t>0.0031 (0.65)</w:t>
            </w:r>
          </w:p>
        </w:tc>
        <w:tc>
          <w:tcPr>
            <w:tcW w:type="dxa" w:w="2880"/>
          </w:tcPr>
          <w:p>
            <w:pPr>
              <w:jc w:val="center"/>
            </w:pPr>
            <w:r>
              <w:rPr>
                <w:sz w:val="20"/>
              </w:rPr>
              <w:t>0.0057* (2.05)</w:t>
            </w:r>
          </w:p>
        </w:tc>
      </w:tr>
      <w:tr>
        <w:tc>
          <w:tcPr>
            <w:tcW w:type="dxa" w:w="2880"/>
          </w:tcPr>
          <w:p>
            <w:pPr>
              <w:jc w:val="center"/>
            </w:pPr>
            <w:r>
              <w:rPr>
                <w:sz w:val="20"/>
              </w:rPr>
              <w:t>Target²</w:t>
            </w:r>
          </w:p>
        </w:tc>
        <w:tc>
          <w:tcPr>
            <w:tcW w:type="dxa" w:w="2880"/>
          </w:tcPr>
          <w:p>
            <w:pPr>
              <w:jc w:val="center"/>
            </w:pPr>
            <w:r>
              <w:rPr>
                <w:sz w:val="20"/>
              </w:rPr>
              <w:t>0.0006 (0.37)</w:t>
            </w:r>
          </w:p>
        </w:tc>
        <w:tc>
          <w:tcPr>
            <w:tcW w:type="dxa" w:w="2880"/>
          </w:tcPr>
          <w:p>
            <w:pPr>
              <w:jc w:val="center"/>
            </w:pPr>
            <w:r>
              <w:rPr>
                <w:sz w:val="20"/>
              </w:rPr>
              <w:t>0.0040** (2.77)</w:t>
            </w:r>
          </w:p>
        </w:tc>
      </w:tr>
      <w:tr>
        <w:tc>
          <w:tcPr>
            <w:tcW w:type="dxa" w:w="2880"/>
          </w:tcPr>
          <w:p>
            <w:pPr>
              <w:jc w:val="center"/>
            </w:pPr>
            <w:r>
              <w:rPr>
                <w:sz w:val="20"/>
              </w:rPr>
              <w:t>R²</w:t>
            </w:r>
          </w:p>
        </w:tc>
        <w:tc>
          <w:tcPr>
            <w:tcW w:type="dxa" w:w="2880"/>
          </w:tcPr>
          <w:p>
            <w:pPr>
              <w:jc w:val="center"/>
            </w:pPr>
            <w:r>
              <w:rPr>
                <w:sz w:val="20"/>
              </w:rPr>
              <w:t>0.027</w:t>
            </w:r>
          </w:p>
        </w:tc>
        <w:tc>
          <w:tcPr>
            <w:tcW w:type="dxa" w:w="2880"/>
          </w:tcPr>
          <w:p>
            <w:pPr>
              <w:jc w:val="center"/>
            </w:pPr>
            <w:r>
              <w:rPr>
                <w:sz w:val="20"/>
              </w:rPr>
              <w:t>0.072</w:t>
            </w:r>
          </w:p>
        </w:tc>
      </w:tr>
      <w:tr>
        <w:tc>
          <w:tcPr>
            <w:tcW w:type="dxa" w:w="2880"/>
          </w:tcPr>
          <w:p>
            <w:pPr>
              <w:jc w:val="center"/>
            </w:pPr>
            <w:r>
              <w:rPr>
                <w:sz w:val="20"/>
              </w:rPr>
              <w:t>Chow test F</w:t>
            </w:r>
          </w:p>
        </w:tc>
        <w:tc>
          <w:tcPr>
            <w:tcW w:type="dxa" w:w="2880"/>
          </w:tcPr>
          <w:p>
            <w:pPr>
              <w:jc w:val="center"/>
            </w:pPr>
            <w:r>
              <w:rPr>
                <w:sz w:val="20"/>
              </w:rPr>
            </w:r>
          </w:p>
        </w:tc>
        <w:tc>
          <w:tcPr>
            <w:tcW w:type="dxa" w:w="2880"/>
          </w:tcPr>
          <w:p>
            <w:pPr>
              <w:jc w:val="center"/>
            </w:pPr>
            <w:r>
              <w:rPr>
                <w:sz w:val="20"/>
              </w:rPr>
              <w:t>14.12***</w:t>
            </w:r>
          </w:p>
        </w:tc>
      </w:tr>
    </w:tbl>
    <w:p>
      <w:pPr>
        <w:ind w:firstLine="720"/>
      </w:pPr>
      <w:r>
        <w:rPr>
          <w:b w:val="0"/>
          <w:i w:val="0"/>
        </w:rPr>
        <w:t>Why does the asymmetry emerge only at the ZLB? We propose an interpretation based on the forward guidance channel. When the policy rate is above zero, the Fed can signal its policy stance through the rate decision itself—the statement language is secondary. When the rate is at zero, the Fed loses this tool and must rely on statement language to signal future policy intentions. This reliance creates an amplification mechanism: hawkish forward guidance (signaling future rate hikes) requires stronger language to be credible, because the Fed cannot "put its money where its mouth is" with an actual rate increase. Dovish forward guidance (signaling continued accommodation) requires less amplification, because the zero rate already provides a strong accommodative signal. This asymmetry in the credibility of forward guidance generates the convex response we document.</w:t>
      </w:r>
    </w:p>
    <w:p>
      <w:pPr>
        <w:ind w:firstLine="720"/>
      </w:pPr>
      <w:r>
        <w:rPr>
          <w:b w:val="0"/>
          <w:i w:val="0"/>
        </w:rPr>
        <w:t>Several features of the data support this interpretation. First, statement length increases dramatically in the ZLB era (from 240 to 879 words on average), consistent with the Fed using language as a substitute for rate actions. Second, the path shock becomes significant only in the ZLB+Post era (t = 2.05), consistent with forward guidance becoming a more important policy tool. Third, the CB score becomes persistently negative in the ZLB era (mean = −0.049, range [−0.093, −0.013]), reflecting the sustained dovish tone of ZLB-era statements.</w:t>
      </w:r>
    </w:p>
    <w:p>
      <w:pPr>
        <w:ind w:firstLine="720"/>
      </w:pPr>
      <w:r>
        <w:rPr>
          <w:b w:val="0"/>
          <w:i w:val="0"/>
        </w:rPr>
        <w:t>We acknowledge that the ZLB break coincides with other changes—the introduction of quantitative easing, expanded press conferences, and the publication of economic projections—that could also explain the structural break. We cannot separately identify these channels with our data. However, the forward guidance interpretation is consistent with the specific pattern we observe: the asymmetry is in the target shock response (the surprise about the current rate decision), not just the path shock response (the surprise about future policy), suggesting that the amplification operates through the Fed's interpretation of its own policy actions, not just through explicit forward guidance language.</w:t>
      </w:r>
    </w:p>
    <w:p>
      <w:pPr>
        <w:ind w:firstLine="720"/>
      </w:pPr>
      <w:r>
        <w:rPr>
          <w:rFonts w:ascii="Times New Roman" w:hAnsi="Times New Roman"/>
          <w:sz w:val="24"/>
        </w:rPr>
        <w:t>The ZLB structural break is consistent with several mechanisms. First, when the policy rate is at zero, the Fed cannot signal future tightening through rate increases, so it relies more heavily on statement language. This increased reliance on language amplifies the asymmetric communication incentives described above. Second, the ZLB period coincided with the introduction of quantitative easing (QE), which changed the nature of FOMC statements by requiring the Fed to communicate about balance sheet policy in addition to rate policy. Third, the ZLB period saw a significant increase in statement length (from an average of 240 words pre-ZLB to 880 words post-ZLB), which may have given the Fed more room to amplify hawkish signals. We control for statement length in our robustness analysis and find that the asymmetry persists (Table 2, column 5).</w:t>
      </w:r>
    </w:p>
    <w:p>
      <w:pPr>
        <w:pStyle w:val="Heading1"/>
      </w:pPr>
      <w:r>
        <w:t>4.3 Placebo: The LM Dictionary Misses the Asymmetry</w:t>
      </w:r>
    </w:p>
    <w:p>
      <w:pPr>
        <w:ind w:firstLine="720"/>
      </w:pPr>
      <w:r>
        <w:rPr>
          <w:b w:val="0"/>
          <w:i w:val="0"/>
        </w:rPr>
        <w:t>A natural concern is that the asymmetric response is an artifact of the CB dictionary. If the CB dictionary is biased toward detecting hawkish language, the convex response could be spurious. We address this concern by replicating our analysis using the Loughran and McDonald (2011) dictionary, the most widely used sentiment dictionary in financial economics.</w:t>
      </w:r>
    </w:p>
    <w:p>
      <w:pPr>
        <w:ind w:firstLine="720"/>
      </w:pPr>
      <w:r>
        <w:rPr>
          <w:b w:val="0"/>
          <w:i w:val="0"/>
        </w:rPr>
        <w:t>The results are striking. When LM% is the dependent variable, target² enters with a negative sign (t = −6.89), indicating a concave rather than convex response. This is the opposite of the CB result (t = +3.27). The LM dictionary does not merely fail to detect the asymmetry—it detects a different asymmetry, in the opposite direction.</w:t>
      </w:r>
    </w:p>
    <w:p>
      <w:r>
        <w:rPr>
          <w:b/>
          <w:sz w:val="20"/>
        </w:rPr>
        <w:t>Table 5: CB vs LM Dictionary (N = 131)</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CB Score</w:t>
            </w:r>
          </w:p>
        </w:tc>
        <w:tc>
          <w:tcPr>
            <w:tcW w:type="dxa" w:w="2880"/>
          </w:tcPr>
          <w:p>
            <w:pPr>
              <w:jc w:val="center"/>
            </w:pPr>
            <w:r>
              <w:rPr>
                <w:b/>
                <w:sz w:val="20"/>
              </w:rPr>
              <w:t>LM%</w:t>
            </w:r>
          </w:p>
        </w:tc>
      </w:tr>
      <w:tr>
        <w:tc>
          <w:tcPr>
            <w:tcW w:type="dxa" w:w="2880"/>
          </w:tcPr>
          <w:p>
            <w:pPr>
              <w:jc w:val="center"/>
            </w:pPr>
            <w:r>
              <w:rPr>
                <w:sz w:val="20"/>
              </w:rPr>
              <w:t>Target</w:t>
            </w:r>
          </w:p>
        </w:tc>
        <w:tc>
          <w:tcPr>
            <w:tcW w:type="dxa" w:w="2880"/>
          </w:tcPr>
          <w:p>
            <w:pPr>
              <w:jc w:val="center"/>
            </w:pPr>
            <w:r>
              <w:rPr>
                <w:sz w:val="20"/>
              </w:rPr>
              <w:t>0.0047 (1.88)</w:t>
            </w:r>
          </w:p>
        </w:tc>
        <w:tc>
          <w:tcPr>
            <w:tcW w:type="dxa" w:w="2880"/>
          </w:tcPr>
          <w:p>
            <w:pPr>
              <w:jc w:val="center"/>
            </w:pPr>
            <w:r>
              <w:rPr>
                <w:sz w:val="20"/>
              </w:rPr>
              <w:t>−0.082 (−0.69)</w:t>
            </w:r>
          </w:p>
        </w:tc>
      </w:tr>
      <w:tr>
        <w:tc>
          <w:tcPr>
            <w:tcW w:type="dxa" w:w="2880"/>
          </w:tcPr>
          <w:p>
            <w:pPr>
              <w:jc w:val="center"/>
            </w:pPr>
            <w:r>
              <w:rPr>
                <w:sz w:val="20"/>
              </w:rPr>
              <w:t>Path</w:t>
            </w:r>
          </w:p>
        </w:tc>
        <w:tc>
          <w:tcPr>
            <w:tcW w:type="dxa" w:w="2880"/>
          </w:tcPr>
          <w:p>
            <w:pPr>
              <w:jc w:val="center"/>
            </w:pPr>
            <w:r>
              <w:rPr>
                <w:sz w:val="20"/>
              </w:rPr>
              <w:t>0.0051 (1.43)</w:t>
            </w:r>
          </w:p>
        </w:tc>
        <w:tc>
          <w:tcPr>
            <w:tcW w:type="dxa" w:w="2880"/>
          </w:tcPr>
          <w:p>
            <w:pPr>
              <w:jc w:val="center"/>
            </w:pPr>
            <w:r>
              <w:rPr>
                <w:sz w:val="20"/>
              </w:rPr>
              <w:t>0.095 (0.55)</w:t>
            </w:r>
          </w:p>
        </w:tc>
      </w:tr>
      <w:tr>
        <w:tc>
          <w:tcPr>
            <w:tcW w:type="dxa" w:w="2880"/>
          </w:tcPr>
          <w:p>
            <w:pPr>
              <w:jc w:val="center"/>
            </w:pPr>
            <w:r>
              <w:rPr>
                <w:sz w:val="20"/>
              </w:rPr>
              <w:t>Target²</w:t>
            </w:r>
          </w:p>
        </w:tc>
        <w:tc>
          <w:tcPr>
            <w:tcW w:type="dxa" w:w="2880"/>
          </w:tcPr>
          <w:p>
            <w:pPr>
              <w:jc w:val="center"/>
            </w:pPr>
            <w:r>
              <w:rPr>
                <w:sz w:val="20"/>
              </w:rPr>
              <w:t>0.0025** (3.27)</w:t>
            </w:r>
          </w:p>
        </w:tc>
        <w:tc>
          <w:tcPr>
            <w:tcW w:type="dxa" w:w="2880"/>
          </w:tcPr>
          <w:p>
            <w:pPr>
              <w:jc w:val="center"/>
            </w:pPr>
            <w:r>
              <w:rPr>
                <w:sz w:val="20"/>
              </w:rPr>
              <w:t>−0.045*** (−6.89)</w:t>
            </w:r>
          </w:p>
        </w:tc>
      </w:tr>
      <w:tr>
        <w:tc>
          <w:tcPr>
            <w:tcW w:type="dxa" w:w="2880"/>
          </w:tcPr>
          <w:p>
            <w:pPr>
              <w:jc w:val="center"/>
            </w:pPr>
            <w:r>
              <w:rPr>
                <w:sz w:val="20"/>
              </w:rPr>
              <w:t>R²</w:t>
            </w:r>
          </w:p>
        </w:tc>
        <w:tc>
          <w:tcPr>
            <w:tcW w:type="dxa" w:w="2880"/>
          </w:tcPr>
          <w:p>
            <w:pPr>
              <w:jc w:val="center"/>
            </w:pPr>
            <w:r>
              <w:rPr>
                <w:sz w:val="20"/>
              </w:rPr>
              <w:t>0.043</w:t>
            </w:r>
          </w:p>
        </w:tc>
        <w:tc>
          <w:tcPr>
            <w:tcW w:type="dxa" w:w="2880"/>
          </w:tcPr>
          <w:p>
            <w:pPr>
              <w:jc w:val="center"/>
            </w:pPr>
            <w:r>
              <w:rPr>
                <w:sz w:val="20"/>
              </w:rPr>
              <w:t>0.168</w:t>
            </w:r>
          </w:p>
        </w:tc>
      </w:tr>
      <w:tr>
        <w:tc>
          <w:tcPr>
            <w:tcW w:type="dxa" w:w="2880"/>
          </w:tcPr>
          <w:p>
            <w:pPr>
              <w:jc w:val="center"/>
            </w:pPr>
            <w:r>
              <w:rPr>
                <w:sz w:val="20"/>
              </w:rPr>
              <w:t>N</w:t>
            </w:r>
          </w:p>
        </w:tc>
        <w:tc>
          <w:tcPr>
            <w:tcW w:type="dxa" w:w="2880"/>
          </w:tcPr>
          <w:p>
            <w:pPr>
              <w:jc w:val="center"/>
            </w:pPr>
            <w:r>
              <w:rPr>
                <w:sz w:val="20"/>
              </w:rPr>
              <w:t>131</w:t>
            </w:r>
          </w:p>
        </w:tc>
        <w:tc>
          <w:tcPr>
            <w:tcW w:type="dxa" w:w="2880"/>
          </w:tcPr>
          <w:p>
            <w:pPr>
              <w:jc w:val="center"/>
            </w:pPr>
            <w:r>
              <w:rPr>
                <w:sz w:val="20"/>
              </w:rPr>
              <w:t>131</w:t>
            </w:r>
          </w:p>
        </w:tc>
      </w:tr>
    </w:tbl>
    <w:p>
      <w:pPr>
        <w:ind w:firstLine="720"/>
      </w:pPr>
      <w:r>
        <w:rPr>
          <w:b w:val="0"/>
          <w:i w:val="0"/>
        </w:rPr>
        <w:t>This divergence reflects the LM dictionary's positivity bias. The LM dictionary was developed for 10-K filings, where "positive" words like "stable", "strong", and "improved" convey genuinely favorable information. In FOMC statements, these same words are standard central bank language that does not convey hawkish sentiment. As a result, LM% is positive on average (0.46 in the ZLB+Post era) even during rate-cut meetings, and it understates the hawkishness of hawkish statements. This bias flattens the true convex response and, because the LM dictionary overweights positive words in dovish statements, it generates a spurious concave pattern.</w:t>
      </w:r>
    </w:p>
    <w:p>
      <w:pPr>
        <w:ind w:firstLine="720"/>
      </w:pPr>
      <w:r>
        <w:rPr>
          <w:b w:val="0"/>
          <w:i w:val="0"/>
        </w:rPr>
        <w:t>The CB dictionary, by contrast, was specifically calibrated to central bank language (Correa et al., 2021). Its hawkish list includes terms like "tightening", "inflationary pressures", and "vigilant" that are absent from the LM dictionary. This calibration allows the CB dictionary to capture the true asymmetric response that the LM dictionary misses. Our finding underscores the importance of domain-specific dictionaries for central bank text analysis, consistent with Apel, Grimaldi, and Hull (2022) and Gambacorta, Iannotta, and Liao (2024).</w:t>
      </w:r>
    </w:p>
    <w:p>
      <w:pPr>
        <w:pStyle w:val="Heading1"/>
      </w:pPr>
      <w:r>
        <w:t>4.4 Cross-Asset Evidence: DXY</w:t>
      </w:r>
    </w:p>
    <w:p>
      <w:pPr>
        <w:ind w:firstLine="720"/>
      </w:pPr>
      <w:r>
        <w:rPr>
          <w:b w:val="0"/>
          <w:i w:val="0"/>
        </w:rPr>
        <w:t>If the asymmetric sentiment response reflects a genuine feature of central bank communication, it should also be visible in asset prices that respond to FOMC announcements. We test this by estimating the quadratic model with the dollar index (DXY) return around FOMC meetings as the dependent variable.</w:t>
      </w:r>
    </w:p>
    <w:p>
      <w:pPr>
        <w:ind w:firstLine="720"/>
      </w:pPr>
      <w:r>
        <w:rPr>
          <w:b w:val="0"/>
          <w:i w:val="0"/>
        </w:rPr>
        <w:t>In the ZLB+Post era, target² enters significantly negative (t = −2.44), indicating a concave response: the dollar strengthens less than proportionally to larger hawkish surprises. This is the opposite of the convex sentiment response (target² t = +2.77). In the pre-ZLB era, target² is insignificant for DXY (t = 0.53), mirroring the null result for CB sentiment.</w:t>
      </w:r>
    </w:p>
    <w:p>
      <w:pPr>
        <w:ind w:firstLine="720"/>
      </w:pPr>
      <w:r>
        <w:rPr>
          <w:b w:val="0"/>
          <w:i w:val="0"/>
        </w:rPr>
        <w:t>The opposite curvature in sentiment (convex) and FX (concave) suggests a dampening mechanism: while FOMC language amplifies hawkish signals, the foreign exchange market partially absorbs them. One interpretation is that market participants discount the most hawkish FOMC language as posturing, while taking the most dovish language at face value. This is consistent with the "Fed put" narrative (Cieslak, 2018): the market believes the Fed will ease aggressively when needed but will not tighten as much as it signals. The result is that sentiment overshoots on the hawkish side while the FX market undershoots.</w:t>
      </w:r>
    </w:p>
    <w:p>
      <w:pPr>
        <w:ind w:firstLine="720"/>
      </w:pPr>
      <w:r>
        <w:rPr>
          <w:b w:val="0"/>
          <w:i w:val="0"/>
        </w:rPr>
        <w:t>The USDJPY response is weaker (target² t = −0.67 in the ZLB+Post era), consistent with the yen's status as a safe-haven currency that responds to different channels than the broad dollar index.</w:t>
      </w:r>
    </w:p>
    <w:p>
      <w:pPr>
        <w:ind w:firstLine="720"/>
      </w:pPr>
      <w:r>
        <w:rPr>
          <w:rFonts w:ascii="Times New Roman" w:hAnsi="Times New Roman"/>
          <w:sz w:val="24"/>
        </w:rPr>
        <w:t>The opposite curvature of sentiment (convex) and FX (concave) responses to target shocks is consistent with a model in which markets partially discount the most hawkish FOMC language. When the Fed delivers a large hawkish surprise and amplifies it with strong language, FX traders may discount the language as overcompensation, resulting in a diminishing marginal effect on the dollar. This "discounting channel" generates the concave DXY response. By contrast, the sentiment measure captures the raw language without discounting, resulting in the convex CB response. The divergence between sentiment and asset prices at extreme shock levels suggests that markets are sophisticated enough to partially undo the Fed's asymmetric communication.</w:t>
      </w:r>
    </w:p>
    <w:p>
      <w:pPr>
        <w:pStyle w:val="Heading1"/>
      </w:pPr>
      <w:r>
        <w:t>4.5 Economic Significance</w:t>
      </w:r>
    </w:p>
    <w:p>
      <w:pPr>
        <w:ind w:firstLine="720"/>
      </w:pPr>
      <w:r>
        <w:rPr>
          <w:b w:val="0"/>
          <w:i w:val="0"/>
        </w:rPr>
        <w:t>We quantify the economic significance of the asymmetric response in two ways. First, we compute the implied CB score change for a one-standard-deviation target shock at different levels. In the ZLB+Post era (σ_target = 0.53), a +1σ shock changes CB by +0.006 (30% of σ_CB), while a −1σ shock changes CB by −0.001 (only 5% of σ_CB). The ratio is 6:1—hawkish surprises have six times the per-unit impact on sentiment.</w:t>
      </w:r>
    </w:p>
    <w:p>
      <w:pPr>
        <w:ind w:firstLine="720"/>
      </w:pPr>
      <w:r>
        <w:rPr>
          <w:b w:val="0"/>
          <w:i w:val="0"/>
        </w:rPr>
        <w:t>Second, we translate the CB score change into a word count. The CB score is defined as (hawkish − dovish) / total_words. For an average ZLB+Post statement of 879 words, a CB change of 0.006 corresponds to approximately 5.3 net hawkish words (e.g., replacing 5 dovish words with hawkish ones, or adding 5 hawkish words). This is a meaningful change: the average ZLB+Post statement contains about 15 net dovish words, so a +1σ hawkish surprise shifts the balance by roughly one-third.</w:t>
      </w:r>
    </w:p>
    <w:p>
      <w:pPr>
        <w:ind w:firstLine="720"/>
      </w:pPr>
      <w:r>
        <w:rPr>
          <w:b w:val="0"/>
          <w:i w:val="0"/>
        </w:rPr>
        <w:t>Third, we assess the persistence of the sentiment response. An AR(2) model of CB scores in the ZLB+Post era yields CB(t) = 0.81 × CB(t−1) + 0.11 × CB(t−2) + ε (R² = 0.80). The high persistence implies that a one-time shock to sentiment has long-lasting effects: the half-life of a CB score innovation is approximately 3.2 meetings (about 5 months). This persistence amplifies the economic significance of the asymmetric response, because the cumulative effect of a hawkish surprise on the path of sentiment is much larger than the immediate effect.</w:t>
      </w:r>
    </w:p>
    <w:p>
      <w:pPr>
        <w:pStyle w:val="Heading1"/>
      </w:pPr>
      <w:r>
        <w:t>5. Robustness</w:t>
      </w:r>
    </w:p>
    <w:p>
      <w:pPr>
        <w:pStyle w:val="Heading1"/>
      </w:pPr>
      <w:r>
        <w:t>5.1 Alternative Shock Measures</w:t>
      </w:r>
    </w:p>
    <w:p>
      <w:pPr>
        <w:ind w:firstLine="720"/>
      </w:pPr>
      <w:r>
        <w:rPr>
          <w:b w:val="0"/>
          <w:i w:val="0"/>
        </w:rPr>
        <w:t>Our baseline uses the Acosta (2022) target and path shocks. As a robustness check, we replace these with the raw federal funds rate surprise (ff.shock.0) and estimate CB = f(ff.shock.0, ff.shock.0²). In the ZLB+Post era, ff.shock.0² is positive but insignificant (t = 0.82). This is expected: the raw FF surprise captures only the current-rate component, not the forward guidance component that drives the asymmetry. When we include both ff.shock.0 and the path shock, target² remains significant (t = 2.65, Table 2 column 3), confirming that the asymmetry is not driven by the choice of shock decomposition.</w:t>
      </w:r>
    </w:p>
    <w:p>
      <w:pPr>
        <w:pStyle w:val="Heading1"/>
      </w:pPr>
      <w:r>
        <w:t>5.2 Continuous vs Discrete Specification</w:t>
      </w:r>
    </w:p>
    <w:p>
      <w:pPr>
        <w:ind w:firstLine="720"/>
      </w:pPr>
      <w:r>
        <w:rPr>
          <w:b w:val="0"/>
          <w:i w:val="0"/>
        </w:rPr>
        <w:t>Our quadratic specification captures the asymmetry through a continuous interaction term (target²). An alternative is the discrete regime-interaction model used in earlier versions of this paper: CB = f(target, path, direction, target × direction, path × direction), where direction = +1 for hike meetings, −1 for cut meetings, and 0 for unchanged. This specification yields target × direction t = 3.41 and path × direction t = −2.53 (N = 131), qualitatively similar to the quadratic results.</w:t>
      </w:r>
    </w:p>
    <w:p>
      <w:pPr>
        <w:ind w:firstLine="720"/>
      </w:pPr>
      <w:r>
        <w:rPr>
          <w:b w:val="0"/>
          <w:i w:val="0"/>
        </w:rPr>
        <w:t>However, the discrete specification suffers from a circular identification problem: during the ZLB period, the regime classification (hike/cut/unchanged) is based on statement language rather than rate changes, creating a mechanical correlation between the interaction term and the dependent variable. The quadratic specification avoids this problem because target² is a deterministic function of the (exogenous) target shock, not of statement content. We prefer the quadratic specification on identification grounds, but note that both approaches point to the same qualitative conclusion: FOMC statement sentiment responds asymmetrically to monetary policy shocks.</w:t>
      </w:r>
    </w:p>
    <w:p>
      <w:pPr>
        <w:ind w:firstLine="720"/>
      </w:pPr>
      <w:r>
        <w:rPr>
          <w:rFonts w:ascii="Times New Roman" w:hAnsi="Times New Roman"/>
          <w:sz w:val="24"/>
        </w:rPr>
        <w:t>Moreover, the discrete model requires choosing a threshold for regime classification, which introduces an arbitrary parameter. In the ZLB era, the choice of threshold is particularly consequential because many meetings have near-zero rate changes, making the classification sensitive to small perturbations. The quadratic specification avoids this problem entirely by using the continuous target shock as the only input variable.</w:t>
      </w:r>
    </w:p>
    <w:p>
      <w:pPr>
        <w:ind w:firstLine="720"/>
      </w:pPr>
      <w:r>
        <w:rPr>
          <w:rFonts w:ascii="Times New Roman" w:hAnsi="Times New Roman"/>
          <w:sz w:val="24"/>
        </w:rPr>
        <w:t>The advantage of the continuous specification extends beyond avoiding the circular identification problem. The discrete regime-interaction model imposes a specific functional form: the effect of a target shock on sentiment is assumed to be constant within each regime but different across regimes. This is a strong assumption that may not hold if the relationship between target shocks and sentiment is smoothly varying rather than piecewise constant. The quadratic specification allows for smooth variation and nests the discrete model as a special case: if the true relationship is piecewise constant, the quadratic term will capture the average nonlinearity across regimes.</w:t>
      </w:r>
    </w:p>
    <w:p>
      <w:pPr>
        <w:pStyle w:val="Heading1"/>
      </w:pPr>
      <w:r>
        <w:t>5.3 HAC Size Distortion</w:t>
      </w:r>
    </w:p>
    <w:p>
      <w:pPr>
        <w:ind w:firstLine="720"/>
      </w:pPr>
      <w:r>
        <w:rPr>
          <w:b w:val="0"/>
          <w:i w:val="0"/>
        </w:rPr>
        <w:t>Small samples with persistent data can cause HAC-based tests to over-reject. We calibrate the size distortion using 2,000 Monte Carlo simulations under the null of no target² effect. At N = 109 (ZLB+Post), the nominal 5% HAC test rejects 16.6% of the time—a 3.3× over-rejection. This motivates our use of permutation tests, which do not suffer from this distortion. The permutation p-value for target² in the ZLB+Post sample is 0.005, well below the 5% threshold even after accounting for size distortion. The wild bootstrap p-value is 0.012 for the full sample (N = 131).</w:t>
      </w:r>
    </w:p>
    <w:p>
      <w:pPr>
        <w:pStyle w:val="Heading1"/>
      </w:pPr>
      <w:r>
        <w:t>5.4 Statement Length</w:t>
      </w:r>
    </w:p>
    <w:p>
      <w:pPr>
        <w:ind w:firstLine="720"/>
      </w:pPr>
      <w:r>
        <w:rPr>
          <w:b w:val="0"/>
          <w:i w:val="0"/>
        </w:rPr>
        <w:t>FOMC statements have become substantially longer over time, from an average of 240 words pre-ZLB to 879 words ZLB+Post. If longer statements contain proportionally more hawkish and dovish words, the CB score (which normalizes by total words) could be mechanically affected. We address this in two ways. First, we control for total_words directly in the regression (Table 2, columns 5–6). Target² remains significant (t = 4.13 and 3.70). Second, we estimate the model on the pre-ZLB sample, where statement length is relatively constant (standard deviation of 45 words), and find no asymmetry (target² t = 0.37). The asymmetry emerges only when statement length varies substantially, but it is not driven by length per se.</w:t>
      </w:r>
    </w:p>
    <w:p>
      <w:pPr>
        <w:pStyle w:val="Heading1"/>
      </w:pPr>
      <w:r>
        <w:t>5.5 Subsample Stability</w:t>
      </w:r>
    </w:p>
    <w:p>
      <w:pPr>
        <w:ind w:firstLine="720"/>
      </w:pPr>
      <w:r>
        <w:rPr>
          <w:b w:val="0"/>
          <w:i w:val="0"/>
        </w:rPr>
        <w:t>We examine whether the results are driven by specific subperiods. Dropping the 2008–2009 financial crisis (N = 97), target² remains significant (t = 2.41). Dropping the 2020–2022 COVID period (N = 96), target² remains significant (t = 2.63). The results are not driven by outliers: excluding the 5% most extreme target shocks (by absolute value), target² remains significant (t = 2.18).</w:t>
      </w:r>
    </w:p>
    <w:p>
      <w:pPr>
        <w:ind w:firstLine="720"/>
      </w:pPr>
      <w:r>
        <w:rPr>
          <w:b w:val="0"/>
          <w:i w:val="0"/>
        </w:rPr>
        <w:t>We also examine whether the results are robust to alternative ZLB break dates. Using November 2008 (the meeting before the rate hit zero) as the break date yields similar results: target² t = 0.41 pre-break and t = 2.71 post-break. Using March 2009 (the trough of the financial crisis) yields target² t = 0.35 pre-break and t = 2.59 post-break. The results are not sensitive to the exact break date, consistent with the ZLB being a broad regime shift rather than a single-event structural break.</w:t>
      </w:r>
    </w:p>
    <w:p>
      <w:pPr>
        <w:pStyle w:val="Heading1"/>
      </w:pPr>
      <w:r>
        <w:t>5.6 Alternative Sentiment Measures</w:t>
      </w:r>
    </w:p>
    <w:p>
      <w:pPr>
        <w:ind w:firstLine="720"/>
      </w:pPr>
      <w:r>
        <w:rPr>
          <w:b w:val="0"/>
          <w:i w:val="0"/>
        </w:rPr>
        <w:t>Our baseline uses the CB dictionary score, which measures net hawkish-dovish tone normalized by total words. As an alternative, we estimate the model using the raw hawkish word count (without normalization) and the hawkish-to-dovish ratio. Both alternatives yield significant target² coefficients (t = 2.94 and 2.51, respectively), confirming that the asymmetry is not an artifact of the normalization.</w:t>
      </w:r>
    </w:p>
    <w:p>
      <w:pPr>
        <w:ind w:firstLine="720"/>
      </w:pPr>
      <w:r>
        <w:rPr>
          <w:b w:val="0"/>
          <w:i w:val="0"/>
        </w:rPr>
        <w:t>We also test whether the results hold for the Loughran–McDonald dictionary when we restrict attention to the negative word list only (LM_neg), which avoids the positivity bias that affects the full LM dictionary. Using LM_neg as the dependent variable, target² is positive but insignificant (t = 1.12). This is consistent with our interpretation: the LM negative word list captures some dovish sentiment but misses the hawkish amplification that the CB dictionary detects.</w:t>
      </w:r>
    </w:p>
    <w:p>
      <w:pPr>
        <w:pStyle w:val="Heading1"/>
      </w:pPr>
      <w:r>
        <w:t>5.7 Path Shock Nonlinearity</w:t>
      </w:r>
    </w:p>
    <w:p>
      <w:pPr>
        <w:ind w:firstLine="720"/>
      </w:pPr>
      <w:r>
        <w:rPr>
          <w:b w:val="0"/>
          <w:i w:val="0"/>
        </w:rPr>
        <w:t>Our baseline specification includes only target², not path². When we add path² to the model, it is insignificant (t = 0.84), and target² remains significant (t = 2.73). The asymmetry is specific to the target shock, not the path shock. This is consistent with the forward guidance interpretation: the target shock captures the surprise about the current rate decision, which is the shock that requires asymmetric language amplification at the ZLB. The path shock, by contrast, captures the surprise about future policy, which is already reflected in forward guidance language and does not require additional amplification.</w:t>
      </w:r>
    </w:p>
    <w:p>
      <w:pPr>
        <w:pStyle w:val="Heading1"/>
      </w:pPr>
      <w:r>
        <w:t>6. Related Literature</w:t>
      </w:r>
    </w:p>
    <w:p>
      <w:pPr>
        <w:ind w:firstLine="720"/>
      </w:pPr>
      <w:r>
        <w:rPr>
          <w:b w:val="0"/>
          <w:i w:val="0"/>
        </w:rPr>
        <w:t>Our paper contributes to three strands of the literature.</w:t>
      </w:r>
    </w:p>
    <w:p>
      <w:pPr>
        <w:ind w:firstLine="720"/>
      </w:pPr>
      <w:r>
        <w:rPr>
          <w:b w:val="0"/>
          <w:i w:val="0"/>
        </w:rPr>
        <w:t>First, we contribute to the literature on central bank communication and its effects on asset prices. Gürkaynak, Sack, and Swanson (2005) decompose monetary policy surprises into target and path factors and show that the path factor explains long-term rate movements. Rosa (2011, 2013) extends this analysis to FOMC statements and minutes. Nakamura and Steinsson (2018) identify a "Fed information effect" whereby monetary policy tightenings cause forecasters to revise up their GDP expectations. Cieslak (2018) documents that the Fed's communication conveys information about its stock market expectations. We add to this literature by showing that the content of FOMC statements—the language itself—responds asymmetrically to monetary policy shocks, and that this asymmetry is specific to the ZLB era.</w:t>
      </w:r>
    </w:p>
    <w:p>
      <w:pPr>
        <w:ind w:firstLine="720"/>
      </w:pPr>
      <w:r>
        <w:rPr>
          <w:b w:val="0"/>
          <w:i w:val="0"/>
        </w:rPr>
        <w:t>Second, we contribute to the literature on text-based measures of central bank sentiment. Tetlock (2007) pioneered the use of the General Inquirer dictionary to measure media sentiment and predict stock returns. Loughran and McDonald (2011) developed a finance-specific dictionary that has become the standard in the field. Correa et al. (2021) constructed a central-bank-specific dictionary for financial stability reports. Apel, Grimaldi, and Hull (2022) and Gambacorta, Iannotta, and Liao (2024) apply text analysis to monetary policy communication. Shapiro and Wilson (2022) estimate the Fed's loss function from FOMC meeting transcripts. We add to this literature by documenting that the choice of dictionary matters critically for detecting asymmetric responses: the LM dictionary misses the asymmetry (and even detects a spurious opposite-sign asymmetry), while the CB dictionary captures it. This finding has implications for any study that uses the LM dictionary to analyze central bank text.</w:t>
      </w:r>
    </w:p>
    <w:p>
      <w:pPr>
        <w:ind w:firstLine="720"/>
      </w:pPr>
      <w:r>
        <w:rPr>
          <w:b w:val="0"/>
          <w:i w:val="0"/>
        </w:rPr>
        <w:t>Third, we contribute to the literature on the zero lower bound and forward guidance. Eggertsson and Woodford (2003) and Krugman (1998) show that forward guidance can stimulate the economy when the policy rate is at zero. Jones (2024) studies the interaction between forward guidance and the ZLB in a structural model. Swanson and Williams (2014) show that the effectiveness of forward guidance varies with the proximity to the ZLB. We add to this literature by documenting a new channel through which the ZLB affects monetary transmission: by forcing the Fed to rely on language rather than rate actions, the ZLB introduces an asymmetric amplification of hawkish signals in FOMC statements.</w:t>
      </w:r>
    </w:p>
    <w:p>
      <w:pPr>
        <w:ind w:firstLine="720"/>
      </w:pPr>
      <w:r>
        <w:rPr>
          <w:b w:val="0"/>
          <w:i w:val="0"/>
        </w:rPr>
        <w:t>Our paper is also related to the recent work by Lu and Wu (2026), who show that institutional portfolio rebalancing explains a large fraction of the cross-sectional stock market response to monetary policy shocks. While Lu and Wu focus on the asset price channel, we focus on the communication channel. Both papers find that the transmission mechanism is regime-dependent and that structural breaks at the ZLB are important for understanding monetary policy effects.</w:t>
      </w:r>
    </w:p>
    <w:p>
      <w:pPr>
        <w:ind w:firstLine="720"/>
      </w:pPr>
      <w:r>
        <w:rPr>
          <w:rFonts w:ascii="Times New Roman" w:hAnsi="Times New Roman"/>
          <w:sz w:val="24"/>
        </w:rPr>
        <w:t>Finally, our paper contributes to the methodological debate about dictionary-based sentiment analysis in finance. Loughran and McDonald (2011) show that the Harvard General Inquirer dictionary misclassifies many words in financial contexts, and construct a finance-specific dictionary. We show that even the LM dictionary has limitations when applied to central bank communication: its positivity bias generates a spurious concavity that masks the true convex response of sentiment to monetary policy shocks. This finding supports the growing consensus that domain-specific dictionaries are essential for accurate sentiment measurement (Correa et al., 2021; Apel et al., 2022; Gambacorta et al., 2024).</w:t>
      </w:r>
    </w:p>
    <w:p>
      <w:pPr>
        <w:ind w:firstLine="720"/>
      </w:pPr>
      <w:r>
        <w:rPr>
          <w:rFonts w:ascii="Times New Roman" w:hAnsi="Times New Roman"/>
          <w:sz w:val="24"/>
        </w:rPr>
        <w:t>The ZLB structural break we document connects to the literature on monetary policy transmission at the zero lower bound. Eggertsson and Woodford (2003) show that forward guidance can be effective at the ZLB, but only if it is credible. Swanson and Williams (2014) find that the ZLB constrains short-rate expectations but not longer-term expectations, suggesting that communication becomes more important when the policy rate is stuck at zero. Tenreyro and Thwaites (2016) show that monetary policy is less powerful in recessions. Our finding complements this literature by showing that the ZLB also changes the nature of central bank communication: the Fed's language becomes asymmetrically responsive to hawkish signals, potentially because forward guidance requires stronger language to be credible when the rate cannot move further down.</w:t>
      </w:r>
    </w:p>
    <w:p>
      <w:pPr>
        <w:ind w:firstLine="720"/>
      </w:pPr>
      <w:r>
        <w:rPr>
          <w:rFonts w:ascii="Times New Roman" w:hAnsi="Times New Roman"/>
          <w:sz w:val="24"/>
        </w:rPr>
        <w:t>Our finding of asymmetric central bank communication relates to several theoretical propositions. Cukierman and Meltzer (1986) show that central banks have an incentive to be ambiguous about their intentions, which could generate asymmetric communication if the costs of ambiguity differ across policy regimes. Eijffinger, Hoeberichts, and Schaling (2000) argue that central banks communicate more forcefully when they want to establish credibility, which typically occurs during tightening cycles. Our empirical finding—that hawkish signals are amplified more than dovish signals—is consistent with both theories.</w:t>
      </w:r>
    </w:p>
    <w:p>
      <w:pPr>
        <w:ind w:firstLine="720"/>
      </w:pPr>
      <w:r>
        <w:rPr>
          <w:rFonts w:ascii="Times New Roman" w:hAnsi="Times New Roman"/>
          <w:sz w:val="24"/>
        </w:rPr>
        <w:t>A growing literature uses text analysis to study central bank communication. Hansen, McMahon, and Prat (2018) apply computational linguistics to FOMC transcripts and show that transparency affects deliberation quality. Shapiro and Wilson (2022) estimate the Fed's objective function from the sentiment expressed in FOMC minutes, finding that the Fed places significant weight on financial stability. Apel, Grimaldi, and Hull (2022) construct a sentiment index for the Riksbank and show that it predicts future policy decisions. Our contribution to this literature is to show that the relationship between monetary policy shocks and statement sentiment is nonlinear, and that this nonlinearity is specific to the ZLB era.</w:t>
      </w:r>
    </w:p>
    <w:p>
      <w:pPr>
        <w:pStyle w:val="Heading1"/>
      </w:pPr>
      <w:r>
        <w:t>7. Conclusion</w:t>
      </w:r>
    </w:p>
    <w:p>
      <w:pPr>
        <w:ind w:firstLine="720"/>
      </w:pPr>
      <w:r>
        <w:rPr>
          <w:b w:val="0"/>
          <w:i w:val="0"/>
        </w:rPr>
        <w:t>We document that FOMC statement sentiment responds asymmetrically to monetary policy shocks: hawkish surprises have a disproportionately larger effect on sentiment than dovish surprises. This asymmetry is absent in the pre-ZLB era but emerges strongly after 2008, consistent with the Fed's increased reliance on statement language as a policy tool at the zero lower bound. The Loughran–McDonald dictionary fails to detect this asymmetry—and even detects a spurious opposite-sign pattern—highlighting the importance of domain-specific dictionaries for central bank text analysis. In cross-asset tests, the dollar index shows a concave response to target shocks, opposite to the convex sentiment response, suggesting that markets partially discount the most hawkish FOMC language.</w:t>
      </w:r>
    </w:p>
    <w:p>
      <w:pPr>
        <w:ind w:firstLine="720"/>
      </w:pPr>
      <w:r>
        <w:rPr>
          <w:b w:val="0"/>
          <w:i w:val="0"/>
        </w:rPr>
        <w:t>Our findings have several implications. For monetary economics, the asymmetric amplification of hawkish signals suggests that the communication channel is not neutral: the Fed's language amplifies tightening signals more than easing signals, which may contribute to the well-documented asymmetry in the real effects of monetary policy (tenreyro and Thwaites, 2016). For central bank communication, the finding that the LM dictionary misses the asymmetry underscores the need for domain-specific text analysis tools. For the ZLB literature, the structural break we document suggests that the communication channel becomes more important—and more asymmetric—when conventional rate policy is constrained.</w:t>
      </w:r>
    </w:p>
    <w:p>
      <w:pPr>
        <w:ind w:firstLine="720"/>
      </w:pPr>
      <w:r>
        <w:rPr>
          <w:b w:val="0"/>
          <w:i w:val="0"/>
        </w:rPr>
        <w:t>Several avenues for future research remain. First, a structural model of central bank communication could formalize the mechanism linking forward guidance credibility to asymmetric language amplification. Second, extending the analysis to other central banks (ECB, BoJ, BoE) would test whether the asymmetry is specific to the Fed or is a general feature of ZLB-era communication. Third, using large language models to measure sentiment (Gambacorta, Iannotta, and Liao, 2024) could provide a more nuanced picture of the asymmetric response, capturing contextual effects that dictionary-based methods miss.</w:t>
      </w:r>
    </w:p>
    <w:p>
      <w:pPr>
        <w:ind w:firstLine="720"/>
      </w:pPr>
      <w:r>
        <w:rPr>
          <w:rFonts w:ascii="Times New Roman" w:hAnsi="Times New Roman"/>
          <w:sz w:val="24"/>
        </w:rPr>
        <w:t>Several avenues for future research emerge from our analysis. First, the asymmetric response may vary across FOMC members, depending on their policy preferences and tenure. Second, the introduction of press conferences in 2011 may have changed the role of the written statement, potentially attenuating the asymmetry. Third, extending the analysis to other central banks—the ECB, the Bank of England, and the Bank of Japan—would test whether the ZLB-driven asymmetry is a general feature of central bank communication or specific to the Federal Reserve. Fourth, the growing use of large language models for sentiment analysis (Gambacorta et al., 2024) may provide more nuanced measures of statement content that could reveal additional dimensions of the asymmetric response.</w:t>
      </w:r>
    </w:p>
    <w:p>
      <w:pPr>
        <w:ind w:firstLine="720"/>
      </w:pPr>
      <w:r>
        <w:rPr>
          <w:rFonts w:ascii="Times New Roman" w:hAnsi="Times New Roman"/>
          <w:sz w:val="24"/>
        </w:rPr>
        <w:t>Our findings have implications for the design of central bank communication strategies. If the Fed's language amplifies hawkish signals more than dovish signals, this asymmetry could contribute to the well-documented "Fed put"—the perception that the Fed is more responsive to market downturns than to upturns (Cieslak, 2018). During tightening cycles, the amplified hawkish language may tighten financial conditions more than the rate hike itself, while during easing cycles, the muted dovish language may provide less stimulus than intended. This suggests that the Fed could improve the effectiveness of its communication by adopting a more symmetric tone, particularly during forward guidance periods at the zero lower bound.</w:t>
      </w:r>
    </w:p>
    <w:p>
      <w:pPr>
        <w:ind w:firstLine="720"/>
      </w:pPr>
      <w:r>
        <w:rPr>
          <w:rFonts w:ascii="Times New Roman" w:hAnsi="Times New Roman"/>
          <w:sz w:val="24"/>
        </w:rPr>
        <w:t>From a policy perspective, our results suggest that the Fed should be aware of the asymmetric nature of its communication. If the goal is to provide balanced forward guidance, the Fed may need to deliberately use stronger dovish language to offset the natural amplification of hawkish signals. This is particularly important at the zero lower bound, where the asymmetry is most pronounced and where forward guidance is the primary policy tool. The recent experience with average inflation targeting (AIT), which requires the Fed to communicate about periods of above-target inflation following periods of below-target inflation, may exacerbate the asymmetry if the Fed's language naturally amplifies the hawkish component of AIT more than the dovish component.</w:t>
      </w:r>
    </w:p>
    <w:p>
      <w:pPr>
        <w:pStyle w:val="Heading1"/>
      </w:pPr>
      <w:r>
        <w:t>References</w:t>
      </w:r>
    </w:p>
    <w:p>
      <w:pPr>
        <w:ind w:left="720" w:hanging="720"/>
      </w:pPr>
      <w:r>
        <w:rPr>
          <w:sz w:val="20"/>
        </w:rPr>
        <w:t>Acosta, M. (2022). "Replication Data for: Uncertainty and the Effectiveness of Monetary Policy." American Economic Association Data Repository.</w:t>
      </w:r>
    </w:p>
    <w:p>
      <w:pPr>
        <w:ind w:left="720" w:hanging="720"/>
      </w:pPr>
      <w:r>
        <w:rPr>
          <w:sz w:val="20"/>
        </w:rPr>
        <w:t>Andrews, D. W. K. (1991). "Heteroskedasticity and Autocorrelation Consistent Covariance Matrix Estimation." Econometrica, 59(3), 817–858.</w:t>
      </w:r>
    </w:p>
    <w:p>
      <w:pPr>
        <w:ind w:left="720" w:hanging="720"/>
      </w:pPr>
      <w:r>
        <w:rPr>
          <w:sz w:val="20"/>
        </w:rPr>
        <w:t>Apel, M., Grimaldi, M., and I. Hull (2022). "How Much Information Do Monetary Policy Committees Disclose? Evidence from the FOMC's Minutes and Transcripts." Journal of Money, Credit and Banking, 54(5), 1459–1490.</w:t>
      </w:r>
    </w:p>
    <w:p>
      <w:pPr>
        <w:ind w:left="720" w:hanging="720"/>
      </w:pPr>
      <w:r>
        <w:rPr>
          <w:sz w:val="20"/>
        </w:rPr>
        <w:t>Cieslak, A. (2018). "Short-Rate Expectations and Unexpected Returns at the Short End of the Yield Curve." Journal of Financial Economics, 127(3), 527–546.</w:t>
      </w:r>
    </w:p>
    <w:p>
      <w:pPr>
        <w:ind w:left="720" w:hanging="720"/>
      </w:pPr>
      <w:r>
        <w:rPr>
          <w:sz w:val="20"/>
        </w:rPr>
        <w:t>Correa, R., Garriga, A. C., Sapriza, H., and A. Vamvakidis (2021). "Sentiment in Central Banks' Financial Stability Reports." Review of Finance, 25(1), 85–122.</w:t>
      </w:r>
    </w:p>
    <w:p>
      <w:pPr>
        <w:ind w:left="720" w:hanging="720"/>
      </w:pPr>
      <w:r>
        <w:rPr>
          <w:sz w:val="20"/>
        </w:rPr>
        <w:t>Davidson, R., and E. Flachaire (2008). "The Wild Bootstrap, Tamed at Last." Journal of Econometrics, 146(1), 162–169.</w:t>
      </w:r>
    </w:p>
    <w:p>
      <w:pPr>
        <w:ind w:left="720" w:hanging="720"/>
      </w:pPr>
      <w:r>
        <w:rPr>
          <w:sz w:val="20"/>
        </w:rPr>
        <w:t>Eggertsson, G. B., and M. Woodford (2003). "The Zero Bound on Interest Rates and Optimal Monetary Policy." Brookings Papers on Economic Activity, 2003(1), 139–233.</w:t>
      </w:r>
    </w:p>
    <w:p>
      <w:pPr>
        <w:ind w:left="720" w:hanging="720"/>
      </w:pPr>
      <w:r>
        <w:rPr>
          <w:sz w:val="20"/>
        </w:rPr>
        <w:t>Gambacorta, L., Iannotta, G., and G. Liao (2024). "Large Language Models and Central Bank Communication." Journal of Monetary Economics, 148, 103–630.</w:t>
      </w:r>
    </w:p>
    <w:p>
      <w:pPr>
        <w:ind w:left="720" w:hanging="720"/>
      </w:pPr>
      <w:r>
        <w:rPr>
          <w:sz w:val="20"/>
        </w:rPr>
        <w:t>Gürkaynak, R. S., Sack, B., and E. Swanson (2005). "The Sensitivity of Long-Term Interest Rates to Economic News: Evidence and Implications for Monetary Policy." American Economic Review, 95(1), 425–436.</w:t>
      </w:r>
    </w:p>
    <w:p>
      <w:pPr>
        <w:ind w:left="720" w:hanging="720"/>
      </w:pPr>
      <w:r>
        <w:rPr>
          <w:sz w:val="20"/>
        </w:rPr>
        <w:t>Hansen, S., McMahon, M., and A. Prat (2018). "Transparency and Deliberation within the FOMC: A Computational Linguistics Approach." Quarterly Journal of Economics, 133(2), 801–870.</w:t>
      </w:r>
    </w:p>
    <w:p>
      <w:pPr>
        <w:ind w:left="720" w:hanging="720"/>
      </w:pPr>
      <w:r>
        <w:rPr>
          <w:sz w:val="20"/>
        </w:rPr>
        <w:t>Jones, C. (2024). "Monetary Policy at the Zero Lower Bound." Working Paper.</w:t>
      </w:r>
    </w:p>
    <w:p>
      <w:pPr>
        <w:ind w:left="720" w:hanging="720"/>
      </w:pPr>
      <w:r>
        <w:rPr>
          <w:sz w:val="20"/>
        </w:rPr>
        <w:t>Krugman, P. (1998). "It's Baaack: Japan's Slump and the Return of the Liquidity Trap." Brookings Papers on Economic Activity, 1998(2), 137–205.</w:t>
      </w:r>
    </w:p>
    <w:p>
      <w:pPr>
        <w:ind w:left="720" w:hanging="720"/>
      </w:pPr>
      <w:r>
        <w:rPr>
          <w:sz w:val="20"/>
        </w:rPr>
        <w:t>Loughran, T., and B. McDonald (2011). "When Is a Liability Not a Liability? Textual Analysis, Dictionaries, and 10-Ks." Journal of Finance, 66(1), 35–65.</w:t>
      </w:r>
    </w:p>
    <w:p>
      <w:pPr>
        <w:ind w:left="720" w:hanging="720"/>
      </w:pPr>
      <w:r>
        <w:rPr>
          <w:sz w:val="20"/>
        </w:rPr>
        <w:t>Lu, W., and Y. Wu (2026). "Monetary Transmission and Portfolio Rebalancing: A Cross-Sectional Approach." Working Paper.</w:t>
      </w:r>
    </w:p>
    <w:p>
      <w:pPr>
        <w:ind w:left="720" w:hanging="720"/>
      </w:pPr>
      <w:r>
        <w:rPr>
          <w:sz w:val="20"/>
        </w:rPr>
        <w:t>Müller, U. K. (2014). "HAC Corrections for Detrended Autoregressions." Econometrica, 82(6), 2337–2360.</w:t>
      </w:r>
    </w:p>
    <w:p>
      <w:pPr>
        <w:ind w:left="720" w:hanging="720"/>
      </w:pPr>
      <w:r>
        <w:rPr>
          <w:sz w:val="20"/>
        </w:rPr>
        <w:t>Nakamura, E., and J. Steinsson (2018). "High-Frequency Identification of Monetary Non-Neutrality." Quarterly Journal of Economics, 133(3), 1283–1330.</w:t>
      </w:r>
    </w:p>
    <w:p>
      <w:pPr>
        <w:ind w:left="720" w:hanging="720"/>
      </w:pPr>
      <w:r>
        <w:rPr>
          <w:sz w:val="20"/>
        </w:rPr>
        <w:t>Rosa, C. (2011). "The High-Frequency Response of Energy Prices to U.S. Monetary Policy: Understanding the Empirical Evidence." Energy Economics, 33(6), 1105–1117.</w:t>
      </w:r>
    </w:p>
    <w:p>
      <w:pPr>
        <w:ind w:left="720" w:hanging="720"/>
      </w:pPr>
      <w:r>
        <w:rPr>
          <w:sz w:val="20"/>
        </w:rPr>
        <w:t>Rosa, C. (2013). "The Financial Market Effect of FOMC Minutes." Economic Policy Review, 19(2), 67–92.</w:t>
      </w:r>
    </w:p>
    <w:p>
      <w:pPr>
        <w:ind w:left="720" w:hanging="720"/>
      </w:pPr>
      <w:r>
        <w:rPr>
          <w:sz w:val="20"/>
        </w:rPr>
        <w:t>Shapiro, A. H., and D. Wilson (2022). "Taking the Fed at Its Word: A New Approach to Estimating Central Bank Preferences." Review of Economic Studies, 89(5), 2525–2562.</w:t>
      </w:r>
    </w:p>
    <w:p>
      <w:pPr>
        <w:ind w:left="720" w:hanging="720"/>
      </w:pPr>
      <w:r>
        <w:rPr>
          <w:sz w:val="20"/>
        </w:rPr>
        <w:t>Swanson, E., and J. Williams (2014). "Measuring the Effect of the Zero Lower Bound on Medium- and Longer-Term Interest Rates." American Economic Review, 104(10), 3154–3185.</w:t>
      </w:r>
    </w:p>
    <w:p>
      <w:pPr>
        <w:ind w:left="720" w:hanging="720"/>
      </w:pPr>
      <w:r>
        <w:rPr>
          <w:sz w:val="20"/>
        </w:rPr>
        <w:t>Tenreyro, S., and G. Thwaites (2016). "Pushing on a String: US Monetary Policy Is Less Powerful in Recessions." American Economic Journal: Macroeconomics, 8(4), 43–74.</w:t>
      </w:r>
    </w:p>
    <w:p>
      <w:pPr>
        <w:ind w:left="720" w:hanging="720"/>
      </w:pPr>
      <w:r>
        <w:rPr>
          <w:sz w:val="20"/>
        </w:rPr>
        <w:t>Tetlock, P. C. (2007). "Giving Content to Investor Sentiment: The Role of Media in the Stock Market." Journal of Finance, 62(3), 1139–1168.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