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Words Beyond the Rate v10.3 — 修订意见</w:t>
      </w:r>
    </w:p>
    <w:p>
      <w:pPr/>
      <w:r>
        <w:t>基于代码审计和数据复现的修订建议，按严重度排序。</w:t>
      </w:r>
    </w:p>
    <w:p>
      <w:pPr>
        <w:pStyle w:val="Heading1"/>
      </w:pPr>
      <w:r>
        <w:t>CRITICAL — 必须修改</w:t>
      </w:r>
    </w:p>
    <w:p>
      <w:pPr>
        <w:pStyle w:val="Heading2"/>
      </w:pPr>
      <w:r>
        <w:t>1. NASDAQ FG交互项系数 = 202.17 经济上不可信</w:t>
      </w:r>
    </w:p>
    <w:p>
      <w:r>
        <w:rPr>
          <w:b/>
        </w:rPr>
        <w:t>问题：</w:t>
      </w:r>
      <w:r>
        <w:t>Table 5 中 NASDAQ 的 Sentiment x FG 系数为 202.17 (p=0.041)。虽然论文已标注"economically implausible"，但仍在正文中报告，容易误导读者。</w:t>
      </w:r>
    </w:p>
    <w:p>
      <w:r>
        <w:rPr>
          <w:b/>
        </w:rPr>
        <w:t>分析：</w:t>
      </w:r>
      <w:r>
        <w:t>Sentiment 均值=0.014，标准差=0.006。1个标准差的 sentiment 变化 -&gt; 202.17 x 0.006 = 1.21 bps 的 NASDAQ 回报变化。效应量极小，但原始系数极大，容易引起误解。</w:t>
      </w:r>
    </w:p>
    <w:p>
      <w:r>
        <w:rPr>
          <w:b/>
        </w:rPr>
        <w:t>修改建议：</w:t>
      </w:r>
    </w:p>
    <w:p>
      <w:pPr>
        <w:pStyle w:val="ListBullet"/>
      </w:pPr>
      <w:r>
        <w:t>删除 Table 5 中的 NASDAQ 列，或移至附录</w:t>
      </w:r>
    </w:p>
    <w:p>
      <w:pPr>
        <w:pStyle w:val="ListBullet"/>
      </w:pPr>
      <w:r>
        <w:t>在正文明确说明：该系数虽统计显著但经济上无意义，反映的是 sentiment 变量尺度极小导致的系数膨胀</w:t>
      </w:r>
    </w:p>
    <w:p>
      <w:pPr>
        <w:pStyle w:val="ListBullet"/>
      </w:pPr>
      <w:r>
        <w:t>替代方案：报告标准化系数，使读者能正确评估效应量</w:t>
      </w:r>
    </w:p>
    <w:p>
      <w:pPr>
        <w:pStyle w:val="Heading1"/>
      </w:pPr>
      <w:r>
        <w:t>MODERATE — 强烈建议修改</w:t>
      </w:r>
    </w:p>
    <w:p>
      <w:pPr>
        <w:pStyle w:val="Heading2"/>
      </w:pPr>
      <w:r>
        <w:t>2. R-squared = 1.57% — 模型几乎没有解释力</w:t>
      </w:r>
    </w:p>
    <w:p>
      <w:r>
        <w:rPr>
          <w:b/>
        </w:rPr>
        <w:t>问题：</w:t>
      </w:r>
      <w:r>
        <w:t>Table 2 的 R-squared = 1.57%，意味着 target + path 两个冲击只能解释 sentiment 变异的 1.57%。论文承认"modest"但未充分讨论其含义。</w:t>
      </w:r>
    </w:p>
    <w:p>
      <w:r>
        <w:rPr>
          <w:b/>
        </w:rPr>
        <w:t>经济含义：</w:t>
      </w:r>
      <w:r>
        <w:t>Target beta = 0.000577，sentiment std = 0.006。1个标准差的 target shock -&gt; 0.000577 的 sentiment 变化 = sentiment 标准差的 9.6%。即使统计显著，经济效应极小。</w:t>
      </w:r>
    </w:p>
    <w:p>
      <w:r>
        <w:rPr>
          <w:b/>
        </w:rPr>
        <w:t>修改建议：</w:t>
      </w:r>
    </w:p>
    <w:p>
      <w:pPr>
        <w:pStyle w:val="ListBullet"/>
      </w:pPr>
      <w:r>
        <w:t>在 Table 2 增加"标准化系数"列：beta_std = beta x sigma_X / sigma_Y</w:t>
      </w:r>
    </w:p>
    <w:p>
      <w:pPr>
        <w:pStyle w:val="ListBullet"/>
      </w:pPr>
      <w:r>
        <w:t>在 5.1 节增加经济效应量讨论段落</w:t>
      </w:r>
    </w:p>
    <w:p>
      <w:pPr>
        <w:pStyle w:val="ListBullet"/>
      </w:pPr>
      <w:r>
        <w:t>与同类文献比较 R-squared：Gurkaynak et al. (2005) 的资产回报回归 R-squared 通常在 5-30%，1.57% 属于极低</w:t>
      </w:r>
    </w:p>
    <w:p>
      <w:pPr>
        <w:pStyle w:val="Heading2"/>
      </w:pPr>
      <w:r>
        <w:t>3. LM 正向偏差稀释了 CB 信号 — 应改用 CB-only 为基准</w:t>
      </w:r>
    </w:p>
    <w:p>
      <w:r>
        <w:rPr>
          <w:b/>
        </w:rPr>
        <w:t>问题：</w:t>
      </w:r>
      <w:r>
        <w:t>论文承认 LM 存在正向偏差（FOMC 声明无论鹰鸽都用更多正面词汇），且 Section 6.7 承认"CB score alone provides stronger results"。但基准模型仍用 S = 0.5*LM + 0.5*CB，人为稀释了有效信号。</w:t>
      </w:r>
    </w:p>
    <w:p>
      <w:r>
        <w:rPr>
          <w:b/>
        </w:rPr>
        <w:t>修改建议：</w:t>
      </w:r>
    </w:p>
    <w:p>
      <w:pPr>
        <w:pStyle w:val="ListBullet"/>
      </w:pPr>
      <w:r>
        <w:t>将 CB-only 作为基准模型（Table 2 主表）</w:t>
      </w:r>
    </w:p>
    <w:p>
      <w:pPr>
        <w:pStyle w:val="ListBullet"/>
      </w:pPr>
      <w:r>
        <w:t>将 Combined S 作为稳健性检验（移至 Table 7 或附录）</w:t>
      </w:r>
    </w:p>
    <w:p>
      <w:pPr>
        <w:pStyle w:val="ListBullet"/>
      </w:pPr>
      <w:r>
        <w:t>在 Section 3.3 解释：LM 正向偏差导致 LM 方差中大部分是噪声而非信号，等权组合降低信噪比</w:t>
      </w:r>
    </w:p>
    <w:p>
      <w:pPr>
        <w:pStyle w:val="Heading2"/>
      </w:pPr>
      <w:r>
        <w:t>4. Wald test p = 0.90 — 不能拒绝 target = path</w:t>
      </w:r>
    </w:p>
    <w:p>
      <w:r>
        <w:rPr>
          <w:b/>
        </w:rPr>
        <w:t>问题：</w:t>
      </w:r>
      <w:r>
        <w:t>论文核心主张是"target shocks more consistently associated with sentiment"，但 Wald 检验 p=0.90 完全无法拒绝 beta_target = beta_path。这意味着数据与"两者效应相等"完全一致。</w:t>
      </w:r>
    </w:p>
    <w:p>
      <w:r>
        <w:rPr>
          <w:b/>
        </w:rPr>
        <w:t>修改建议：</w:t>
      </w:r>
    </w:p>
    <w:p>
      <w:pPr>
        <w:pStyle w:val="ListBullet"/>
      </w:pPr>
      <w:r>
        <w:t>在 Abstract 和 Introduction 中更坦诚：不能声称 target 更强，只能说 target 显著而 path 不显著，但统计上无法区分两者</w:t>
      </w:r>
    </w:p>
    <w:p>
      <w:pPr>
        <w:pStyle w:val="ListBullet"/>
      </w:pPr>
      <w:r>
        <w:t>将 Figure 1 的"Dashed arrow = insignificant path (H2 not supported)"改为更中性的表述</w:t>
      </w:r>
    </w:p>
    <w:p>
      <w:pPr>
        <w:pStyle w:val="ListBullet"/>
      </w:pPr>
      <w:r>
        <w:t>考虑增加 power analysis：N=117 是否足以检测 target-path 差异？</w:t>
      </w:r>
    </w:p>
    <w:p>
      <w:pPr>
        <w:pStyle w:val="Heading2"/>
      </w:pPr>
      <w:r>
        <w:t>5. Minutes R-squared = 9.35% vs Statement R-squared = 1.57% — 6倍差距</w:t>
      </w:r>
    </w:p>
    <w:p>
      <w:r>
        <w:rPr>
          <w:b/>
        </w:rPr>
        <w:t>问题：</w:t>
      </w:r>
      <w:r>
        <w:t>Table 7 显示 Minutes Combined 的 R-squared = 9.35%，是 Statement R-squared = 1.57% 的 6 倍。这暗示 FOMC 声明可能不是研究货币政策沟通的正确文本载体。</w:t>
      </w:r>
    </w:p>
    <w:p>
      <w:r>
        <w:rPr>
          <w:b/>
        </w:rPr>
        <w:t>修改建议：</w:t>
      </w:r>
    </w:p>
    <w:p>
      <w:pPr>
        <w:pStyle w:val="ListBullet"/>
      </w:pPr>
      <w:r>
        <w:t>在 Section 6.4 增加专门段落讨论这一差距</w:t>
      </w:r>
    </w:p>
    <w:p>
      <w:pPr>
        <w:pStyle w:val="ListBullet"/>
      </w:pPr>
      <w:r>
        <w:t>分析原因：Minutes 更长、更详细，包含更多前瞻性讨论</w:t>
      </w:r>
    </w:p>
    <w:p>
      <w:pPr>
        <w:pStyle w:val="ListBullet"/>
      </w:pPr>
      <w:r>
        <w:t>讨论对论文结论的影响：如果 Minutes 捕获了更多信息，那么"statement sentiment 主要反映当前政策"的结论可能只是因为 statement 本身信息含量有限</w:t>
      </w:r>
    </w:p>
    <w:p>
      <w:pPr>
        <w:pStyle w:val="Heading2"/>
      </w:pPr>
      <w:r>
        <w:t>6. CRSP vs yfinance 系数差 34% — 需讨论对结论的影响</w:t>
      </w:r>
    </w:p>
    <w:p>
      <w:r>
        <w:rPr>
          <w:b/>
        </w:rPr>
        <w:t>问题：</w:t>
      </w:r>
      <w:r>
        <w:t>Appendix C.4 显示 CRSP beta = -0.391 vs yfinance beta = -0.259，差 34%。论文仅归因于"delisting adjustments"但未讨论这是否改变结论。</w:t>
      </w:r>
    </w:p>
    <w:p>
      <w:r>
        <w:rPr>
          <w:b/>
        </w:rPr>
        <w:t>修改建议：</w:t>
      </w:r>
    </w:p>
    <w:p>
      <w:pPr>
        <w:pStyle w:val="ListBullet"/>
      </w:pPr>
      <w:r>
        <w:t>检验 yfinance 数据下 SP500 的 p 值是否仍显著（论文显示 p=0.03 vs CRSP p=0.073）</w:t>
      </w:r>
    </w:p>
    <w:p>
      <w:pPr>
        <w:pStyle w:val="ListBullet"/>
      </w:pPr>
      <w:r>
        <w:t>讨论：如果数据源选择影响显著性，结论的稳健性存疑</w:t>
      </w:r>
    </w:p>
    <w:p>
      <w:pPr>
        <w:pStyle w:val="ListBullet"/>
      </w:pPr>
      <w:r>
        <w:t>明确说明：所有主表结果均基于 CRSP，yfinance 仅作参考</w:t>
      </w:r>
    </w:p>
    <w:p>
      <w:pPr>
        <w:pStyle w:val="Heading2"/>
      </w:pPr>
      <w:r>
        <w:t>7. 无标准化系数 — 读者无法评估经济效应量</w:t>
      </w:r>
    </w:p>
    <w:p>
      <w:r>
        <w:rPr>
          <w:b/>
        </w:rPr>
        <w:t>问题：</w:t>
      </w:r>
      <w:r>
        <w:t>Target beta = 0.000577 是原始单位系数。由于 sentiment 变量尺度极小（均值=0.014），原始系数看似微小，但标准化后可能更有意义。反之，NASDAQ FG=202.17 看似巨大但标准化后微不足道。</w:t>
      </w:r>
    </w:p>
    <w:p>
      <w:r>
        <w:rPr>
          <w:b/>
        </w:rPr>
        <w:t>修改建议：</w:t>
      </w:r>
    </w:p>
    <w:p>
      <w:pPr>
        <w:pStyle w:val="ListBullet"/>
      </w:pPr>
      <w:r>
        <w:t>Table 2 和 Table 4 均增加标准化系数列</w:t>
      </w:r>
    </w:p>
    <w:p>
      <w:pPr>
        <w:pStyle w:val="ListBullet"/>
      </w:pPr>
      <w:r>
        <w:t>在正文讨论标准化效应量</w:t>
      </w:r>
    </w:p>
    <w:p>
      <w:pPr>
        <w:pStyle w:val="Heading1"/>
      </w:pPr>
      <w:r>
        <w:t>MINOR — 建议修改</w:t>
      </w:r>
    </w:p>
    <w:p>
      <w:pPr>
        <w:pStyle w:val="Heading2"/>
      </w:pPr>
      <w:r>
        <w:t>8. "Path factor != pure information shock" 重复 5 次</w:t>
      </w:r>
    </w:p>
    <w:p>
      <w:r>
        <w:rPr>
          <w:b/>
        </w:rPr>
        <w:t>修改建议：</w:t>
      </w:r>
    </w:p>
    <w:p>
      <w:pPr>
        <w:pStyle w:val="ListBullet"/>
      </w:pPr>
      <w:r>
        <w:t>在 Section 3.1 完整陈述一次，后续仅简短引用</w:t>
      </w:r>
    </w:p>
    <w:p>
      <w:pPr>
        <w:pStyle w:val="Heading2"/>
      </w:pPr>
      <w:r>
        <w:t>9. CB 词典未完整公开</w:t>
      </w:r>
    </w:p>
    <w:p>
      <w:r>
        <w:rPr>
          <w:b/>
        </w:rPr>
        <w:t>修改建议：</w:t>
      </w:r>
    </w:p>
    <w:p>
      <w:pPr>
        <w:pStyle w:val="ListBullet"/>
      </w:pPr>
      <w:r>
        <w:t>在附录或补充材料中提供完整词典，或提供 GitHub 复现代码链接</w:t>
      </w:r>
    </w:p>
    <w:p>
      <w:pPr>
        <w:pStyle w:val="Heading2"/>
      </w:pPr>
      <w:r>
        <w:t>10. LM 词典大小表述需澄清</w:t>
      </w:r>
    </w:p>
    <w:p>
      <w:r>
        <w:rPr>
          <w:b/>
        </w:rPr>
        <w:t>修改建议：</w:t>
      </w:r>
    </w:p>
    <w:p>
      <w:pPr>
        <w:pStyle w:val="ListBullet"/>
      </w:pPr>
      <w:r>
        <w:t>改为："The LM master list contains 354 positive and 2,329 negative terms, of which [N] positive and [M] negative terms appear in our FOMC statement corpus."</w:t>
      </w:r>
    </w:p>
    <w:p>
      <w:pPr>
        <w:pStyle w:val="Heading1"/>
      </w:pPr>
      <w:r>
        <w:t>修改优先级总结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修改类型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NASDAQ FG=202.17 不可信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删除/移至附录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R-sq=1.57% 无解释力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加标准化系数+效应量讨论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LM正向偏差稀释CB信号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CB-only 为基准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Wald p=0.90 削弱核心主张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更坦诚表述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Minutes R-sq 6x Statement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增加讨论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CRSP vs yfinance 34%差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讨论对结论影响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无标准化系数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Table 2/4加列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Path!=info shock 重复5次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精简为1次+引用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CB词典未公开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附录提供完整词典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LM词典大小表述</w:t>
            </w:r>
          </w:p>
        </w:tc>
        <w:tc>
          <w:tcPr>
            <w:tcW w:type="dxa" w:w="2160"/>
          </w:tcPr>
          <w:p>
            <w:r>
              <w:t>MINOR</w:t>
            </w:r>
          </w:p>
        </w:tc>
        <w:tc>
          <w:tcPr>
            <w:tcW w:type="dxa" w:w="2160"/>
          </w:tcPr>
          <w:p>
            <w:r>
              <w:t>澄清master vs corpus</w:t>
            </w:r>
          </w:p>
        </w:tc>
      </w:tr>
    </w:tbl>
    <w:p/>
    <w:p>
      <w:r>
        <w:rPr>
          <w:b/>
        </w:rPr>
        <w:t>注：</w:t>
      </w:r>
      <w:r>
        <w:t>以上修订意见基于对论文全文的逐行审计，以及使用 Acosta (2022) GSS 冲击数据的独立复现。复现结果与论文方向一致（Target beta 显著、Path beta 不显著），但经济效应量极小。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