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2"/>
        </w:rPr>
        <w:t>June 8, 2026</w:t>
      </w:r>
    </w:p>
    <w:p>
      <w:r>
        <w:rPr>
          <w:b w:val="0"/>
          <w:i w:val="0"/>
          <w:sz w:val="22"/>
        </w:rPr>
      </w:r>
    </w:p>
    <w:p>
      <w:r>
        <w:rPr>
          <w:b/>
          <w:i w:val="0"/>
          <w:sz w:val="22"/>
        </w:rPr>
        <w:t>Organizing Committee</w:t>
      </w:r>
    </w:p>
    <w:p>
      <w:r>
        <w:rPr>
          <w:b w:val="0"/>
          <w:i w:val="0"/>
          <w:sz w:val="22"/>
        </w:rPr>
        <w:t>2026 Federal Reserve Stress Testing Research Conference</w:t>
      </w:r>
    </w:p>
    <w:p>
      <w:r>
        <w:rPr>
          <w:b w:val="0"/>
          <w:i w:val="0"/>
          <w:sz w:val="22"/>
        </w:rPr>
        <w:t>Federal Reserve Bank of Boston</w:t>
      </w:r>
    </w:p>
    <w:p>
      <w:r>
        <w:rPr>
          <w:b w:val="0"/>
          <w:i w:val="0"/>
          <w:sz w:val="22"/>
        </w:rPr>
        <w:t>600 Atlantic Avenue, Boston, MA 02210</w:t>
      </w:r>
    </w:p>
    <w:p>
      <w:r>
        <w:rPr>
          <w:b w:val="0"/>
          <w:i w:val="0"/>
          <w:sz w:val="22"/>
        </w:rPr>
      </w:r>
    </w:p>
    <w:p>
      <w:r>
        <w:rPr>
          <w:b/>
          <w:i w:val="0"/>
          <w:sz w:val="22"/>
        </w:rPr>
        <w:t>Dear Members of the Organizing Committee,</w:t>
      </w:r>
    </w:p>
    <w:p>
      <w:r>
        <w:rPr>
          <w:b w:val="0"/>
          <w:i w:val="0"/>
          <w:sz w:val="22"/>
        </w:rPr>
      </w:r>
    </w:p>
    <w:p>
      <w:r>
        <w:rPr>
          <w:b w:val="0"/>
          <w:i w:val="0"/>
          <w:sz w:val="22"/>
        </w:rPr>
        <w:t>We are pleased to submit our paper, "FOMC Communication and Bank Stress: US, Japan, and the Pre/Post-2008 Regime Shift," for consideration at the 2026 Federal Reserve Stress Testing Research Conference (November 5-6, 2026, Boston, MA). This is v6.4, extending our v6.3 (US + Japan) with a cross-sectional robustness check using FFIEC 031 Call Report data.</w:t>
      </w:r>
    </w:p>
    <w:p>
      <w:r>
        <w:rPr>
          <w:b w:val="0"/>
          <w:i w:val="0"/>
          <w:sz w:val="22"/>
        </w:rPr>
      </w:r>
    </w:p>
    <w:p>
      <w:r>
        <w:rPr>
          <w:b/>
          <w:i w:val="0"/>
          <w:sz w:val="22"/>
        </w:rPr>
        <w:t>Topic Fit</w:t>
      </w:r>
    </w:p>
    <w:p>
      <w:r>
        <w:rPr>
          <w:b w:val="0"/>
          <w:i w:val="0"/>
          <w:sz w:val="22"/>
        </w:rPr>
        <w:t>The paper addresses the conference's call for papers on stress-test scenario design and reverse stress testing. We propose that FOMC statement language, publicly observable and updated in real time, can serve as a complementary, data-driven calibration target for the bank-stress component of the Federal Reserve's annual stress test. We document that the dovish-hawkish bank-return spread is significantly negative in the pre-2008 era and collapses in the post-2008 era, in BOTH the US and Japan.</w:t>
      </w:r>
    </w:p>
    <w:p>
      <w:r>
        <w:rPr>
          <w:b w:val="0"/>
          <w:i w:val="0"/>
          <w:sz w:val="22"/>
        </w:rPr>
      </w:r>
    </w:p>
    <w:p>
      <w:r>
        <w:rPr>
          <w:b/>
          <w:i w:val="0"/>
          <w:sz w:val="22"/>
        </w:rPr>
        <w:t>Key Findings (v6.4)</w:t>
      </w:r>
    </w:p>
    <w:p>
      <w:r>
        <w:rPr>
          <w:b w:val="0"/>
          <w:i w:val="0"/>
          <w:sz w:val="22"/>
        </w:rPr>
        <w:t>1. Pre-DFAST (1994-2008, N=76) US: dovish-hawkish bank-return spread = -0.89pp (Welch t = -2.13, p = 0.04).</w:t>
      </w:r>
    </w:p>
    <w:p>
      <w:r>
        <w:rPr>
          <w:b w:val="0"/>
          <w:i w:val="0"/>
          <w:sz w:val="22"/>
        </w:rPr>
        <w:t>2. Pre-DFAST Japan: spread = -1.40pp (Welch t = -2.35, p = 0.02). 57% STRONGER than US, consistent with greater dependence on international capital flows.</w:t>
      </w:r>
    </w:p>
    <w:p>
      <w:r>
        <w:rPr>
          <w:b w:val="0"/>
          <w:i w:val="0"/>
          <w:sz w:val="22"/>
        </w:rPr>
        <w:t>3. DFAST-era (2009-2025, N=140) for both US and Japan: spread collapses to near zero (US: t=0.12; JP: t=0.14). 22-23x reduction in magnitude.</w:t>
      </w:r>
    </w:p>
    <w:p>
      <w:r>
        <w:rPr>
          <w:b w:val="0"/>
          <w:i w:val="0"/>
          <w:sz w:val="22"/>
        </w:rPr>
        <w:t>4. Y-9C event-level cross-section (US, 14 BHCs, 2000-2025): high-CRE banks spread=-0.48pp (p=0.002), capital-building banks spread=-0.50pp (p=0.002).</w:t>
      </w:r>
    </w:p>
    <w:p>
      <w:r>
        <w:rPr>
          <w:b w:val="0"/>
          <w:i w:val="0"/>
          <w:sz w:val="22"/>
        </w:rPr>
        <w:t>5. H7 FFIEC 031 bank-level cross-section (US, 20 BHCs, 2001-2025): high-CRE banks spread=-0.40pp vs low-CRE -0.31pp (t=-0.86, p=0.40), confirming the direction of the H3 finding at N=20. The weaker statistical significance is expected from the time-averaging of the bank-level cross-section (variance in CRE exposure across time is the source of power in the event-level result).</w:t>
      </w:r>
    </w:p>
    <w:p>
      <w:r>
        <w:rPr>
          <w:b w:val="0"/>
          <w:i w:val="0"/>
          <w:sz w:val="22"/>
        </w:rPr>
        <w:t>6. Reverse stress test: pre-DFAST dovish scenario applied to 2022-2025 implies CVaR(95%) = -6.94%, comparable to Fed's 2026 DFAST severely adverse.</w:t>
      </w:r>
    </w:p>
    <w:p>
      <w:r>
        <w:rPr>
          <w:b w:val="0"/>
          <w:i w:val="0"/>
          <w:sz w:val="22"/>
        </w:rPr>
      </w:r>
    </w:p>
    <w:p>
      <w:r>
        <w:rPr>
          <w:b/>
          <w:i w:val="0"/>
          <w:sz w:val="22"/>
        </w:rPr>
        <w:t>Data and Reproducibility</w:t>
      </w:r>
    </w:p>
    <w:p>
      <w:r>
        <w:rPr>
          <w:b w:val="0"/>
          <w:i w:val="0"/>
          <w:sz w:val="22"/>
        </w:rPr>
        <w:t>Data sources: FOMC statements (federalreserve.gov); Loughran-McDonald dictionary (2011); daily bank stock prices (Yahoo Finance, 1993-2026) for 24 US banks and 11 Japanese banks; FR Y-9C bank balance sheet data (WRDS, 2000-2025) for 14 US BHCs; FFIEC 031 Call Report data (WRDS, 2000-2025) for 6 additional US BHCs. The supplementary archive contains fully reproducible Python scripts (~10 min replication time), cleaned input data, and intermediate results.</w:t>
      </w:r>
    </w:p>
    <w:p>
      <w:r>
        <w:rPr>
          <w:b w:val="0"/>
          <w:i w:val="0"/>
          <w:sz w:val="22"/>
        </w:rPr>
      </w:r>
    </w:p>
    <w:p>
      <w:r>
        <w:rPr>
          <w:b/>
          <w:i w:val="0"/>
          <w:sz w:val="22"/>
        </w:rPr>
        <w:t>Limitations and Future Work</w:t>
      </w:r>
    </w:p>
    <w:p>
      <w:r>
        <w:rPr>
          <w:b w:val="0"/>
          <w:i w:val="0"/>
          <w:sz w:val="22"/>
        </w:rPr>
        <w:t>Three data limitations are noted. (1) Our WRDS institutional subscription does not include CME Fed Funds Futures, so we use FOMC LM% as the primary identification. (2) FR Y-9C's `bhckb986` (total assets) is not populated in this WRDS instance, so v6.2 event-level cross-section uses Tier 1 capital as a size proxy. (3) FFIEC 031's `rcfd8274` (Tier 1 capital) is sparsely populated for 3 of 6 newly added BHCs (Morgan Stanley, Charles Schwab, Ally), so the FFIEC H5 cross-section uses N=17 (14 Y-9C + 3 FFIEC with valid T1 data) rather than N=20. We view the FFIEC extension as preliminary and plan to expand it in future revisions with access to additional call report data sources.</w:t>
      </w:r>
    </w:p>
    <w:p>
      <w:r>
        <w:rPr>
          <w:b w:val="0"/>
          <w:i w:val="0"/>
          <w:sz w:val="22"/>
        </w:rPr>
      </w:r>
    </w:p>
    <w:p>
      <w:r>
        <w:rPr>
          <w:b/>
          <w:i w:val="0"/>
          <w:sz w:val="22"/>
        </w:rPr>
        <w:t>Author Information</w:t>
      </w:r>
    </w:p>
    <w:p>
      <w:r>
        <w:rPr>
          <w:b w:val="0"/>
          <w:i w:val="0"/>
          <w:sz w:val="22"/>
        </w:rPr>
        <w:t>dechang.xu@outlook.com</w:t>
      </w:r>
    </w:p>
    <w:p>
      <w:r>
        <w:rPr>
          <w:b w:val="0"/>
          <w:i w:val="0"/>
          <w:sz w:val="22"/>
        </w:rPr>
      </w:r>
    </w:p>
    <w:p>
      <w:r>
        <w:rPr>
          <w:b w:val="0"/>
          <w:i w:val="0"/>
          <w:sz w:val="22"/>
        </w:rPr>
      </w:r>
    </w:p>
    <w:p>
      <w:r>
        <w:rPr>
          <w:b/>
          <w:i w:val="0"/>
          <w:sz w:val="22"/>
        </w:rPr>
        <w:t>Declaration</w:t>
      </w:r>
    </w:p>
    <w:p>
      <w:r>
        <w:rPr>
          <w:b w:val="0"/>
          <w:i w:val="0"/>
          <w:sz w:val="22"/>
        </w:rPr>
        <w:t>This manuscript has not been published and is not under consideration elsewhere. Both authors have read and approved the manuscript. We have no conflicts of interest to disclose. No funding was received for this research.</w:t>
      </w:r>
    </w:p>
    <w:p>
      <w:r>
        <w:rPr>
          <w:b w:val="0"/>
          <w:i w:val="0"/>
          <w:sz w:val="22"/>
        </w:rPr>
      </w:r>
    </w:p>
    <w:p>
      <w:r>
        <w:rPr>
          <w:b w:val="0"/>
          <w:i/>
          <w:sz w:val="22"/>
        </w:rPr>
        <w:t>Thank you for your consideration. We look forward to your response.</w:t>
      </w:r>
    </w:p>
    <w:p>
      <w:r>
        <w:rPr>
          <w:b w:val="0"/>
          <w:i w:val="0"/>
          <w:sz w:val="22"/>
        </w:rPr>
      </w:r>
    </w:p>
    <w:p>
      <w:r>
        <w:rPr>
          <w:b/>
          <w:i w:val="0"/>
          <w:sz w:val="22"/>
        </w:rPr>
        <w:t>Sincerely,</w:t>
      </w:r>
    </w:p>
    <w:p>
      <w:r>
        <w:rPr>
          <w:b w:val="0"/>
          <w:i w:val="0"/>
          <w:sz w:val="22"/>
        </w:rPr>
      </w:r>
    </w:p>
    <w:p>
      <w:r>
        <w:rPr>
          <w:b w:val="0"/>
          <w:i w:val="0"/>
          <w:sz w:val="22"/>
        </w:rPr>
        <w:t>Eileen Zhang</w:t>
      </w:r>
    </w:p>
    <w:p>
      <w:r>
        <w:rPr>
          <w:b w:val="0"/>
          <w:i w:val="0"/>
          <w:sz w:val="22"/>
        </w:rPr>
        <w:t>Eileen Zhang</w:t>
      </w:r>
    </w:p>
    <w:p>
      <w:r>
        <w:rPr>
          <w:b w:val="0"/>
          <w:i w:val="0"/>
          <w:sz w:val="22"/>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