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366f6043e14d46d04ed54e18a516bd26ae6efa2"/>
    <w:p>
      <w:pPr>
        <w:pStyle w:val="Heading1"/>
      </w:pPr>
      <w:r>
        <w:t xml:space="preserve">Monetary Policy Lab: Computational Details</w:t>
      </w:r>
    </w:p>
    <w:p>
      <w:pPr>
        <w:pStyle w:val="BlockText"/>
      </w:pPr>
      <w:r>
        <w:rPr>
          <w:b/>
          <w:bCs/>
        </w:rPr>
        <w:t xml:space="preserve">Technical Reference for Financial Economics Experts</w:t>
      </w:r>
    </w:p>
    <w:p>
      <w:pPr>
        <w:pStyle w:val="BlockText"/>
      </w:pPr>
      <w:r>
        <w:t xml:space="preserve">Platform: https://monetary-policy-lab.streamlit.app</w:t>
      </w:r>
      <w:r>
        <w:br/>
      </w:r>
      <w:r>
        <w:t xml:space="preserve">Repository: GitHub (dechang64/monetary-policy-lab)</w:t>
      </w:r>
      <w:r>
        <w:br/>
      </w:r>
      <w:r>
        <w:t xml:space="preserve">Version: v1.1 (Phase 1 complete, v6.1 analysis pipeline, WRDS integration pending)</w:t>
      </w:r>
    </w:p>
    <w:p>
      <w:r>
        <w:pict>
          <v:rect style="width:0;height:1.5pt" o:hralign="center" o:hrstd="t" o:hr="t"/>
        </w:pict>
      </w:r>
    </w:p>
    <w:bookmarkStart w:id="20" w:name="architecture-overview"/>
    <w:p>
      <w:pPr>
        <w:pStyle w:val="Heading2"/>
      </w:pPr>
      <w:r>
        <w:t xml:space="preserve">1. Architecture Overview</w:t>
      </w:r>
    </w:p>
    <w:p>
      <w:pPr>
        <w:pStyle w:val="FirstParagraph"/>
      </w:pPr>
      <w:r>
        <w:t xml:space="preserve">The platform consists of two layers:</w:t>
      </w:r>
    </w:p>
    <w:tbl>
      <w:tblPr>
        <w:tblStyle w:val="Table"/>
        <w:tblW w:type="pct" w:w="5000"/>
        <w:jc w:val="left"/>
        <w:tblLayout w:type="fixed"/>
        <w:tblLook w:firstRow="1" w:lastRow="0" w:firstColumn="0" w:lastColumn="0" w:noHBand="0" w:noVBand="0" w:val="0020"/>
      </w:tblPr>
      <w:tblGrid>
        <w:gridCol w:w="2053"/>
        <w:gridCol w:w="3226"/>
        <w:gridCol w:w="2640"/>
      </w:tblGrid>
      <w:tr>
        <w:trPr>
          <w:tblHeader w:val="on"/>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Purpose</w:t>
            </w:r>
          </w:p>
        </w:tc>
      </w:tr>
      <w:tr>
        <w:tc>
          <w:tcPr/>
          <w:p>
            <w:pPr>
              <w:pStyle w:val="Compact"/>
              <w:jc w:val="left"/>
            </w:pPr>
            <w:r>
              <w:rPr>
                <w:b/>
                <w:bCs/>
              </w:rPr>
              <w:t xml:space="preserve">Interactive Dashboard</w:t>
            </w:r>
          </w:p>
        </w:tc>
        <w:tc>
          <w:tcPr/>
          <w:p>
            <w:pPr>
              <w:pStyle w:val="Compact"/>
              <w:jc w:val="left"/>
            </w:pPr>
            <w:r>
              <w:t xml:space="preserve">Streamlit app (</w:t>
            </w:r>
            <w:r>
              <w:rPr>
                <w:rStyle w:val="VerbatimChar"/>
              </w:rPr>
              <w:t xml:space="preserve">app.py</w:t>
            </w:r>
            <w:r>
              <w:t xml:space="preserve"> </w:t>
            </w:r>
            <w:r>
              <w:t xml:space="preserve">+</w:t>
            </w:r>
            <w:r>
              <w:t xml:space="preserve"> </w:t>
            </w:r>
            <w:r>
              <w:rPr>
                <w:rStyle w:val="VerbatimChar"/>
              </w:rPr>
              <w:t xml:space="preserve">modules/</w:t>
            </w:r>
            <w:r>
              <w:t xml:space="preserve">)</w:t>
            </w:r>
          </w:p>
        </w:tc>
        <w:tc>
          <w:tcPr/>
          <w:p>
            <w:pPr>
              <w:pStyle w:val="Compact"/>
              <w:jc w:val="left"/>
            </w:pPr>
            <w:r>
              <w:t xml:space="preserve">Real-time exploration, visualization, scenario analysis</w:t>
            </w:r>
          </w:p>
        </w:tc>
      </w:tr>
      <w:tr>
        <w:tc>
          <w:tcPr/>
          <w:p>
            <w:pPr>
              <w:pStyle w:val="Compact"/>
              <w:jc w:val="left"/>
            </w:pPr>
            <w:r>
              <w:rPr>
                <w:b/>
                <w:bCs/>
              </w:rPr>
              <w:t xml:space="preserve">Research Engine</w:t>
            </w:r>
          </w:p>
        </w:tc>
        <w:tc>
          <w:tcPr/>
          <w:p>
            <w:pPr>
              <w:pStyle w:val="Compact"/>
              <w:jc w:val="left"/>
            </w:pPr>
            <w:r>
              <w:rPr>
                <w:rStyle w:val="VerbatimChar"/>
              </w:rPr>
              <w:t xml:space="preserve">mp-research-platform/</w:t>
            </w:r>
            <w:r>
              <w:t xml:space="preserve"> </w:t>
            </w:r>
            <w:r>
              <w:t xml:space="preserve">+</w:t>
            </w:r>
            <w:r>
              <w:t xml:space="preserve"> </w:t>
            </w:r>
            <w:r>
              <w:rPr>
                <w:rStyle w:val="VerbatimChar"/>
              </w:rPr>
              <w:t xml:space="preserve">analysis/</w:t>
            </w:r>
          </w:p>
        </w:tc>
        <w:tc>
          <w:tcPr/>
          <w:p>
            <w:pPr>
              <w:pStyle w:val="Compact"/>
              <w:jc w:val="left"/>
            </w:pPr>
            <w:r>
              <w:t xml:space="preserve">Batch regression pipeline, hypothesis testing, robustness checks</w:t>
            </w:r>
          </w:p>
        </w:tc>
      </w:tr>
    </w:tbl>
    <w:p>
      <w:pPr>
        <w:pStyle w:val="BodyText"/>
      </w:pPr>
      <w:r>
        <w:t xml:space="preserve">The dashboard provides 8 modules (Dashboard, Fed Intelligence, Research, Replication, Sentiment, Two Shocks, Capital Flow, Event Study, Data Explorer), while the research engine runs the formal econometric analysis offline and stores results in</w:t>
      </w:r>
      <w:r>
        <w:t xml:space="preserve"> </w:t>
      </w:r>
      <w:r>
        <w:rPr>
          <w:rStyle w:val="VerbatimChar"/>
        </w:rPr>
        <w:t xml:space="preserve">results/</w:t>
      </w:r>
      <w:r>
        <w:t xml:space="preserve">.</w:t>
      </w:r>
    </w:p>
    <w:p>
      <w:r>
        <w:pict>
          <v:rect style="width:0;height:1.5pt" o:hralign="center" o:hrstd="t" o:hr="t"/>
        </w:pict>
      </w:r>
    </w:p>
    <w:bookmarkEnd w:id="20"/>
    <w:bookmarkStart w:id="27" w:name="data-sources-pipeline"/>
    <w:p>
      <w:pPr>
        <w:pStyle w:val="Heading2"/>
      </w:pPr>
      <w:r>
        <w:t xml:space="preserve">2. Data Sources &amp; Pipeline</w:t>
      </w:r>
    </w:p>
    <w:bookmarkStart w:id="21" w:name="fred-api-integration"/>
    <w:p>
      <w:pPr>
        <w:pStyle w:val="Heading3"/>
      </w:pPr>
      <w:r>
        <w:t xml:space="preserve">2.1 FRED API Integration</w:t>
      </w:r>
    </w:p>
    <w:p>
      <w:pPr>
        <w:pStyle w:val="FirstParagraph"/>
      </w:pPr>
      <w:r>
        <w:rPr>
          <w:b/>
          <w:bCs/>
        </w:rPr>
        <w:t xml:space="preserve">Connector</w:t>
      </w:r>
      <w:r>
        <w:t xml:space="preserve">:</w:t>
      </w:r>
      <w:r>
        <w:t xml:space="preserve"> </w:t>
      </w:r>
      <w:r>
        <w:rPr>
          <w:rStyle w:val="VerbatimChar"/>
        </w:rPr>
        <w:t xml:space="preserve">data/fred_connector.py</w:t>
      </w:r>
      <w:r>
        <w:t xml:space="preserve"> </w:t>
      </w:r>
      <w:r>
        <w:t xml:space="preserve">(class</w:t>
      </w:r>
      <w:r>
        <w:t xml:space="preserve"> </w:t>
      </w:r>
      <w:r>
        <w:rPr>
          <w:rStyle w:val="VerbatimChar"/>
        </w:rPr>
        <w:t xml:space="preserve">FREDConnector</w:t>
      </w:r>
      <w:r>
        <w:t xml:space="preserve">)</w:t>
      </w:r>
    </w:p>
    <w:p>
      <w:pPr>
        <w:pStyle w:val="BodyText"/>
      </w:pPr>
      <w:r>
        <w:t xml:space="preserve">We fetch</w:t>
      </w:r>
      <w:r>
        <w:t xml:space="preserve"> </w:t>
      </w:r>
      <w:r>
        <w:rPr>
          <w:b/>
          <w:bCs/>
        </w:rPr>
        <w:t xml:space="preserve">31 data series</w:t>
      </w:r>
      <w:r>
        <w:t xml:space="preserve"> </w:t>
      </w:r>
      <w:r>
        <w:t xml:space="preserve">from FRED, organized into 8 categories:</w:t>
      </w:r>
    </w:p>
    <w:tbl>
      <w:tblPr>
        <w:tblStyle w:val="Table"/>
        <w:tblW w:type="pct" w:w="5000"/>
        <w:jc w:val="left"/>
        <w:tblLayout w:type="fixed"/>
        <w:tblLook w:firstRow="1" w:lastRow="0" w:firstColumn="0" w:lastColumn="0" w:noHBand="0" w:noVBand="0" w:val="0020"/>
      </w:tblPr>
      <w:tblGrid>
        <w:gridCol w:w="2084"/>
        <w:gridCol w:w="1667"/>
        <w:gridCol w:w="1875"/>
        <w:gridCol w:w="2292"/>
      </w:tblGrid>
      <w:tr>
        <w:trPr>
          <w:tblHeader w:val="on"/>
        </w:trPr>
        <w:tc>
          <w:tcPr/>
          <w:p>
            <w:pPr>
              <w:pStyle w:val="Compact"/>
              <w:jc w:val="left"/>
            </w:pPr>
            <w:r>
              <w:t xml:space="preserve">Category</w:t>
            </w:r>
          </w:p>
        </w:tc>
        <w:tc>
          <w:tcPr/>
          <w:p>
            <w:pPr>
              <w:pStyle w:val="Compact"/>
              <w:jc w:val="left"/>
            </w:pPr>
            <w:r>
              <w:t xml:space="preserve">Series</w:t>
            </w:r>
          </w:p>
        </w:tc>
        <w:tc>
          <w:tcPr/>
          <w:p>
            <w:pPr>
              <w:pStyle w:val="Compact"/>
              <w:jc w:val="left"/>
            </w:pPr>
            <w:r>
              <w:t xml:space="preserve">FRED ID</w:t>
            </w:r>
          </w:p>
        </w:tc>
        <w:tc>
          <w:tcPr/>
          <w:p>
            <w:pPr>
              <w:pStyle w:val="Compact"/>
              <w:jc w:val="left"/>
            </w:pPr>
            <w:r>
              <w:t xml:space="preserve">Frequency</w:t>
            </w:r>
          </w:p>
        </w:tc>
      </w:tr>
      <w:tr>
        <w:tc>
          <w:tcPr/>
          <w:p>
            <w:pPr>
              <w:pStyle w:val="Compact"/>
              <w:jc w:val="left"/>
            </w:pPr>
            <w:r>
              <w:t xml:space="preserve">Interest Rates</w:t>
            </w:r>
          </w:p>
        </w:tc>
        <w:tc>
          <w:tcPr/>
          <w:p>
            <w:pPr>
              <w:pStyle w:val="Compact"/>
              <w:jc w:val="left"/>
            </w:pPr>
            <w:r>
              <w:t xml:space="preserve">1M/2Y/5Y/10Y/30Y Treasury, 2Y-10Y Spread, Effective Fed Funds, SOFR</w:t>
            </w:r>
          </w:p>
        </w:tc>
        <w:tc>
          <w:tcPr/>
          <w:p>
            <w:pPr>
              <w:pStyle w:val="Compact"/>
              <w:jc w:val="left"/>
            </w:pPr>
            <w:r>
              <w:t xml:space="preserve">DGS1MO, DGS2, DGS5, DGS10, DGS30, T10Y2Y, DFF, SOFR</w:t>
            </w:r>
          </w:p>
        </w:tc>
        <w:tc>
          <w:tcPr/>
          <w:p>
            <w:pPr>
              <w:pStyle w:val="Compact"/>
              <w:jc w:val="left"/>
            </w:pPr>
            <w:r>
              <w:t xml:space="preserve">Daily</w:t>
            </w:r>
          </w:p>
        </w:tc>
      </w:tr>
      <w:tr>
        <w:tc>
          <w:tcPr/>
          <w:p>
            <w:pPr>
              <w:pStyle w:val="Compact"/>
              <w:jc w:val="left"/>
            </w:pPr>
            <w:r>
              <w:t xml:space="preserve">Inflation</w:t>
            </w:r>
          </w:p>
        </w:tc>
        <w:tc>
          <w:tcPr/>
          <w:p>
            <w:pPr>
              <w:pStyle w:val="Compact"/>
              <w:jc w:val="left"/>
            </w:pPr>
            <w:r>
              <w:t xml:space="preserve">CPI YoY, Core CPI YoY, PCE, Core PCE YoY, 5Y/10Y Breakeven</w:t>
            </w:r>
          </w:p>
        </w:tc>
        <w:tc>
          <w:tcPr/>
          <w:p>
            <w:pPr>
              <w:pStyle w:val="Compact"/>
              <w:jc w:val="left"/>
            </w:pPr>
            <w:r>
              <w:t xml:space="preserve">CPIAUCSL, CPILFESL, PCEPI, PCEPILFE, T5YIE, T10YIE</w:t>
            </w:r>
          </w:p>
        </w:tc>
        <w:tc>
          <w:tcPr/>
          <w:p>
            <w:pPr>
              <w:pStyle w:val="Compact"/>
              <w:jc w:val="left"/>
            </w:pPr>
            <w:r>
              <w:t xml:space="preserve">Monthly/Daily</w:t>
            </w:r>
          </w:p>
        </w:tc>
      </w:tr>
      <w:tr>
        <w:tc>
          <w:tcPr/>
          <w:p>
            <w:pPr>
              <w:pStyle w:val="Compact"/>
              <w:jc w:val="left"/>
            </w:pPr>
            <w:r>
              <w:t xml:space="preserve">Equity</w:t>
            </w:r>
          </w:p>
        </w:tc>
        <w:tc>
          <w:tcPr/>
          <w:p>
            <w:pPr>
              <w:pStyle w:val="Compact"/>
              <w:jc w:val="left"/>
            </w:pPr>
            <w:r>
              <w:t xml:space="preserve">S&amp;P 500, NASDAQ, VIX</w:t>
            </w:r>
          </w:p>
        </w:tc>
        <w:tc>
          <w:tcPr/>
          <w:p>
            <w:pPr>
              <w:pStyle w:val="Compact"/>
              <w:jc w:val="left"/>
            </w:pPr>
            <w:r>
              <w:t xml:space="preserve">SP500, NASDAQCOM, VIXCLS</w:t>
            </w:r>
          </w:p>
        </w:tc>
        <w:tc>
          <w:tcPr/>
          <w:p>
            <w:pPr>
              <w:pStyle w:val="Compact"/>
              <w:jc w:val="left"/>
            </w:pPr>
            <w:r>
              <w:t xml:space="preserve">Daily</w:t>
            </w:r>
          </w:p>
        </w:tc>
      </w:tr>
      <w:tr>
        <w:tc>
          <w:tcPr/>
          <w:p>
            <w:pPr>
              <w:pStyle w:val="Compact"/>
              <w:jc w:val="left"/>
            </w:pPr>
            <w:r>
              <w:t xml:space="preserve">FX</w:t>
            </w:r>
          </w:p>
        </w:tc>
        <w:tc>
          <w:tcPr/>
          <w:p>
            <w:pPr>
              <w:pStyle w:val="Compact"/>
              <w:jc w:val="left"/>
            </w:pPr>
            <w:r>
              <w:t xml:space="preserve">DXY, EUR/USD, JPY/USD</w:t>
            </w:r>
          </w:p>
        </w:tc>
        <w:tc>
          <w:tcPr/>
          <w:p>
            <w:pPr>
              <w:pStyle w:val="Compact"/>
              <w:jc w:val="left"/>
            </w:pPr>
            <w:r>
              <w:t xml:space="preserve">DTWEXBGS, DEXUSEU, DEXJPUS</w:t>
            </w:r>
          </w:p>
        </w:tc>
        <w:tc>
          <w:tcPr/>
          <w:p>
            <w:pPr>
              <w:pStyle w:val="Compact"/>
              <w:jc w:val="left"/>
            </w:pPr>
            <w:r>
              <w:t xml:space="preserve">Daily</w:t>
            </w:r>
          </w:p>
        </w:tc>
      </w:tr>
      <w:tr>
        <w:tc>
          <w:tcPr/>
          <w:p>
            <w:pPr>
              <w:pStyle w:val="Compact"/>
              <w:jc w:val="left"/>
            </w:pPr>
            <w:r>
              <w:t xml:space="preserve">Commodities</w:t>
            </w:r>
          </w:p>
        </w:tc>
        <w:tc>
          <w:tcPr/>
          <w:p>
            <w:pPr>
              <w:pStyle w:val="Compact"/>
              <w:jc w:val="left"/>
            </w:pPr>
            <w:r>
              <w:t xml:space="preserve">Gold (AM Fix), Oil (WTI)</w:t>
            </w:r>
          </w:p>
        </w:tc>
        <w:tc>
          <w:tcPr/>
          <w:p>
            <w:pPr>
              <w:pStyle w:val="Compact"/>
              <w:jc w:val="left"/>
            </w:pPr>
            <w:r>
              <w:t xml:space="preserve">GOLDAMGBD228NLBM, DCOILWTICO</w:t>
            </w:r>
          </w:p>
        </w:tc>
        <w:tc>
          <w:tcPr/>
          <w:p>
            <w:pPr>
              <w:pStyle w:val="Compact"/>
              <w:jc w:val="left"/>
            </w:pPr>
            <w:r>
              <w:t xml:space="preserve">Daily</w:t>
            </w:r>
          </w:p>
        </w:tc>
      </w:tr>
      <w:tr>
        <w:tc>
          <w:tcPr/>
          <w:p>
            <w:pPr>
              <w:pStyle w:val="Compact"/>
              <w:jc w:val="left"/>
            </w:pPr>
            <w:r>
              <w:t xml:space="preserve">Credit</w:t>
            </w:r>
          </w:p>
        </w:tc>
        <w:tc>
          <w:tcPr/>
          <w:p>
            <w:pPr>
              <w:pStyle w:val="Compact"/>
              <w:jc w:val="left"/>
            </w:pPr>
            <w:r>
              <w:t xml:space="preserve">BAA Corporate, AAA Corporate</w:t>
            </w:r>
          </w:p>
        </w:tc>
        <w:tc>
          <w:tcPr/>
          <w:p>
            <w:pPr>
              <w:pStyle w:val="Compact"/>
              <w:jc w:val="left"/>
            </w:pPr>
            <w:r>
              <w:t xml:space="preserve">BAA, AAA</w:t>
            </w:r>
          </w:p>
        </w:tc>
        <w:tc>
          <w:tcPr/>
          <w:p>
            <w:pPr>
              <w:pStyle w:val="Compact"/>
              <w:jc w:val="left"/>
            </w:pPr>
            <w:r>
              <w:t xml:space="preserve">Daily</w:t>
            </w:r>
          </w:p>
        </w:tc>
      </w:tr>
      <w:tr>
        <w:tc>
          <w:tcPr/>
          <w:p>
            <w:pPr>
              <w:pStyle w:val="Compact"/>
              <w:jc w:val="left"/>
            </w:pPr>
            <w:r>
              <w:t xml:space="preserve">Labor</w:t>
            </w:r>
          </w:p>
        </w:tc>
        <w:tc>
          <w:tcPr/>
          <w:p>
            <w:pPr>
              <w:pStyle w:val="Compact"/>
              <w:jc w:val="left"/>
            </w:pPr>
            <w:r>
              <w:t xml:space="preserve">Unemployment Rate, Nonfarm Payrolls</w:t>
            </w:r>
          </w:p>
        </w:tc>
        <w:tc>
          <w:tcPr/>
          <w:p>
            <w:pPr>
              <w:pStyle w:val="Compact"/>
              <w:jc w:val="left"/>
            </w:pPr>
            <w:r>
              <w:t xml:space="preserve">UNRATE, PAYEMS</w:t>
            </w:r>
          </w:p>
        </w:tc>
        <w:tc>
          <w:tcPr/>
          <w:p>
            <w:pPr>
              <w:pStyle w:val="Compact"/>
              <w:jc w:val="left"/>
            </w:pPr>
            <w:r>
              <w:t xml:space="preserve">Monthly</w:t>
            </w:r>
          </w:p>
        </w:tc>
      </w:tr>
      <w:tr>
        <w:tc>
          <w:tcPr/>
          <w:p>
            <w:pPr>
              <w:pStyle w:val="Compact"/>
              <w:jc w:val="left"/>
            </w:pPr>
            <w:r>
              <w:t xml:space="preserve">Macro</w:t>
            </w:r>
          </w:p>
        </w:tc>
        <w:tc>
          <w:tcPr/>
          <w:p>
            <w:pPr>
              <w:pStyle w:val="Compact"/>
              <w:jc w:val="left"/>
            </w:pPr>
            <w:r>
              <w:t xml:space="preserve">Real GDP, GDP Growth, Fed Assets Total</w:t>
            </w:r>
          </w:p>
        </w:tc>
        <w:tc>
          <w:tcPr/>
          <w:p>
            <w:pPr>
              <w:pStyle w:val="Compact"/>
              <w:jc w:val="left"/>
            </w:pPr>
            <w:r>
              <w:t xml:space="preserve">GDPC1, A191RL1Q225SBEA, WALCL</w:t>
            </w:r>
          </w:p>
        </w:tc>
        <w:tc>
          <w:tcPr/>
          <w:p>
            <w:pPr>
              <w:pStyle w:val="Compact"/>
              <w:jc w:val="left"/>
            </w:pPr>
            <w:r>
              <w:t xml:space="preserve">Quarterly/Weekly</w:t>
            </w:r>
          </w:p>
        </w:tc>
      </w:tr>
    </w:tbl>
    <w:p>
      <w:pPr>
        <w:pStyle w:val="BodyText"/>
      </w:pPr>
      <w:r>
        <w:rPr>
          <w:b/>
          <w:bCs/>
        </w:rPr>
        <w:t xml:space="preserve">Derived series</w:t>
      </w:r>
      <w:r>
        <w:t xml:space="preserve">: Credit Spread = BAA − AAA (computed in-place).</w:t>
      </w:r>
    </w:p>
    <w:p>
      <w:pPr>
        <w:pStyle w:val="BodyText"/>
      </w:pPr>
      <w:r>
        <w:rPr>
          <w:b/>
          <w:bCs/>
        </w:rPr>
        <w:t xml:space="preserve">Frequency alignment</w:t>
      </w:r>
      <w:r>
        <w:t xml:space="preserve">: All series are reindexed to a daily calendar (</w:t>
      </w:r>
      <w:r>
        <w:rPr>
          <w:rStyle w:val="VerbatimChar"/>
        </w:rPr>
        <w:t xml:space="preserve">pd.date_range(freq="D")</w:t>
      </w:r>
      <w:r>
        <w:t xml:space="preserve">), with lower-frequency data forward-filled. This means monthly CPI/PCE values are carried forward within each month — appropriate for event-window analysis where the timing precision is daily.</w:t>
      </w:r>
    </w:p>
    <w:p>
      <w:pPr>
        <w:pStyle w:val="BodyText"/>
      </w:pPr>
      <w:r>
        <w:rPr>
          <w:b/>
          <w:bCs/>
        </w:rPr>
        <w:t xml:space="preserve">Caching</w:t>
      </w:r>
      <w:r>
        <w:t xml:space="preserve">: Two-tier — in-memory dict + JSON file cache (default 6-hour TTL). Rate-limited at 100ms between requests.</w:t>
      </w:r>
    </w:p>
    <w:bookmarkEnd w:id="21"/>
    <w:bookmarkStart w:id="22" w:name="fomc-statement-corpus"/>
    <w:p>
      <w:pPr>
        <w:pStyle w:val="Heading3"/>
      </w:pPr>
      <w:r>
        <w:t xml:space="preserve">2.2 FOMC Statement Corpus</w:t>
      </w:r>
    </w:p>
    <w:p>
      <w:pPr>
        <w:pStyle w:val="FirstParagraph"/>
      </w:pPr>
      <w:r>
        <w:rPr>
          <w:b/>
          <w:bCs/>
        </w:rPr>
        <w:t xml:space="preserve">Scraper</w:t>
      </w:r>
      <w:r>
        <w:t xml:space="preserve">:</w:t>
      </w:r>
      <w:r>
        <w:t xml:space="preserve"> </w:t>
      </w:r>
      <w:r>
        <w:rPr>
          <w:rStyle w:val="VerbatimChar"/>
        </w:rPr>
        <w:t xml:space="preserve">data/fomc_scraper.py</w:t>
      </w:r>
      <w:r>
        <w:t xml:space="preserve"> </w:t>
      </w:r>
      <w:r>
        <w:t xml:space="preserve">(class</w:t>
      </w:r>
      <w:r>
        <w:t xml:space="preserve"> </w:t>
      </w:r>
      <w:r>
        <w:rPr>
          <w:rStyle w:val="VerbatimChar"/>
        </w:rPr>
        <w:t xml:space="preserve">FOMCScraper</w:t>
      </w:r>
      <w:r>
        <w:t xml:space="preserve">)</w:t>
      </w:r>
    </w:p>
    <w:p>
      <w:pPr>
        <w:pStyle w:val="Compact"/>
        <w:numPr>
          <w:ilvl w:val="0"/>
          <w:numId w:val="1001"/>
        </w:numPr>
      </w:pPr>
      <w:r>
        <w:rPr>
          <w:b/>
          <w:bCs/>
        </w:rPr>
        <w:t xml:space="preserve">Coverage</w:t>
      </w:r>
      <w:r>
        <w:t xml:space="preserve">: 157 FOMC statements (1994-02 to 2025-04), with manually curated URL mappings</w:t>
      </w:r>
    </w:p>
    <w:p>
      <w:pPr>
        <w:pStyle w:val="Compact"/>
        <w:numPr>
          <w:ilvl w:val="0"/>
          <w:numId w:val="1001"/>
        </w:numPr>
      </w:pPr>
      <w:r>
        <w:rPr>
          <w:b/>
          <w:bCs/>
        </w:rPr>
        <w:t xml:space="preserve">Source</w:t>
      </w:r>
      <w:r>
        <w:t xml:space="preserve">:</w:t>
      </w:r>
      <w:r>
        <w:t xml:space="preserve"> </w:t>
      </w:r>
      <w:r>
        <w:rPr>
          <w:rStyle w:val="VerbatimChar"/>
        </w:rPr>
        <w:t xml:space="preserve">federalreserve.gov/newsevents/pressreleases/monetary{YYYYMMDD}a.htm</w:t>
      </w:r>
    </w:p>
    <w:p>
      <w:pPr>
        <w:pStyle w:val="Compact"/>
        <w:numPr>
          <w:ilvl w:val="0"/>
          <w:numId w:val="1001"/>
        </w:numPr>
      </w:pPr>
      <w:r>
        <w:rPr>
          <w:b/>
          <w:bCs/>
        </w:rPr>
        <w:t xml:space="preserve">Extraction</w:t>
      </w:r>
      <w:r>
        <w:t xml:space="preserve">: BeautifulSoup, targeting</w:t>
      </w:r>
      <w:r>
        <w:t xml:space="preserve"> </w:t>
      </w:r>
      <w:r>
        <w:rPr>
          <w:rStyle w:val="VerbatimChar"/>
        </w:rPr>
        <w:t xml:space="preserve">div#article</w:t>
      </w:r>
      <w:r>
        <w:t xml:space="preserve"> </w:t>
      </w:r>
      <w:r>
        <w:t xml:space="preserve">(fallback:</w:t>
      </w:r>
      <w:r>
        <w:t xml:space="preserve"> </w:t>
      </w:r>
      <w:r>
        <w:rPr>
          <w:rStyle w:val="VerbatimChar"/>
        </w:rPr>
        <w:t xml:space="preserve">div.col-xs-12.col-sm-8.col-md-8</w:t>
      </w:r>
      <w:r>
        <w:t xml:space="preserve">)</w:t>
      </w:r>
    </w:p>
    <w:p>
      <w:pPr>
        <w:pStyle w:val="Compact"/>
        <w:numPr>
          <w:ilvl w:val="0"/>
          <w:numId w:val="1001"/>
        </w:numPr>
      </w:pPr>
      <w:r>
        <w:rPr>
          <w:b/>
          <w:bCs/>
        </w:rPr>
        <w:t xml:space="preserve">Success rate</w:t>
      </w:r>
      <w:r>
        <w:t xml:space="preserve">: 155/157 (99%), 2 failures likely due to emergency/unscheduled meetings with non-standard URLs</w:t>
      </w:r>
    </w:p>
    <w:p>
      <w:pPr>
        <w:pStyle w:val="Compact"/>
        <w:numPr>
          <w:ilvl w:val="0"/>
          <w:numId w:val="1001"/>
        </w:numPr>
      </w:pPr>
      <w:r>
        <w:rPr>
          <w:b/>
          <w:bCs/>
        </w:rPr>
        <w:t xml:space="preserve">Rate decision extraction</w:t>
      </w:r>
      <w:r>
        <w:t xml:space="preserve">: Pattern matching on statement text (</w:t>
      </w:r>
      <w:r>
        <w:t xml:space="preserve">“</w:t>
      </w:r>
      <w:r>
        <w:t xml:space="preserve">decided to raise/lower/maintain</w:t>
      </w:r>
      <w:r>
        <w:t xml:space="preserve">”</w:t>
      </w:r>
      <w:r>
        <w:t xml:space="preserve">)</w:t>
      </w:r>
    </w:p>
    <w:bookmarkEnd w:id="22"/>
    <w:bookmarkStart w:id="23" w:name="fomc-meeting-metadata"/>
    <w:p>
      <w:pPr>
        <w:pStyle w:val="Heading3"/>
      </w:pPr>
      <w:r>
        <w:t xml:space="preserve">2.3 FOMC Meeting Metadata</w:t>
      </w:r>
    </w:p>
    <w:p>
      <w:pPr>
        <w:pStyle w:val="FirstParagraph"/>
      </w:pPr>
      <w:r>
        <w:rPr>
          <w:b/>
          <w:bCs/>
        </w:rPr>
        <w:t xml:space="preserve">Source</w:t>
      </w:r>
      <w:r>
        <w:t xml:space="preserve">:</w:t>
      </w:r>
      <w:r>
        <w:t xml:space="preserve"> </w:t>
      </w:r>
      <w:r>
        <w:rPr>
          <w:rStyle w:val="VerbatimChar"/>
        </w:rPr>
        <w:t xml:space="preserve">mp-research-platform/data/fomc_meetings.py</w:t>
      </w:r>
    </w:p>
    <w:p>
      <w:pPr>
        <w:pStyle w:val="BodyText"/>
      </w:pPr>
      <w:r>
        <w:t xml:space="preserve">Hand-curated dataset of</w:t>
      </w:r>
      <w:r>
        <w:t xml:space="preserve"> </w:t>
      </w:r>
      <w:r>
        <w:rPr>
          <w:b/>
          <w:bCs/>
        </w:rPr>
        <w:t xml:space="preserve">164 FOMC meetings</w:t>
      </w:r>
      <w:r>
        <w:t xml:space="preserve"> </w:t>
      </w:r>
      <w:r>
        <w:t xml:space="preserve">(1994–2025) with:</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rStyle w:val="VerbatimChar"/>
              </w:rPr>
              <w:t xml:space="preserve">date</w:t>
            </w:r>
          </w:p>
        </w:tc>
        <w:tc>
          <w:tcPr/>
          <w:p>
            <w:pPr>
              <w:pStyle w:val="Compact"/>
              <w:jc w:val="left"/>
            </w:pPr>
            <w:r>
              <w:t xml:space="preserve">Meeting date</w:t>
            </w:r>
          </w:p>
        </w:tc>
      </w:tr>
      <w:tr>
        <w:tc>
          <w:tcPr/>
          <w:p>
            <w:pPr>
              <w:pStyle w:val="Compact"/>
              <w:jc w:val="left"/>
            </w:pPr>
            <w:r>
              <w:rPr>
                <w:rStyle w:val="VerbatimChar"/>
              </w:rPr>
              <w:t xml:space="preserve">decision</w:t>
            </w:r>
          </w:p>
        </w:tc>
        <w:tc>
          <w:tcPr/>
          <w:p>
            <w:pPr>
              <w:pStyle w:val="Compact"/>
              <w:jc w:val="left"/>
            </w:pPr>
            <w:r>
              <w:rPr>
                <w:rStyle w:val="VerbatimChar"/>
              </w:rPr>
              <w:t xml:space="preserve">rate_hike</w:t>
            </w:r>
            <w:r>
              <w:t xml:space="preserve"> </w:t>
            </w:r>
            <w:r>
              <w:t xml:space="preserve">/</w:t>
            </w:r>
            <w:r>
              <w:t xml:space="preserve"> </w:t>
            </w:r>
            <w:r>
              <w:rPr>
                <w:rStyle w:val="VerbatimChar"/>
              </w:rPr>
              <w:t xml:space="preserve">rate_cut</w:t>
            </w:r>
            <w:r>
              <w:t xml:space="preserve"> </w:t>
            </w:r>
            <w:r>
              <w:t xml:space="preserve">/</w:t>
            </w:r>
            <w:r>
              <w:t xml:space="preserve"> </w:t>
            </w:r>
            <w:r>
              <w:rPr>
                <w:rStyle w:val="VerbatimChar"/>
              </w:rPr>
              <w:t xml:space="preserve">unchanged</w:t>
            </w:r>
            <w:r>
              <w:t xml:space="preserve"> </w:t>
            </w:r>
            <w:r>
              <w:t xml:space="preserve">/</w:t>
            </w:r>
            <w:r>
              <w:t xml:space="preserve"> </w:t>
            </w:r>
            <w:r>
              <w:rPr>
                <w:rStyle w:val="VerbatimChar"/>
              </w:rPr>
              <w:t xml:space="preserve">emergency</w:t>
            </w:r>
          </w:p>
        </w:tc>
      </w:tr>
      <w:tr>
        <w:tc>
          <w:tcPr/>
          <w:p>
            <w:pPr>
              <w:pStyle w:val="Compact"/>
              <w:jc w:val="left"/>
            </w:pPr>
            <w:r>
              <w:rPr>
                <w:rStyle w:val="VerbatimChar"/>
              </w:rPr>
              <w:t xml:space="preserve">rate_before</w:t>
            </w:r>
            <w:r>
              <w:t xml:space="preserve">,</w:t>
            </w:r>
            <w:r>
              <w:t xml:space="preserve"> </w:t>
            </w:r>
            <w:r>
              <w:rPr>
                <w:rStyle w:val="VerbatimChar"/>
              </w:rPr>
              <w:t xml:space="preserve">rate_after</w:t>
            </w:r>
          </w:p>
        </w:tc>
        <w:tc>
          <w:tcPr/>
          <w:p>
            <w:pPr>
              <w:pStyle w:val="Compact"/>
              <w:jc w:val="left"/>
            </w:pPr>
            <w:r>
              <w:t xml:space="preserve">Federal funds target rate (upper bound, %)</w:t>
            </w:r>
          </w:p>
        </w:tc>
      </w:tr>
      <w:tr>
        <w:tc>
          <w:tcPr/>
          <w:p>
            <w:pPr>
              <w:pStyle w:val="Compact"/>
              <w:jc w:val="left"/>
            </w:pPr>
            <w:r>
              <w:rPr>
                <w:rStyle w:val="VerbatimChar"/>
              </w:rPr>
              <w:t xml:space="preserve">rate_change</w:t>
            </w:r>
          </w:p>
        </w:tc>
        <w:tc>
          <w:tcPr/>
          <w:p>
            <w:pPr>
              <w:pStyle w:val="Compact"/>
              <w:jc w:val="left"/>
            </w:pPr>
            <w:r>
              <w:rPr>
                <w:rStyle w:val="VerbatimChar"/>
              </w:rPr>
              <w:t xml:space="preserve">rate_after − rate_before</w:t>
            </w:r>
            <w:r>
              <w:t xml:space="preserve"> </w:t>
            </w:r>
            <w:r>
              <w:t xml:space="preserve">(in percentage points)</w:t>
            </w:r>
          </w:p>
        </w:tc>
      </w:tr>
      <w:tr>
        <w:tc>
          <w:tcPr/>
          <w:p>
            <w:pPr>
              <w:pStyle w:val="Compact"/>
              <w:jc w:val="left"/>
            </w:pPr>
            <w:r>
              <w:rPr>
                <w:rStyle w:val="VerbatimChar"/>
              </w:rPr>
              <w:t xml:space="preserve">chair</w:t>
            </w:r>
          </w:p>
        </w:tc>
        <w:tc>
          <w:tcPr/>
          <w:p>
            <w:pPr>
              <w:pStyle w:val="Compact"/>
              <w:jc w:val="left"/>
            </w:pPr>
            <w:r>
              <w:t xml:space="preserve">Greenspan / Bernanke / Yellen / Powell</w:t>
            </w:r>
          </w:p>
        </w:tc>
      </w:tr>
      <w:tr>
        <w:tc>
          <w:tcPr/>
          <w:p>
            <w:pPr>
              <w:pStyle w:val="Compact"/>
              <w:jc w:val="left"/>
            </w:pPr>
            <w:r>
              <w:rPr>
                <w:rStyle w:val="VerbatimChar"/>
              </w:rPr>
              <w:t xml:space="preserve">regime</w:t>
            </w:r>
          </w:p>
        </w:tc>
        <w:tc>
          <w:tcPr/>
          <w:p>
            <w:pPr>
              <w:pStyle w:val="Compact"/>
              <w:jc w:val="left"/>
            </w:pPr>
            <w:r>
              <w:rPr>
                <w:rStyle w:val="VerbatimChar"/>
              </w:rPr>
              <w:t xml:space="preserve">conventional</w:t>
            </w:r>
            <w:r>
              <w:t xml:space="preserve"> </w:t>
            </w:r>
            <w:r>
              <w:t xml:space="preserve">(pre-2008) /</w:t>
            </w:r>
            <w:r>
              <w:t xml:space="preserve"> </w:t>
            </w:r>
            <w:r>
              <w:rPr>
                <w:rStyle w:val="VerbatimChar"/>
              </w:rPr>
              <w:t xml:space="preserve">forward_guidance</w:t>
            </w:r>
            <w:r>
              <w:t xml:space="preserve"> </w:t>
            </w:r>
            <w:r>
              <w:t xml:space="preserve">(2008–2015) /</w:t>
            </w:r>
            <w:r>
              <w:t xml:space="preserve"> </w:t>
            </w:r>
            <w:r>
              <w:rPr>
                <w:rStyle w:val="VerbatimChar"/>
              </w:rPr>
              <w:t xml:space="preserve">normalization</w:t>
            </w:r>
            <w:r>
              <w:t xml:space="preserve"> </w:t>
            </w:r>
            <w:r>
              <w:t xml:space="preserve">(2016+)</w:t>
            </w:r>
          </w:p>
        </w:tc>
      </w:tr>
    </w:tbl>
    <w:bookmarkEnd w:id="23"/>
    <w:bookmarkStart w:id="24" w:name="asset-prices-yfinance"/>
    <w:p>
      <w:pPr>
        <w:pStyle w:val="Heading3"/>
      </w:pPr>
      <w:r>
        <w:t xml:space="preserve">2.4 Asset Prices (yfinance)</w:t>
      </w:r>
    </w:p>
    <w:p>
      <w:pPr>
        <w:pStyle w:val="FirstParagraph"/>
      </w:pPr>
      <w:r>
        <w:rPr>
          <w:b/>
          <w:bCs/>
        </w:rPr>
        <w:t xml:space="preserve">Source</w:t>
      </w:r>
      <w:r>
        <w:t xml:space="preserve">:</w:t>
      </w:r>
      <w:r>
        <w:t xml:space="preserve"> </w:t>
      </w:r>
      <w:r>
        <w:rPr>
          <w:rStyle w:val="VerbatimChar"/>
        </w:rPr>
        <w:t xml:space="preserve">mp-research-platform/run_analysis_v4.py</w:t>
      </w:r>
    </w:p>
    <w:p>
      <w:pPr>
        <w:pStyle w:val="BodyText"/>
      </w:pPr>
      <w:r>
        <w:t xml:space="preserve">For the research pipeline, we use yfinance to download: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Ticker</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^GSPC</w:t>
            </w:r>
          </w:p>
        </w:tc>
        <w:tc>
          <w:tcPr/>
          <w:p>
            <w:pPr>
              <w:pStyle w:val="Compact"/>
              <w:jc w:val="left"/>
            </w:pPr>
            <w:r>
              <w:t xml:space="preserve">S&amp;P 500</w:t>
            </w:r>
          </w:p>
        </w:tc>
        <w:tc>
          <w:tcPr/>
          <w:p>
            <w:pPr>
              <w:pStyle w:val="Compact"/>
              <w:jc w:val="left"/>
            </w:pPr>
            <w:r>
              <w:t xml:space="preserve">Equity return</w:t>
            </w:r>
          </w:p>
        </w:tc>
      </w:tr>
      <w:tr>
        <w:tc>
          <w:tcPr/>
          <w:p>
            <w:pPr>
              <w:pStyle w:val="Compact"/>
              <w:jc w:val="left"/>
            </w:pPr>
            <w:r>
              <w:rPr>
                <w:rStyle w:val="VerbatimChar"/>
              </w:rPr>
              <w:t xml:space="preserve">^IXIC</w:t>
            </w:r>
          </w:p>
        </w:tc>
        <w:tc>
          <w:tcPr/>
          <w:p>
            <w:pPr>
              <w:pStyle w:val="Compact"/>
              <w:jc w:val="left"/>
            </w:pPr>
            <w:r>
              <w:t xml:space="preserve">NASDAQ</w:t>
            </w:r>
          </w:p>
        </w:tc>
        <w:tc>
          <w:tcPr/>
          <w:p>
            <w:pPr>
              <w:pStyle w:val="Compact"/>
              <w:jc w:val="left"/>
            </w:pPr>
            <w:r>
              <w:t xml:space="preserve">Tech equity return</w:t>
            </w:r>
          </w:p>
        </w:tc>
      </w:tr>
      <w:tr>
        <w:tc>
          <w:tcPr/>
          <w:p>
            <w:pPr>
              <w:pStyle w:val="Compact"/>
              <w:jc w:val="left"/>
            </w:pPr>
            <w:r>
              <w:rPr>
                <w:rStyle w:val="VerbatimChar"/>
              </w:rPr>
              <w:t xml:space="preserve">^VIX</w:t>
            </w:r>
          </w:p>
        </w:tc>
        <w:tc>
          <w:tcPr/>
          <w:p>
            <w:pPr>
              <w:pStyle w:val="Compact"/>
              <w:jc w:val="left"/>
            </w:pPr>
            <w:r>
              <w:t xml:space="preserve">VIX</w:t>
            </w:r>
          </w:p>
        </w:tc>
        <w:tc>
          <w:tcPr/>
          <w:p>
            <w:pPr>
              <w:pStyle w:val="Compact"/>
              <w:jc w:val="left"/>
            </w:pPr>
            <w:r>
              <w:t xml:space="preserve">Volatility control</w:t>
            </w:r>
          </w:p>
        </w:tc>
      </w:tr>
      <w:tr>
        <w:tc>
          <w:tcPr/>
          <w:p>
            <w:pPr>
              <w:pStyle w:val="Compact"/>
              <w:jc w:val="left"/>
            </w:pPr>
            <w:r>
              <w:rPr>
                <w:rStyle w:val="VerbatimChar"/>
              </w:rPr>
              <w:t xml:space="preserve">^TNX</w:t>
            </w:r>
          </w:p>
        </w:tc>
        <w:tc>
          <w:tcPr/>
          <w:p>
            <w:pPr>
              <w:pStyle w:val="Compact"/>
              <w:jc w:val="left"/>
            </w:pPr>
            <w:r>
              <w:t xml:space="preserve">10Y Treasury</w:t>
            </w:r>
          </w:p>
        </w:tc>
        <w:tc>
          <w:tcPr/>
          <w:p>
            <w:pPr>
              <w:pStyle w:val="Compact"/>
              <w:jc w:val="left"/>
            </w:pPr>
            <w:r>
              <w:t xml:space="preserve">Long-rate change</w:t>
            </w:r>
          </w:p>
        </w:tc>
      </w:tr>
      <w:tr>
        <w:tc>
          <w:tcPr/>
          <w:p>
            <w:pPr>
              <w:pStyle w:val="Compact"/>
              <w:jc w:val="left"/>
            </w:pPr>
            <w:r>
              <w:rPr>
                <w:rStyle w:val="VerbatimChar"/>
              </w:rPr>
              <w:t xml:space="preserve">^IRX</w:t>
            </w:r>
          </w:p>
        </w:tc>
        <w:tc>
          <w:tcPr/>
          <w:p>
            <w:pPr>
              <w:pStyle w:val="Compact"/>
              <w:jc w:val="left"/>
            </w:pPr>
            <w:r>
              <w:t xml:space="preserve">13W T-bill</w:t>
            </w:r>
          </w:p>
        </w:tc>
        <w:tc>
          <w:tcPr/>
          <w:p>
            <w:pPr>
              <w:pStyle w:val="Compact"/>
              <w:jc w:val="left"/>
            </w:pPr>
            <w:r>
              <w:t xml:space="preserve">Short-rate change</w:t>
            </w:r>
          </w:p>
        </w:tc>
      </w:tr>
      <w:tr>
        <w:tc>
          <w:tcPr/>
          <w:p>
            <w:pPr>
              <w:pStyle w:val="Compact"/>
              <w:jc w:val="left"/>
            </w:pPr>
            <w:r>
              <w:rPr>
                <w:rStyle w:val="VerbatimChar"/>
              </w:rPr>
              <w:t xml:space="preserve">GC=F</w:t>
            </w:r>
          </w:p>
        </w:tc>
        <w:tc>
          <w:tcPr/>
          <w:p>
            <w:pPr>
              <w:pStyle w:val="Compact"/>
              <w:jc w:val="left"/>
            </w:pPr>
            <w:r>
              <w:t xml:space="preserve">Gold</w:t>
            </w:r>
          </w:p>
        </w:tc>
        <w:tc>
          <w:tcPr/>
          <w:p>
            <w:pPr>
              <w:pStyle w:val="Compact"/>
              <w:jc w:val="left"/>
            </w:pPr>
            <w:r>
              <w:t xml:space="preserve">Safe-haven asset</w:t>
            </w:r>
          </w:p>
        </w:tc>
      </w:tr>
    </w:tbl>
    <w:p>
      <w:pPr>
        <w:pStyle w:val="BodyText"/>
      </w:pPr>
      <w:r>
        <w:rPr>
          <w:b/>
          <w:bCs/>
        </w:rPr>
        <w:t xml:space="preserve">Note</w:t>
      </w:r>
      <w:r>
        <w:t xml:space="preserve">: yfinance returns MultiIndex columns in newer versions; we flatten via</w:t>
      </w:r>
      <w:r>
        <w:t xml:space="preserve"> </w:t>
      </w:r>
      <w:r>
        <w:rPr>
          <w:rStyle w:val="VerbatimChar"/>
        </w:rPr>
        <w:t xml:space="preserve">df.columns.get_level_values(0)</w:t>
      </w:r>
      <w:r>
        <w:t xml:space="preserve">. The 13W T-bill (</w:t>
      </w:r>
      <w:r>
        <w:rPr>
          <w:rStyle w:val="VerbatimChar"/>
        </w:rPr>
        <w:t xml:space="preserve">^IRX</w:t>
      </w:r>
      <w:r>
        <w:t xml:space="preserve">) has lower precision than FRED’s DGS3MO — a known limitation documented in TOOLS.md.</w:t>
      </w:r>
    </w:p>
    <w:bookmarkEnd w:id="24"/>
    <w:bookmarkStart w:id="25" w:name="Xd48c1d034208cc7418692de5003876a0b96ab9a"/>
    <w:p>
      <w:pPr>
        <w:pStyle w:val="Heading3"/>
      </w:pPr>
      <w:r>
        <w:t xml:space="preserve">2.5 Acosta et al. (2024) Monetary Policy Shocks</w:t>
      </w:r>
    </w:p>
    <w:p>
      <w:pPr>
        <w:pStyle w:val="FirstParagraph"/>
      </w:pPr>
      <w:r>
        <w:rPr>
          <w:b/>
          <w:bCs/>
        </w:rPr>
        <w:t xml:space="preserve">Source</w:t>
      </w:r>
      <w:r>
        <w:t xml:space="preserve">:</w:t>
      </w:r>
      <w:r>
        <w:t xml:space="preserve"> </w:t>
      </w:r>
      <w:r>
        <w:rPr>
          <w:rStyle w:val="VerbatimChar"/>
        </w:rPr>
        <w:t xml:space="preserve">data/mp_shocks_acosta.xlsx</w:t>
      </w:r>
      <w:r>
        <w:t xml:space="preserve"> </w:t>
      </w:r>
      <w:r>
        <w:t xml:space="preserve">(sheet:</w:t>
      </w:r>
      <w:r>
        <w:t xml:space="preserve"> </w:t>
      </w:r>
      <w:r>
        <w:rPr>
          <w:rStyle w:val="VerbatimChar"/>
        </w:rPr>
        <w:t xml:space="preserve">shocks</w:t>
      </w:r>
      <w:r>
        <w:t xml:space="preserve">)</w:t>
      </w:r>
    </w:p>
    <w:p>
      <w:pPr>
        <w:pStyle w:val="BodyText"/>
      </w:pPr>
      <w:r>
        <w:t xml:space="preserve">High-frequency identified monetary policy shocks from Acosta, Bricongne, and L’Hour (2024), providing:</w:t>
      </w:r>
    </w:p>
    <w:tbl>
      <w:tblPr>
        <w:tblStyle w:val="Table"/>
        <w:tblW w:type="pct" w:w="5000"/>
        <w:jc w:val="left"/>
        <w:tblLayout w:type="fixed"/>
        <w:tblLook w:firstRow="1" w:lastRow="0" w:firstColumn="0" w:lastColumn="0" w:noHBand="0" w:noVBand="0" w:val="0020"/>
      </w:tblPr>
      <w:tblGrid>
        <w:gridCol w:w="2400"/>
        <w:gridCol w:w="3120"/>
        <w:gridCol w:w="240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Coverage</w:t>
            </w:r>
          </w:p>
        </w:tc>
      </w:tr>
      <w:tr>
        <w:tc>
          <w:tcPr/>
          <w:p>
            <w:pPr>
              <w:pStyle w:val="Compact"/>
              <w:jc w:val="left"/>
            </w:pPr>
            <w:r>
              <w:rPr>
                <w:rStyle w:val="VerbatimChar"/>
              </w:rPr>
              <w:t xml:space="preserve">target</w:t>
            </w:r>
          </w:p>
        </w:tc>
        <w:tc>
          <w:tcPr/>
          <w:p>
            <w:pPr>
              <w:pStyle w:val="Compact"/>
              <w:jc w:val="left"/>
            </w:pPr>
            <w:r>
              <w:t xml:space="preserve">Target rate surprise (Kuttner-style)</w:t>
            </w:r>
          </w:p>
        </w:tc>
        <w:tc>
          <w:tcPr/>
          <w:p>
            <w:pPr>
              <w:pStyle w:val="Compact"/>
              <w:jc w:val="left"/>
            </w:pPr>
            <w:r>
              <w:t xml:space="preserve">220 meetings, 1995–2022</w:t>
            </w:r>
          </w:p>
        </w:tc>
      </w:tr>
      <w:tr>
        <w:tc>
          <w:tcPr/>
          <w:p>
            <w:pPr>
              <w:pStyle w:val="Compact"/>
              <w:jc w:val="left"/>
            </w:pPr>
            <w:r>
              <w:rPr>
                <w:rStyle w:val="VerbatimChar"/>
              </w:rPr>
              <w:t xml:space="preserve">path</w:t>
            </w:r>
          </w:p>
        </w:tc>
        <w:tc>
          <w:tcPr/>
          <w:p>
            <w:pPr>
              <w:pStyle w:val="Compact"/>
              <w:jc w:val="left"/>
            </w:pPr>
            <w:r>
              <w:t xml:space="preserve">Path factor (Gürkaynak-style)</w:t>
            </w:r>
          </w:p>
        </w:tc>
        <w:tc>
          <w:tcPr/>
          <w:p>
            <w:pPr>
              <w:pStyle w:val="Compact"/>
              <w:jc w:val="left"/>
            </w:pPr>
            <w:r>
              <w:t xml:space="preserve">220 meetings, 1995–2022</w:t>
            </w:r>
          </w:p>
        </w:tc>
      </w:tr>
      <w:tr>
        <w:tc>
          <w:tcPr/>
          <w:p>
            <w:pPr>
              <w:pStyle w:val="Compact"/>
              <w:jc w:val="left"/>
            </w:pPr>
            <w:r>
              <w:rPr>
                <w:rStyle w:val="VerbatimChar"/>
              </w:rPr>
              <w:t xml:space="preserve">ff.shock.0</w:t>
            </w:r>
          </w:p>
        </w:tc>
        <w:tc>
          <w:tcPr/>
          <w:p>
            <w:pPr>
              <w:pStyle w:val="Compact"/>
              <w:jc w:val="left"/>
            </w:pPr>
            <w:r>
              <w:t xml:space="preserve">Fed Funds futures surprise</w:t>
            </w:r>
          </w:p>
        </w:tc>
        <w:tc>
          <w:tcPr/>
          <w:p>
            <w:pPr>
              <w:pStyle w:val="Compact"/>
              <w:jc w:val="left"/>
            </w:pPr>
            <w:r>
              <w:t xml:space="preserve">220 meetings</w:t>
            </w:r>
          </w:p>
        </w:tc>
      </w:tr>
      <w:tr>
        <w:tc>
          <w:tcPr/>
          <w:p>
            <w:pPr>
              <w:pStyle w:val="Compact"/>
              <w:jc w:val="left"/>
            </w:pPr>
            <w:r>
              <w:rPr>
                <w:rStyle w:val="VerbatimChar"/>
              </w:rPr>
              <w:t xml:space="preserve">ns</w:t>
            </w:r>
          </w:p>
        </w:tc>
        <w:tc>
          <w:tcPr/>
          <w:p>
            <w:pPr>
              <w:pStyle w:val="Compact"/>
              <w:jc w:val="left"/>
            </w:pPr>
            <w:r>
              <w:t xml:space="preserve">Narrow-window surprise</w:t>
            </w:r>
          </w:p>
        </w:tc>
        <w:tc>
          <w:tcPr/>
          <w:p>
            <w:pPr>
              <w:pStyle w:val="Compact"/>
              <w:jc w:val="left"/>
            </w:pPr>
            <w:r>
              <w:t xml:space="preserve">220 meetings</w:t>
            </w:r>
          </w:p>
        </w:tc>
      </w:tr>
    </w:tbl>
    <w:p>
      <w:pPr>
        <w:pStyle w:val="BodyText"/>
      </w:pPr>
      <w:r>
        <w:rPr>
          <w:b/>
          <w:bCs/>
        </w:rPr>
        <w:t xml:space="preserve">Key advantage over naive proxy</w:t>
      </w:r>
      <w:r>
        <w:t xml:space="preserve">: These are market-based surprises from futures contracts, capturing the</w:t>
      </w:r>
      <w:r>
        <w:t xml:space="preserve"> </w:t>
      </w:r>
      <w:r>
        <w:rPr>
          <w:i/>
          <w:iCs/>
        </w:rPr>
        <w:t xml:space="preserve">unexpected</w:t>
      </w:r>
      <w:r>
        <w:t xml:space="preserve"> </w:t>
      </w:r>
      <w:r>
        <w:t xml:space="preserve">component of FOMC decisions. The naive proxy (Δr) equals zero for all unchanged-rate meetings, compressing variance and attenuating regression coefficients.</w:t>
      </w:r>
    </w:p>
    <w:p>
      <w:pPr>
        <w:pStyle w:val="BodyText"/>
      </w:pPr>
      <w:r>
        <w:rPr>
          <w:b/>
          <w:bCs/>
        </w:rPr>
        <w:t xml:space="preserve">Sample overlap</w:t>
      </w:r>
      <w:r>
        <w:t xml:space="preserve">: Of 220 Acosta meetings, 132 are post-2006 (our statement coverage period). Of these, 117 have both statements and shock data in our analysis dataset. The 15 missing meetings have statements available in the scraper but were not included in the original</w:t>
      </w:r>
      <w:r>
        <w:t xml:space="preserve"> </w:t>
      </w:r>
      <w:r>
        <w:rPr>
          <w:rStyle w:val="VerbatimChar"/>
        </w:rPr>
        <w:t xml:space="preserve">analysis_dataset_expanded.csv</w:t>
      </w:r>
      <w:r>
        <w:t xml:space="preserve"> </w:t>
      </w:r>
      <w:r>
        <w:t xml:space="preserve">— a data gap that could be recovered in future versions to increase H1 sample size from 117 to 130.</w:t>
      </w:r>
    </w:p>
    <w:bookmarkEnd w:id="25"/>
    <w:bookmarkStart w:id="26" w:name="wrds-planned-not-yet-active"/>
    <w:p>
      <w:pPr>
        <w:pStyle w:val="Heading3"/>
      </w:pPr>
      <w:r>
        <w:t xml:space="preserve">2.6 WRDS (Planned, Not Yet Active)</w:t>
      </w:r>
    </w:p>
    <w:p>
      <w:pPr>
        <w:pStyle w:val="FirstParagraph"/>
      </w:pPr>
      <w:r>
        <w:rPr>
          <w:b/>
          <w:bCs/>
        </w:rPr>
        <w:t xml:space="preserve">Connector</w:t>
      </w:r>
      <w:r>
        <w:t xml:space="preserve">:</w:t>
      </w:r>
      <w:r>
        <w:t xml:space="preserve"> </w:t>
      </w:r>
      <w:r>
        <w:rPr>
          <w:rStyle w:val="VerbatimChar"/>
        </w:rPr>
        <w:t xml:space="preserve">data/wrds_connector.py</w:t>
      </w:r>
      <w:r>
        <w:t xml:space="preserve"> </w:t>
      </w:r>
      <w:r>
        <w:t xml:space="preserve">(class</w:t>
      </w:r>
      <w:r>
        <w:t xml:space="preserve"> </w:t>
      </w:r>
      <w:r>
        <w:rPr>
          <w:rStyle w:val="VerbatimChar"/>
        </w:rPr>
        <w:t xml:space="preserve">WRDSConnector</w:t>
      </w:r>
      <w:r>
        <w:t xml:space="preserve">)</w:t>
      </w:r>
    </w:p>
    <w:p>
      <w:pPr>
        <w:pStyle w:val="BodyText"/>
      </w:pPr>
      <w:r>
        <w:t xml:space="preserve">Designed for:</w:t>
      </w:r>
      <w:r>
        <w:t xml:space="preserve"> </w:t>
      </w:r>
      <w:r>
        <w:t xml:space="preserve">-</w:t>
      </w:r>
      <w:r>
        <w:t xml:space="preserve"> </w:t>
      </w:r>
      <w:r>
        <w:rPr>
          <w:b/>
          <w:bCs/>
        </w:rPr>
        <w:t xml:space="preserve">CME Fed Funds futures</w:t>
      </w:r>
      <w:r>
        <w:t xml:space="preserve"> </w:t>
      </w:r>
      <w:r>
        <w:t xml:space="preserve">(</w:t>
      </w:r>
      <w:r>
        <w:rPr>
          <w:rStyle w:val="VerbatimChar"/>
        </w:rPr>
        <w:t xml:space="preserve">cme.ff</w:t>
      </w:r>
      <w:r>
        <w:t xml:space="preserve">): Kuttner (2001) surprise calculation</w:t>
      </w:r>
      <w:r>
        <w:t xml:space="preserve"> </w:t>
      </w:r>
      <w:r>
        <w:t xml:space="preserve">-</w:t>
      </w:r>
      <w:r>
        <w:t xml:space="preserve"> </w:t>
      </w:r>
      <w:r>
        <w:rPr>
          <w:b/>
          <w:bCs/>
        </w:rPr>
        <w:t xml:space="preserve">CME Eurodollar futures</w:t>
      </w:r>
      <w:r>
        <w:t xml:space="preserve"> </w:t>
      </w:r>
      <w:r>
        <w:t xml:space="preserve">(</w:t>
      </w:r>
      <w:r>
        <w:rPr>
          <w:rStyle w:val="VerbatimChar"/>
        </w:rPr>
        <w:t xml:space="preserve">cme.ef</w:t>
      </w:r>
      <w:r>
        <w:t xml:space="preserve">): Gürkaynak et al. (2005) path factor</w:t>
      </w:r>
      <w:r>
        <w:t xml:space="preserve"> </w:t>
      </w:r>
      <w:r>
        <w:t xml:space="preserve">-</w:t>
      </w:r>
      <w:r>
        <w:t xml:space="preserve"> </w:t>
      </w:r>
      <w:r>
        <w:rPr>
          <w:b/>
          <w:bCs/>
        </w:rPr>
        <w:t xml:space="preserve">CRSP daily stock returns</w:t>
      </w:r>
      <w:r>
        <w:t xml:space="preserve"> </w:t>
      </w:r>
      <w:r>
        <w:t xml:space="preserve">(</w:t>
      </w:r>
      <w:r>
        <w:rPr>
          <w:rStyle w:val="VerbatimChar"/>
        </w:rPr>
        <w:t xml:space="preserve">crsp.dsf</w:t>
      </w:r>
      <w:r>
        <w:t xml:space="preserve">): Delisted-return-adjusted equity data</w:t>
      </w:r>
      <w:r>
        <w:t xml:space="preserve"> </w:t>
      </w:r>
      <w:r>
        <w:t xml:space="preserve">-</w:t>
      </w:r>
      <w:r>
        <w:t xml:space="preserve"> </w:t>
      </w:r>
      <w:r>
        <w:rPr>
          <w:b/>
          <w:bCs/>
        </w:rPr>
        <w:t xml:space="preserve">TAQ intraday trades</w:t>
      </w:r>
      <w:r>
        <w:t xml:space="preserve"> </w:t>
      </w:r>
      <w:r>
        <w:t xml:space="preserve">(</w:t>
      </w:r>
      <w:r>
        <w:rPr>
          <w:rStyle w:val="VerbatimChar"/>
        </w:rPr>
        <w:t xml:space="preserve">taqmsec.ctm_*</w:t>
      </w:r>
      <w:r>
        <w:t xml:space="preserve">): High-frequency identification</w:t>
      </w:r>
      <w:r>
        <w:t xml:space="preserve"> </w:t>
      </w:r>
      <w:r>
        <w:t xml:space="preserve">-</w:t>
      </w:r>
      <w:r>
        <w:t xml:space="preserve"> </w:t>
      </w:r>
      <w:r>
        <w:rPr>
          <w:b/>
          <w:bCs/>
        </w:rPr>
        <w:t xml:space="preserve">OptionMetrics</w:t>
      </w:r>
      <w:r>
        <w:t xml:space="preserve"> </w:t>
      </w:r>
      <w:r>
        <w:t xml:space="preserve">(</w:t>
      </w:r>
      <w:r>
        <w:rPr>
          <w:rStyle w:val="VerbatimChar"/>
        </w:rPr>
        <w:t xml:space="preserve">optionm.opprcd*</w:t>
      </w:r>
      <w:r>
        <w:t xml:space="preserve">): Implied volatility surface</w:t>
      </w:r>
    </w:p>
    <w:p>
      <w:pPr>
        <w:pStyle w:val="BodyText"/>
      </w:pPr>
      <w:r>
        <w:rPr>
          <w:b/>
          <w:bCs/>
        </w:rPr>
        <w:t xml:space="preserve">Current status</w:t>
      </w:r>
      <w:r>
        <w:t xml:space="preserve">: WRDS requires Duo MFA authentication. Connection flow:</w:t>
      </w:r>
      <w:r>
        <w:t xml:space="preserve"> </w:t>
      </w:r>
      <w:r>
        <w:rPr>
          <w:rStyle w:val="VerbatimChar"/>
        </w:rPr>
        <w:t xml:space="preserve">wrds.Connection()</w:t>
      </w:r>
      <w:r>
        <w:t xml:space="preserve"> </w:t>
      </w:r>
      <w:r>
        <w:t xml:space="preserve">→ Duo Approve → 30-day MFA exemption. Not yet operational.</w:t>
      </w:r>
    </w:p>
    <w:p>
      <w:r>
        <w:pict>
          <v:rect style="width:0;height:1.5pt" o:hralign="center" o:hrstd="t" o:hr="t"/>
        </w:pict>
      </w:r>
    </w:p>
    <w:bookmarkEnd w:id="26"/>
    <w:bookmarkEnd w:id="27"/>
    <w:bookmarkStart w:id="35" w:name="sentiment-analysis-engine"/>
    <w:p>
      <w:pPr>
        <w:pStyle w:val="Heading2"/>
      </w:pPr>
      <w:r>
        <w:t xml:space="preserve">3. Sentiment Analysis Engine</w:t>
      </w:r>
    </w:p>
    <w:bookmarkStart w:id="32" w:name="enhanced-dual-dictionary-approach-v6.1"/>
    <w:p>
      <w:pPr>
        <w:pStyle w:val="Heading3"/>
      </w:pPr>
      <w:r>
        <w:t xml:space="preserve">3.1 Enhanced Dual-Dictionary Approach (v6.1)</w:t>
      </w:r>
    </w:p>
    <w:p>
      <w:pPr>
        <w:pStyle w:val="FirstParagraph"/>
      </w:pPr>
      <w:r>
        <w:rPr>
          <w:b/>
          <w:bCs/>
        </w:rPr>
        <w:t xml:space="preserve">Module</w:t>
      </w:r>
      <w:r>
        <w:t xml:space="preserve">:</w:t>
      </w:r>
      <w:r>
        <w:t xml:space="preserve"> </w:t>
      </w:r>
      <w:r>
        <w:rPr>
          <w:rStyle w:val="VerbatimChar"/>
        </w:rPr>
        <w:t xml:space="preserve">analysis/run_v6_comprehensive.py</w:t>
      </w:r>
      <w:r>
        <w:t xml:space="preserve"> </w:t>
      </w:r>
      <w:r>
        <w:t xml:space="preserve">(function</w:t>
      </w:r>
      <w:r>
        <w:t xml:space="preserve"> </w:t>
      </w:r>
      <w:r>
        <w:rPr>
          <w:rStyle w:val="VerbatimChar"/>
        </w:rPr>
        <w:t xml:space="preserve">compute_enhanced_sentiment</w:t>
      </w:r>
      <w:r>
        <w:t xml:space="preserve">)</w:t>
      </w:r>
    </w:p>
    <w:p>
      <w:pPr>
        <w:pStyle w:val="BodyText"/>
      </w:pPr>
      <w:r>
        <w:t xml:space="preserve">We use an</w:t>
      </w:r>
      <w:r>
        <w:t xml:space="preserve"> </w:t>
      </w:r>
      <w:r>
        <w:rPr>
          <w:b/>
          <w:bCs/>
        </w:rPr>
        <w:t xml:space="preserve">enhanced dual-dictionary</w:t>
      </w:r>
      <w:r>
        <w:t xml:space="preserve"> </w:t>
      </w:r>
      <w:r>
        <w:t xml:space="preserve">approach combining:</w:t>
      </w:r>
    </w:p>
    <w:bookmarkStart w:id="28" w:name="X74d596c736a8ac9b5b23eeb8def1a0d0131d0d5"/>
    <w:p>
      <w:pPr>
        <w:pStyle w:val="Heading4"/>
      </w:pPr>
      <w:r>
        <w:t xml:space="preserve">Loughran-McDonald (2011) Financial Sentiment Dictionary</w:t>
      </w:r>
    </w:p>
    <w:p>
      <w:pPr>
        <w:pStyle w:val="Compact"/>
        <w:numPr>
          <w:ilvl w:val="0"/>
          <w:numId w:val="1002"/>
        </w:numPr>
      </w:pPr>
      <w:r>
        <w:rPr>
          <w:b/>
          <w:bCs/>
        </w:rPr>
        <w:t xml:space="preserve">Negative set</w:t>
      </w:r>
      <w:r>
        <w:t xml:space="preserve">: ~120 words (e.g.,</w:t>
      </w:r>
      <w:r>
        <w:t xml:space="preserve"> </w:t>
      </w:r>
      <w:r>
        <w:t xml:space="preserve">“</w:t>
      </w:r>
      <w:r>
        <w:t xml:space="preserve">adverse</w:t>
      </w:r>
      <w:r>
        <w:t xml:space="preserve">”</w:t>
      </w:r>
      <w:r>
        <w:t xml:space="preserve">,</w:t>
      </w:r>
      <w:r>
        <w:t xml:space="preserve"> </w:t>
      </w:r>
      <w:r>
        <w:t xml:space="preserve">“</w:t>
      </w:r>
      <w:r>
        <w:t xml:space="preserve">concern</w:t>
      </w:r>
      <w:r>
        <w:t xml:space="preserve">”</w:t>
      </w:r>
      <w:r>
        <w:t xml:space="preserve">,</w:t>
      </w:r>
      <w:r>
        <w:t xml:space="preserve"> </w:t>
      </w:r>
      <w:r>
        <w:t xml:space="preserve">“</w:t>
      </w:r>
      <w:r>
        <w:t xml:space="preserve">deteriorate</w:t>
      </w:r>
      <w:r>
        <w:t xml:space="preserve">”</w:t>
      </w:r>
      <w:r>
        <w:t xml:space="preserve">,</w:t>
      </w:r>
      <w:r>
        <w:t xml:space="preserve"> </w:t>
      </w:r>
      <w:r>
        <w:t xml:space="preserve">“</w:t>
      </w:r>
      <w:r>
        <w:t xml:space="preserve">recession</w:t>
      </w:r>
      <w:r>
        <w:t xml:space="preserve">”</w:t>
      </w:r>
      <w:r>
        <w:t xml:space="preserve">,</w:t>
      </w:r>
      <w:r>
        <w:t xml:space="preserve"> </w:t>
      </w:r>
      <w:r>
        <w:t xml:space="preserve">“</w:t>
      </w:r>
      <w:r>
        <w:t xml:space="preserve">volatile</w:t>
      </w:r>
      <w:r>
        <w:t xml:space="preserve">”</w:t>
      </w:r>
      <w:r>
        <w:t xml:space="preserve">)</w:t>
      </w:r>
    </w:p>
    <w:p>
      <w:pPr>
        <w:pStyle w:val="Compact"/>
        <w:numPr>
          <w:ilvl w:val="0"/>
          <w:numId w:val="1002"/>
        </w:numPr>
      </w:pPr>
      <w:r>
        <w:rPr>
          <w:b/>
          <w:bCs/>
        </w:rPr>
        <w:t xml:space="preserve">Positive set</w:t>
      </w:r>
      <w:r>
        <w:t xml:space="preserve">: ~50 words (e.g.,</w:t>
      </w:r>
      <w:r>
        <w:t xml:space="preserve"> </w:t>
      </w:r>
      <w:r>
        <w:t xml:space="preserve">“</w:t>
      </w:r>
      <w:r>
        <w:t xml:space="preserve">achieve</w:t>
      </w:r>
      <w:r>
        <w:t xml:space="preserve">”</w:t>
      </w:r>
      <w:r>
        <w:t xml:space="preserve">,</w:t>
      </w:r>
      <w:r>
        <w:t xml:space="preserve"> </w:t>
      </w:r>
      <w:r>
        <w:t xml:space="preserve">“</w:t>
      </w:r>
      <w:r>
        <w:t xml:space="preserve">boost</w:t>
      </w:r>
      <w:r>
        <w:t xml:space="preserve">”</w:t>
      </w:r>
      <w:r>
        <w:t xml:space="preserve">,</w:t>
      </w:r>
      <w:r>
        <w:t xml:space="preserve"> </w:t>
      </w:r>
      <w:r>
        <w:t xml:space="preserve">“</w:t>
      </w:r>
      <w:r>
        <w:t xml:space="preserve">confident</w:t>
      </w:r>
      <w:r>
        <w:t xml:space="preserve">”</w:t>
      </w:r>
      <w:r>
        <w:t xml:space="preserve">,</w:t>
      </w:r>
      <w:r>
        <w:t xml:space="preserve"> </w:t>
      </w:r>
      <w:r>
        <w:t xml:space="preserve">“</w:t>
      </w:r>
      <w:r>
        <w:t xml:space="preserve">stable</w:t>
      </w:r>
      <w:r>
        <w:t xml:space="preserve">”</w:t>
      </w:r>
      <w:r>
        <w:t xml:space="preserve">)</w:t>
      </w:r>
    </w:p>
    <w:p>
      <w:pPr>
        <w:pStyle w:val="FirstParagraph"/>
      </w:pPr>
      <m:oMathPara>
        <m:oMathParaPr>
          <m:jc m:val="center"/>
        </m:oMathParaPr>
        <m:oMath>
          <m:r>
            <m:rPr>
              <m:nor/>
              <m:sty m:val="p"/>
            </m:rPr>
            <m:t>LM Score</m:t>
          </m:r>
          <m:r>
            <m:rPr>
              <m:sty m:val="p"/>
            </m:rPr>
            <m:t>=</m:t>
          </m:r>
          <m:f>
            <m:fPr>
              <m:type m:val="bar"/>
            </m:fPr>
            <m:num>
              <m:sSub>
                <m:e>
                  <m:r>
                    <m:t>N</m:t>
                  </m:r>
                </m:e>
                <m:sub>
                  <m:r>
                    <m:rPr>
                      <m:nor/>
                      <m:sty m:val="p"/>
                    </m:rPr>
                    <m:t>pos</m:t>
                  </m:r>
                </m:sub>
              </m:sSub>
              <m:r>
                <m:rPr>
                  <m:sty m:val="p"/>
                </m:rPr>
                <m:t>−</m:t>
              </m:r>
              <m:sSub>
                <m:e>
                  <m:r>
                    <m:t>N</m:t>
                  </m:r>
                </m:e>
                <m:sub>
                  <m:r>
                    <m:rPr>
                      <m:nor/>
                      <m:sty m:val="p"/>
                    </m:rPr>
                    <m:t>neg</m:t>
                  </m:r>
                </m:sub>
              </m:sSub>
            </m:num>
            <m:den>
              <m:sSub>
                <m:e>
                  <m:r>
                    <m:t>N</m:t>
                  </m:r>
                </m:e>
                <m:sub>
                  <m:r>
                    <m:rPr>
                      <m:nor/>
                      <m:sty m:val="p"/>
                    </m:rPr>
                    <m:t>total</m:t>
                  </m:r>
                </m:sub>
              </m:sSub>
            </m:den>
          </m:f>
        </m:oMath>
      </m:oMathPara>
    </w:p>
    <w:bookmarkEnd w:id="28"/>
    <w:bookmarkStart w:id="29" w:name="X180ca15ca7570e6c8b48f8d6d3d610fb89d75a0"/>
    <w:p>
      <w:pPr>
        <w:pStyle w:val="Heading4"/>
      </w:pPr>
      <w:r>
        <w:t xml:space="preserve">Central Bank Hawkish-Dovish Dictionary (Henry 2008 + custom expanded)</w:t>
      </w:r>
    </w:p>
    <w:p>
      <w:pPr>
        <w:pStyle w:val="Compact"/>
        <w:numPr>
          <w:ilvl w:val="0"/>
          <w:numId w:val="1003"/>
        </w:numPr>
      </w:pPr>
      <w:r>
        <w:rPr>
          <w:b/>
          <w:bCs/>
        </w:rPr>
        <w:t xml:space="preserve">Hawkish set</w:t>
      </w:r>
      <w:r>
        <w:t xml:space="preserve">: ~45 words/bigrams (e.g.,</w:t>
      </w:r>
      <w:r>
        <w:t xml:space="preserve"> </w:t>
      </w:r>
      <w:r>
        <w:t xml:space="preserve">“</w:t>
      </w:r>
      <w:r>
        <w:t xml:space="preserve">tighten</w:t>
      </w:r>
      <w:r>
        <w:t xml:space="preserve">”</w:t>
      </w:r>
      <w:r>
        <w:t xml:space="preserve">,</w:t>
      </w:r>
      <w:r>
        <w:t xml:space="preserve"> </w:t>
      </w:r>
      <w:r>
        <w:t xml:space="preserve">“</w:t>
      </w:r>
      <w:r>
        <w:t xml:space="preserve">hike</w:t>
      </w:r>
      <w:r>
        <w:t xml:space="preserve">”</w:t>
      </w:r>
      <w:r>
        <w:t xml:space="preserve">,</w:t>
      </w:r>
      <w:r>
        <w:t xml:space="preserve"> </w:t>
      </w:r>
      <w:r>
        <w:t xml:space="preserve">“</w:t>
      </w:r>
      <w:r>
        <w:t xml:space="preserve">inflation</w:t>
      </w:r>
      <w:r>
        <w:t xml:space="preserve">”</w:t>
      </w:r>
      <w:r>
        <w:t xml:space="preserve">,</w:t>
      </w:r>
      <w:r>
        <w:t xml:space="preserve"> </w:t>
      </w:r>
      <w:r>
        <w:t xml:space="preserve">“</w:t>
      </w:r>
      <w:r>
        <w:t xml:space="preserve">vigilant</w:t>
      </w:r>
      <w:r>
        <w:t xml:space="preserve">”</w:t>
      </w:r>
      <w:r>
        <w:t xml:space="preserve">,</w:t>
      </w:r>
      <w:r>
        <w:t xml:space="preserve"> </w:t>
      </w:r>
      <w:r>
        <w:t xml:space="preserve">“</w:t>
      </w:r>
      <w:r>
        <w:t xml:space="preserve">restrictive</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tightening</w:t>
      </w:r>
      <w:r>
        <w:t xml:space="preserve">”</w:t>
      </w:r>
      <w:r>
        <w:t xml:space="preserve">,</w:t>
      </w:r>
      <w:r>
        <w:t xml:space="preserve"> </w:t>
      </w:r>
      <w:r>
        <w:t xml:space="preserve">“</w:t>
      </w:r>
      <w:r>
        <w:t xml:space="preserve">contractionary</w:t>
      </w:r>
      <w:r>
        <w:t xml:space="preserve">”</w:t>
      </w:r>
      <w:r>
        <w:t xml:space="preserve">)</w:t>
      </w:r>
    </w:p>
    <w:p>
      <w:pPr>
        <w:pStyle w:val="Compact"/>
        <w:numPr>
          <w:ilvl w:val="0"/>
          <w:numId w:val="1003"/>
        </w:numPr>
      </w:pPr>
      <w:r>
        <w:rPr>
          <w:b/>
          <w:bCs/>
        </w:rPr>
        <w:t xml:space="preserve">Dovish set</w:t>
      </w:r>
      <w:r>
        <w:t xml:space="preserve">: ~55 words/bigrams (e.g.,</w:t>
      </w:r>
      <w:r>
        <w:t xml:space="preserve"> </w:t>
      </w:r>
      <w:r>
        <w:t xml:space="preserve">“</w:t>
      </w:r>
      <w:r>
        <w:t xml:space="preserve">accommodative</w:t>
      </w:r>
      <w:r>
        <w:t xml:space="preserve">”</w:t>
      </w:r>
      <w:r>
        <w:t xml:space="preserve">,</w:t>
      </w:r>
      <w:r>
        <w:t xml:space="preserve"> </w:t>
      </w:r>
      <w:r>
        <w:t xml:space="preserve">“</w:t>
      </w:r>
      <w:r>
        <w:t xml:space="preserve">patient</w:t>
      </w:r>
      <w:r>
        <w:t xml:space="preserve">”</w:t>
      </w:r>
      <w:r>
        <w:t xml:space="preserve">,</w:t>
      </w:r>
      <w:r>
        <w:t xml:space="preserve"> </w:t>
      </w:r>
      <w:r>
        <w:t xml:space="preserve">“</w:t>
      </w:r>
      <w:r>
        <w:t xml:space="preserve">gradual</w:t>
      </w:r>
      <w:r>
        <w:t xml:space="preserve">”</w:t>
      </w:r>
      <w:r>
        <w:t xml:space="preserve">,</w:t>
      </w:r>
      <w:r>
        <w:t xml:space="preserve"> </w:t>
      </w:r>
      <w:r>
        <w:t xml:space="preserve">“</w:t>
      </w:r>
      <w:r>
        <w:t xml:space="preserve">easing</w:t>
      </w:r>
      <w:r>
        <w:t xml:space="preserve">”</w:t>
      </w:r>
      <w:r>
        <w:t xml:space="preserve">,</w:t>
      </w:r>
      <w:r>
        <w:t xml:space="preserve"> </w:t>
      </w:r>
      <w:r>
        <w:t xml:space="preserve">“</w:t>
      </w:r>
      <w:r>
        <w:t xml:space="preserve">transitory</w:t>
      </w:r>
      <w:r>
        <w:t xml:space="preserve">”</w:t>
      </w:r>
      <w:r>
        <w:t xml:space="preserve">,</w:t>
      </w:r>
      <w:r>
        <w:t xml:space="preserve"> </w:t>
      </w:r>
      <w:r>
        <w:t xml:space="preserve">“</w:t>
      </w:r>
      <w:r>
        <w:t xml:space="preserve">reduce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decline</w:t>
      </w:r>
      <w:r>
        <w:t xml:space="preserve">”</w:t>
      </w:r>
      <w:r>
        <w:t xml:space="preserve">,</w:t>
      </w:r>
      <w:r>
        <w:t xml:space="preserve"> </w:t>
      </w:r>
      <w:r>
        <w:t xml:space="preserve">“</w:t>
      </w:r>
      <w:r>
        <w:t xml:space="preserve">declining</w:t>
      </w:r>
      <w:r>
        <w:t xml:space="preserve">”</w:t>
      </w:r>
      <w:r>
        <w:t xml:space="preserve">)</w:t>
      </w:r>
    </w:p>
    <w:p>
      <w:pPr>
        <w:pStyle w:val="FirstParagraph"/>
      </w:pPr>
      <m:oMathPara>
        <m:oMathParaPr>
          <m:jc m:val="center"/>
        </m:oMathParaPr>
        <m:oMath>
          <m:r>
            <m:rPr>
              <m:nor/>
              <m:sty m:val="p"/>
            </m:rPr>
            <m:t>CB Score</m:t>
          </m:r>
          <m:r>
            <m:rPr>
              <m:sty m:val="p"/>
            </m:rPr>
            <m:t>=</m:t>
          </m:r>
          <m:f>
            <m:fPr>
              <m:type m:val="bar"/>
            </m:fPr>
            <m:num>
              <m:sSub>
                <m:e>
                  <m:r>
                    <m:t>N</m:t>
                  </m:r>
                </m:e>
                <m:sub>
                  <m:r>
                    <m:rPr>
                      <m:nor/>
                      <m:sty m:val="p"/>
                    </m:rPr>
                    <m:t>hawk</m:t>
                  </m:r>
                </m:sub>
              </m:sSub>
              <m:r>
                <m:rPr>
                  <m:sty m:val="p"/>
                </m:rPr>
                <m:t>−</m:t>
              </m:r>
              <m:sSub>
                <m:e>
                  <m:r>
                    <m:t>N</m:t>
                  </m:r>
                </m:e>
                <m:sub>
                  <m:r>
                    <m:rPr>
                      <m:nor/>
                      <m:sty m:val="p"/>
                    </m:rPr>
                    <m:t>dove</m:t>
                  </m:r>
                </m:sub>
              </m:sSub>
            </m:num>
            <m:den>
              <m:sSub>
                <m:e>
                  <m:r>
                    <m:t>N</m:t>
                  </m:r>
                </m:e>
                <m:sub>
                  <m:r>
                    <m:rPr>
                      <m:nor/>
                      <m:sty m:val="p"/>
                    </m:rPr>
                    <m:t>total</m:t>
                  </m:r>
                </m:sub>
              </m:sSub>
            </m:den>
          </m:f>
        </m:oMath>
      </m:oMathPara>
    </w:p>
    <w:p>
      <w:pPr>
        <w:pStyle w:val="FirstParagraph"/>
      </w:pPr>
      <w:r>
        <w:rPr>
          <w:b/>
          <w:bCs/>
        </w:rPr>
        <w:t xml:space="preserve">v6.1 Dictionary Fix</w:t>
      </w:r>
      <w:r>
        <w:t xml:space="preserve">: Removed 5 overlapping terms that appeared in both hawkish and dovish sets (</w:t>
      </w:r>
      <w:r>
        <w:t xml:space="preserve">“</w:t>
      </w:r>
      <w:r>
        <w:t xml:space="preserve">contractionary</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risks</w:t>
      </w:r>
      <w:r>
        <w:t xml:space="preserve">”</w:t>
      </w:r>
      <w:r>
        <w:t xml:space="preserve">,</w:t>
      </w:r>
      <w:r>
        <w:t xml:space="preserve"> </w:t>
      </w:r>
      <w:r>
        <w:t xml:space="preserve">“</w:t>
      </w:r>
      <w:r>
        <w:t xml:space="preserve">reduce</w:t>
      </w:r>
      <w:r>
        <w:t xml:space="preserve">”</w:t>
      </w:r>
      <w:r>
        <w:t xml:space="preserve">), keeping them in the hawkish set where they are more semantically appropriate. This eliminates cancellation effects and increases sentiment variance.</w:t>
      </w:r>
    </w:p>
    <w:bookmarkEnd w:id="29"/>
    <w:bookmarkStart w:id="30" w:name="combined-sentiment"/>
    <w:p>
      <w:pPr>
        <w:pStyle w:val="Heading4"/>
      </w:pPr>
      <w:r>
        <w:t xml:space="preserve">Combined Sentiment</w:t>
      </w:r>
    </w:p>
    <w:p>
      <w:pPr>
        <w:pStyle w:val="FirstParagraph"/>
      </w:pPr>
      <m:oMathPara>
        <m:oMathParaPr>
          <m:jc m:val="center"/>
        </m:oMathParaPr>
        <m:oMath>
          <m:sSub>
            <m:e>
              <m:r>
                <m:rPr>
                  <m:nor/>
                  <m:sty m:val="p"/>
                </m:rPr>
                <m:t>Sentiment</m:t>
              </m:r>
            </m:e>
            <m:sub>
              <m:r>
                <m:t>t</m:t>
              </m:r>
            </m:sub>
          </m:sSub>
          <m:r>
            <m:rPr>
              <m:sty m:val="p"/>
            </m:rPr>
            <m:t>=</m:t>
          </m:r>
          <m:r>
            <m:t>0.5</m:t>
          </m:r>
          <m:r>
            <m:rPr>
              <m:sty m:val="p"/>
            </m:rPr>
            <m:t>×</m:t>
          </m:r>
          <m:sSub>
            <m:e>
              <m:r>
                <m:rPr>
                  <m:nor/>
                  <m:sty m:val="p"/>
                </m:rPr>
                <m:t>LM Score</m:t>
              </m:r>
            </m:e>
            <m:sub>
              <m:r>
                <m:t>t</m:t>
              </m:r>
            </m:sub>
          </m:sSub>
          <m:r>
            <m:rPr>
              <m:sty m:val="p"/>
            </m:rPr>
            <m:t>+</m:t>
          </m:r>
          <m:r>
            <m:t>0.5</m:t>
          </m:r>
          <m:r>
            <m:rPr>
              <m:sty m:val="p"/>
            </m:rPr>
            <m:t>×</m:t>
          </m:r>
          <m:sSub>
            <m:e>
              <m:r>
                <m:rPr>
                  <m:nor/>
                  <m:sty m:val="p"/>
                </m:rPr>
                <m:t>CB Score</m:t>
              </m:r>
            </m:e>
            <m:sub>
              <m:r>
                <m:t>t</m:t>
              </m:r>
            </m:sub>
          </m:sSub>
        </m:oMath>
      </m:oMathPara>
    </w:p>
    <w:p>
      <w:pPr>
        <w:pStyle w:val="FirstParagraph"/>
      </w:pPr>
      <w:r>
        <w:rPr>
          <w:b/>
          <w:bCs/>
        </w:rPr>
        <w:t xml:space="preserve">Interpretation</w:t>
      </w:r>
      <w:r>
        <w:t xml:space="preserve">: Higher values → more hawkish tone.</w:t>
      </w:r>
    </w:p>
    <w:p>
      <w:pPr>
        <w:pStyle w:val="BodyText"/>
      </w:pPr>
      <w:r>
        <w:rPr>
          <w:b/>
          <w:bCs/>
        </w:rPr>
        <w:t xml:space="preserve">Preprocessing</w:t>
      </w:r>
      <w:r>
        <w:t xml:space="preserve">: Lowercase → strip punctuation → filter words with length ≤ 1.</w:t>
      </w:r>
    </w:p>
    <w:bookmarkEnd w:id="30"/>
    <w:bookmarkStart w:id="31" w:name="enhanced-features-v6"/>
    <w:p>
      <w:pPr>
        <w:pStyle w:val="Heading4"/>
      </w:pPr>
      <w:r>
        <w:t xml:space="preserve">Enhanced Features (v6+)</w:t>
      </w:r>
    </w:p>
    <w:p>
      <w:pPr>
        <w:pStyle w:val="FirstParagraph"/>
      </w:pPr>
      <w:r>
        <w:t xml:space="preserve">Beyond the raw combined score, the enhanced pipeline also computes: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left"/>
            </w:pPr>
            <w:r>
              <w:t xml:space="preserve">Description</w:t>
            </w:r>
          </w:p>
        </w:tc>
      </w:tr>
      <w:tr>
        <w:tc>
          <w:tcPr/>
          <w:p>
            <w:pPr>
              <w:pStyle w:val="Compact"/>
              <w:jc w:val="left"/>
            </w:pPr>
            <w:r>
              <w:rPr>
                <w:rStyle w:val="VerbatimChar"/>
              </w:rPr>
              <w:t xml:space="preserve">word_count</w:t>
            </w:r>
          </w:p>
        </w:tc>
        <w:tc>
          <w:tcPr/>
          <w:p>
            <w:pPr>
              <w:pStyle w:val="Compact"/>
              <w:jc w:val="left"/>
            </w:pPr>
            <w:r>
              <w:t xml:space="preserve">Statement length (tokens)</w:t>
            </w:r>
          </w:p>
        </w:tc>
      </w:tr>
      <w:tr>
        <w:tc>
          <w:tcPr/>
          <w:p>
            <w:pPr>
              <w:pStyle w:val="Compact"/>
              <w:jc w:val="left"/>
            </w:pPr>
            <w:r>
              <w:rPr>
                <w:rStyle w:val="VerbatimChar"/>
              </w:rPr>
              <w:t xml:space="preserve">hawkish_count</w:t>
            </w:r>
          </w:p>
        </w:tc>
        <w:tc>
          <w:tcPr/>
          <w:p>
            <w:pPr>
              <w:pStyle w:val="Compact"/>
              <w:jc w:val="left"/>
            </w:pPr>
            <w:r>
              <w:t xml:space="preserve">Raw hawkish word count</w:t>
            </w:r>
          </w:p>
        </w:tc>
      </w:tr>
      <w:tr>
        <w:tc>
          <w:tcPr/>
          <w:p>
            <w:pPr>
              <w:pStyle w:val="Compact"/>
              <w:jc w:val="left"/>
            </w:pPr>
            <w:r>
              <w:rPr>
                <w:rStyle w:val="VerbatimChar"/>
              </w:rPr>
              <w:t xml:space="preserve">dovish_count</w:t>
            </w:r>
          </w:p>
        </w:tc>
        <w:tc>
          <w:tcPr/>
          <w:p>
            <w:pPr>
              <w:pStyle w:val="Compact"/>
              <w:jc w:val="left"/>
            </w:pPr>
            <w:r>
              <w:t xml:space="preserve">Raw dovish word count</w:t>
            </w:r>
          </w:p>
        </w:tc>
      </w:tr>
      <w:tr>
        <w:tc>
          <w:tcPr/>
          <w:p>
            <w:pPr>
              <w:pStyle w:val="Compact"/>
              <w:jc w:val="left"/>
            </w:pPr>
            <w:r>
              <w:rPr>
                <w:rStyle w:val="VerbatimChar"/>
              </w:rPr>
              <w:t xml:space="preserve">lm_score</w:t>
            </w:r>
          </w:p>
        </w:tc>
        <w:tc>
          <w:tcPr/>
          <w:p>
            <w:pPr>
              <w:pStyle w:val="Compact"/>
              <w:jc w:val="left"/>
            </w:pPr>
            <w:r>
              <w:t xml:space="preserve">LM dictionary score (always positive for FOMC text)</w:t>
            </w:r>
          </w:p>
        </w:tc>
      </w:tr>
      <w:tr>
        <w:tc>
          <w:tcPr/>
          <w:p>
            <w:pPr>
              <w:pStyle w:val="Compact"/>
              <w:jc w:val="left"/>
            </w:pPr>
            <w:r>
              <w:rPr>
                <w:rStyle w:val="VerbatimChar"/>
              </w:rPr>
              <w:t xml:space="preserve">cb_score</w:t>
            </w:r>
          </w:p>
        </w:tc>
        <w:tc>
          <w:tcPr/>
          <w:p>
            <w:pPr>
              <w:pStyle w:val="Compact"/>
              <w:jc w:val="left"/>
            </w:pPr>
            <w:r>
              <w:t xml:space="preserve">CB dictionary score (has sign variation)</w:t>
            </w:r>
          </w:p>
        </w:tc>
      </w:tr>
      <w:tr>
        <w:tc>
          <w:tcPr/>
          <w:p>
            <w:pPr>
              <w:pStyle w:val="Compact"/>
              <w:jc w:val="left"/>
            </w:pPr>
            <w:r>
              <w:rPr>
                <w:rStyle w:val="VerbatimChar"/>
              </w:rPr>
              <w:t xml:space="preserve">combined</w:t>
            </w:r>
          </w:p>
        </w:tc>
        <w:tc>
          <w:tcPr/>
          <w:p>
            <w:pPr>
              <w:pStyle w:val="Compact"/>
              <w:jc w:val="left"/>
            </w:pPr>
            <w:r>
              <w:t xml:space="preserve">0.5 × LM + 0.5 × CB</w:t>
            </w:r>
          </w:p>
        </w:tc>
      </w:tr>
    </w:tbl>
    <w:bookmarkEnd w:id="31"/>
    <w:bookmarkEnd w:id="32"/>
    <w:bookmarkStart w:id="33" w:name="sentiment-distribution-v6.1"/>
    <w:p>
      <w:pPr>
        <w:pStyle w:val="Heading3"/>
      </w:pPr>
      <w:r>
        <w:t xml:space="preserve">3.2 Sentiment Distribution (v6.1)</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Statistic</w:t>
            </w:r>
          </w:p>
        </w:tc>
        <w:tc>
          <w:tcPr/>
          <w:p>
            <w:pPr>
              <w:pStyle w:val="Compact"/>
              <w:jc w:val="center"/>
            </w:pPr>
            <w:r>
              <w:t xml:space="preserve">Combined</w:t>
            </w:r>
          </w:p>
        </w:tc>
        <w:tc>
          <w:tcPr/>
          <w:p>
            <w:pPr>
              <w:pStyle w:val="Compact"/>
              <w:jc w:val="center"/>
            </w:pPr>
            <w:r>
              <w:t xml:space="preserve">LM Score</w:t>
            </w:r>
          </w:p>
        </w:tc>
        <w:tc>
          <w:tcPr/>
          <w:p>
            <w:pPr>
              <w:pStyle w:val="Compact"/>
              <w:jc w:val="center"/>
            </w:pPr>
            <w:r>
              <w:t xml:space="preserve">CB Score</w:t>
            </w:r>
          </w:p>
        </w:tc>
      </w:tr>
      <w:tr>
        <w:tc>
          <w:tcPr/>
          <w:p>
            <w:pPr>
              <w:pStyle w:val="Compact"/>
              <w:jc w:val="left"/>
            </w:pPr>
            <w:r>
              <w:t xml:space="preserve">Mean</w:t>
            </w:r>
          </w:p>
        </w:tc>
        <w:tc>
          <w:tcPr/>
          <w:p>
            <w:pPr>
              <w:pStyle w:val="Compact"/>
              <w:jc w:val="center"/>
            </w:pPr>
            <w:r>
              <w:t xml:space="preserve">0.024</w:t>
            </w:r>
          </w:p>
        </w:tc>
        <w:tc>
          <w:tcPr/>
          <w:p>
            <w:pPr>
              <w:pStyle w:val="Compact"/>
              <w:jc w:val="center"/>
            </w:pPr>
            <w:r>
              <w:t xml:space="preserve">0.038</w:t>
            </w:r>
          </w:p>
        </w:tc>
        <w:tc>
          <w:tcPr/>
          <w:p>
            <w:pPr>
              <w:pStyle w:val="Compact"/>
              <w:jc w:val="center"/>
            </w:pPr>
            <w:r>
              <w:t xml:space="preserve">0.010</w:t>
            </w:r>
          </w:p>
        </w:tc>
      </w:tr>
      <w:tr>
        <w:tc>
          <w:tcPr/>
          <w:p>
            <w:pPr>
              <w:pStyle w:val="Compact"/>
              <w:jc w:val="left"/>
            </w:pPr>
            <w:r>
              <w:t xml:space="preserve">Std</w:t>
            </w:r>
          </w:p>
        </w:tc>
        <w:tc>
          <w:tcPr/>
          <w:p>
            <w:pPr>
              <w:pStyle w:val="Compact"/>
              <w:jc w:val="center"/>
            </w:pPr>
            <w:r>
              <w:t xml:space="preserve">0.013</w:t>
            </w:r>
          </w:p>
        </w:tc>
        <w:tc>
          <w:tcPr/>
          <w:p>
            <w:pPr>
              <w:pStyle w:val="Compact"/>
              <w:jc w:val="center"/>
            </w:pPr>
            <w:r>
              <w:t xml:space="preserve">0.008</w:t>
            </w:r>
          </w:p>
        </w:tc>
        <w:tc>
          <w:tcPr/>
          <w:p>
            <w:pPr>
              <w:pStyle w:val="Compact"/>
              <w:jc w:val="center"/>
            </w:pPr>
            <w:r>
              <w:t xml:space="preserve">0.032</w:t>
            </w:r>
          </w:p>
        </w:tc>
      </w:tr>
      <w:tr>
        <w:tc>
          <w:tcPr/>
          <w:p>
            <w:pPr>
              <w:pStyle w:val="Compact"/>
              <w:jc w:val="left"/>
            </w:pPr>
            <w:r>
              <w:t xml:space="preserve">Min</w:t>
            </w:r>
          </w:p>
        </w:tc>
        <w:tc>
          <w:tcPr/>
          <w:p>
            <w:pPr>
              <w:pStyle w:val="Compact"/>
              <w:jc w:val="center"/>
            </w:pPr>
            <w:r>
              <w:t xml:space="preserve">−0.012</w:t>
            </w:r>
          </w:p>
        </w:tc>
        <w:tc>
          <w:tcPr/>
          <w:p>
            <w:pPr>
              <w:pStyle w:val="Compact"/>
              <w:jc w:val="center"/>
            </w:pPr>
            <w:r>
              <w:t xml:space="preserve">0.006</w:t>
            </w:r>
          </w:p>
        </w:tc>
        <w:tc>
          <w:tcPr/>
          <w:p>
            <w:pPr>
              <w:pStyle w:val="Compact"/>
              <w:jc w:val="center"/>
            </w:pPr>
            <w:r>
              <w:t xml:space="preserve">−0.089</w:t>
            </w:r>
          </w:p>
        </w:tc>
      </w:tr>
      <w:tr>
        <w:tc>
          <w:tcPr/>
          <w:p>
            <w:pPr>
              <w:pStyle w:val="Compact"/>
              <w:jc w:val="left"/>
            </w:pPr>
            <w:r>
              <w:t xml:space="preserve">Max</w:t>
            </w:r>
          </w:p>
        </w:tc>
        <w:tc>
          <w:tcPr/>
          <w:p>
            <w:pPr>
              <w:pStyle w:val="Compact"/>
              <w:jc w:val="center"/>
            </w:pPr>
            <w:r>
              <w:t xml:space="preserve">0.065</w:t>
            </w:r>
          </w:p>
        </w:tc>
        <w:tc>
          <w:tcPr/>
          <w:p>
            <w:pPr>
              <w:pStyle w:val="Compact"/>
              <w:jc w:val="center"/>
            </w:pPr>
            <w:r>
              <w:t xml:space="preserve">0.067</w:t>
            </w:r>
          </w:p>
        </w:tc>
        <w:tc>
          <w:tcPr/>
          <w:p>
            <w:pPr>
              <w:pStyle w:val="Compact"/>
              <w:jc w:val="center"/>
            </w:pPr>
            <w:r>
              <w:t xml:space="preserve">0.098</w:t>
            </w:r>
          </w:p>
        </w:tc>
      </w:tr>
      <w:tr>
        <w:tc>
          <w:tcPr/>
          <w:p>
            <w:pPr>
              <w:pStyle w:val="Compact"/>
              <w:jc w:val="left"/>
            </w:pPr>
            <w:r>
              <w:t xml:space="preserve">% Negative</w:t>
            </w:r>
          </w:p>
        </w:tc>
        <w:tc>
          <w:tcPr/>
          <w:p>
            <w:pPr>
              <w:pStyle w:val="Compact"/>
              <w:jc w:val="center"/>
            </w:pPr>
            <w:r>
              <w:t xml:space="preserve">18.8%</w:t>
            </w:r>
          </w:p>
        </w:tc>
        <w:tc>
          <w:tcPr/>
          <w:p>
            <w:pPr>
              <w:pStyle w:val="Compact"/>
              <w:jc w:val="center"/>
            </w:pPr>
            <w:r>
              <w:t xml:space="preserve">0%</w:t>
            </w:r>
          </w:p>
        </w:tc>
        <w:tc>
          <w:tcPr/>
          <w:p>
            <w:pPr>
              <w:pStyle w:val="Compact"/>
              <w:jc w:val="center"/>
            </w:pPr>
            <w:r>
              <w:t xml:space="preserve">78%</w:t>
            </w:r>
          </w:p>
        </w:tc>
      </w:tr>
      <w:tr>
        <w:tc>
          <w:tcPr/>
          <w:p>
            <w:pPr>
              <w:pStyle w:val="Compact"/>
              <w:jc w:val="left"/>
            </w:pPr>
            <w:r>
              <w:t xml:space="preserve">% Positive</w:t>
            </w:r>
          </w:p>
        </w:tc>
        <w:tc>
          <w:tcPr/>
          <w:p>
            <w:pPr>
              <w:pStyle w:val="Compact"/>
              <w:jc w:val="center"/>
            </w:pPr>
            <w:r>
              <w:t xml:space="preserve">81.2%</w:t>
            </w:r>
          </w:p>
        </w:tc>
        <w:tc>
          <w:tcPr/>
          <w:p>
            <w:pPr>
              <w:pStyle w:val="Compact"/>
              <w:jc w:val="center"/>
            </w:pPr>
            <w:r>
              <w:t xml:space="preserve">100%</w:t>
            </w:r>
          </w:p>
        </w:tc>
        <w:tc>
          <w:tcPr/>
          <w:p>
            <w:pPr>
              <w:pStyle w:val="Compact"/>
              <w:jc w:val="center"/>
            </w:pPr>
            <w:r>
              <w:t xml:space="preserve">22%</w:t>
            </w:r>
          </w:p>
        </w:tc>
      </w:tr>
    </w:tbl>
    <w:p>
      <w:pPr>
        <w:pStyle w:val="BodyText"/>
      </w:pPr>
      <w:r>
        <w:rPr>
          <w:b/>
          <w:bCs/>
        </w:rPr>
        <w:t xml:space="preserve">Key observation</w:t>
      </w:r>
      <w:r>
        <w:t xml:space="preserve">: The LM score is always positive for FOMC statements (min = 0.006), because FOMC statements use more positive than negative words regardless of policy stance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CB component has substantial sign variation (78% negative), but the equal-weighted combination dilutes this signal. This is a known limitation of the combined measure — see §10.2 for the upgrade path.</w:t>
      </w:r>
    </w:p>
    <w:bookmarkEnd w:id="33"/>
    <w:bookmarkStart w:id="34" w:name="known-limitations"/>
    <w:p>
      <w:pPr>
        <w:pStyle w:val="Heading3"/>
      </w:pPr>
      <w:r>
        <w:t xml:space="preserve">3.3 Known Limitations</w:t>
      </w:r>
    </w:p>
    <w:tbl>
      <w:tblPr>
        <w:tblStyle w:val="Table"/>
        <w:tblW w:type="pct" w:w="5000"/>
        <w:jc w:val="left"/>
        <w:tblLayout w:type="fixed"/>
        <w:tblLook w:firstRow="1" w:lastRow="0" w:firstColumn="0" w:lastColumn="0" w:noHBand="0" w:noVBand="0" w:val="0020"/>
      </w:tblPr>
      <w:tblGrid>
        <w:gridCol w:w="2410"/>
        <w:gridCol w:w="2754"/>
        <w:gridCol w:w="2754"/>
      </w:tblGrid>
      <w:tr>
        <w:trPr>
          <w:tblHeader w:val="on"/>
        </w:trPr>
        <w:tc>
          <w:tcPr/>
          <w:p>
            <w:pPr>
              <w:pStyle w:val="Compact"/>
              <w:jc w:val="left"/>
            </w:pPr>
            <w:r>
              <w:t xml:space="preserve">Issue</w:t>
            </w:r>
          </w:p>
        </w:tc>
        <w:tc>
          <w:tcPr/>
          <w:p>
            <w:pPr>
              <w:pStyle w:val="Compact"/>
              <w:jc w:val="left"/>
            </w:pPr>
            <w:r>
              <w:t xml:space="preserve">Detail</w:t>
            </w:r>
          </w:p>
        </w:tc>
        <w:tc>
          <w:tcPr/>
          <w:p>
            <w:pPr>
              <w:pStyle w:val="Compact"/>
              <w:jc w:val="left"/>
            </w:pPr>
            <w:r>
              <w:t xml:space="preserve">Impact</w:t>
            </w:r>
          </w:p>
        </w:tc>
      </w:tr>
      <w:tr>
        <w:tc>
          <w:tcPr/>
          <w:p>
            <w:pPr>
              <w:pStyle w:val="Compact"/>
              <w:jc w:val="left"/>
            </w:pPr>
            <w:r>
              <w:rPr>
                <w:b/>
                <w:bCs/>
              </w:rPr>
              <w:t xml:space="preserve">LM positivity bias</w:t>
            </w:r>
          </w:p>
        </w:tc>
        <w:tc>
          <w:tcPr/>
          <w:p>
            <w:pPr>
              <w:pStyle w:val="Compact"/>
              <w:jc w:val="left"/>
            </w:pPr>
            <w:r>
              <w:t xml:space="preserve">LM score is always positive for FOMC text (min = 0.006)</w:t>
            </w:r>
          </w:p>
        </w:tc>
        <w:tc>
          <w:tcPr/>
          <w:p>
            <w:pPr>
              <w:pStyle w:val="Compact"/>
              <w:jc w:val="left"/>
            </w:pPr>
            <w:r>
              <w:t xml:space="preserve">Combined score is dominated by LM positivity; only 18.8% negative</w:t>
            </w:r>
          </w:p>
        </w:tc>
      </w:tr>
      <w:tr>
        <w:tc>
          <w:tcPr/>
          <w:p>
            <w:pPr>
              <w:pStyle w:val="Compact"/>
              <w:jc w:val="left"/>
            </w:pPr>
            <w:r>
              <w:rPr>
                <w:b/>
                <w:bCs/>
              </w:rPr>
              <w:t xml:space="preserve">Sparsity</w:t>
            </w:r>
          </w:p>
        </w:tc>
        <w:tc>
          <w:tcPr/>
          <w:p>
            <w:pPr>
              <w:pStyle w:val="Compact"/>
              <w:jc w:val="left"/>
            </w:pPr>
            <w:r>
              <w:t xml:space="preserve">LM dictionary designed for 10-K filings, not FOMC statements</w:t>
            </w:r>
          </w:p>
        </w:tc>
        <w:tc>
          <w:tcPr/>
          <w:p>
            <w:pPr>
              <w:pStyle w:val="Compact"/>
              <w:jc w:val="left"/>
            </w:pPr>
            <w:r>
              <w:t xml:space="preserve">std(LM) ≈ 0.008 vs. literature benchmark ≈ 0.035</w:t>
            </w:r>
          </w:p>
        </w:tc>
      </w:tr>
      <w:tr>
        <w:tc>
          <w:tcPr/>
          <w:p>
            <w:pPr>
              <w:pStyle w:val="Compact"/>
              <w:jc w:val="left"/>
            </w:pPr>
            <w:r>
              <w:rPr>
                <w:b/>
                <w:bCs/>
              </w:rPr>
              <w:t xml:space="preserve">Context blindness</w:t>
            </w:r>
          </w:p>
        </w:tc>
        <w:tc>
          <w:tcPr/>
          <w:p>
            <w:pPr>
              <w:pStyle w:val="Compact"/>
              <w:jc w:val="left"/>
            </w:pPr>
            <w:r>
              <w:t xml:space="preserve">“</w:t>
            </w:r>
            <w:r>
              <w:t xml:space="preserve">higher</w:t>
            </w:r>
            <w:r>
              <w:t xml:space="preserve">”</w:t>
            </w:r>
            <w:r>
              <w:t xml:space="preserve"> </w:t>
            </w:r>
            <w:r>
              <w:t xml:space="preserve">appears in both LM_POSITIVE and CB_HAWKISH — but</w:t>
            </w:r>
            <w:r>
              <w:t xml:space="preserve"> </w:t>
            </w:r>
            <w:r>
              <w:t xml:space="preserve">“</w:t>
            </w:r>
            <w:r>
              <w:t xml:space="preserve">higher inflation</w:t>
            </w:r>
            <w:r>
              <w:t xml:space="preserve">”</w:t>
            </w:r>
            <w:r>
              <w:t xml:space="preserve"> </w:t>
            </w:r>
            <w:r>
              <w:t xml:space="preserve">is hawkish while</w:t>
            </w:r>
            <w:r>
              <w:t xml:space="preserve"> </w:t>
            </w:r>
            <w:r>
              <w:t xml:space="preserve">“</w:t>
            </w:r>
            <w:r>
              <w:t xml:space="preserve">higher growth</w:t>
            </w:r>
            <w:r>
              <w:t xml:space="preserve">”</w:t>
            </w:r>
            <w:r>
              <w:t xml:space="preserve"> </w:t>
            </w:r>
            <w:r>
              <w:t xml:space="preserve">is dovish</w:t>
            </w:r>
          </w:p>
        </w:tc>
        <w:tc>
          <w:tcPr/>
          <w:p>
            <w:pPr>
              <w:pStyle w:val="Compact"/>
              <w:jc w:val="left"/>
            </w:pPr>
            <w:r>
              <w:t xml:space="preserve">Directional ambiguity</w:t>
            </w:r>
          </w:p>
        </w:tc>
      </w:tr>
      <w:tr>
        <w:tc>
          <w:tcPr/>
          <w:p>
            <w:pPr>
              <w:pStyle w:val="Compact"/>
              <w:jc w:val="left"/>
            </w:pPr>
            <w:r>
              <w:rPr>
                <w:b/>
                <w:bCs/>
              </w:rPr>
              <w:t xml:space="preserve">No bigram/trigram</w:t>
            </w:r>
          </w:p>
        </w:tc>
        <w:tc>
          <w:tcPr/>
          <w:p>
            <w:pPr>
              <w:pStyle w:val="Compact"/>
              <w:jc w:val="left"/>
            </w:pPr>
            <w:r>
              <w:t xml:space="preserve">Only unigram matching;</w:t>
            </w:r>
            <w:r>
              <w:t xml:space="preserve"> </w:t>
            </w:r>
            <w:r>
              <w:t xml:space="preserve">“</w:t>
            </w:r>
            <w:r>
              <w:t xml:space="preserve">strongly committed to returning inflation to 2%</w:t>
            </w:r>
            <w:r>
              <w:t xml:space="preserve">”</w:t>
            </w:r>
            <w:r>
              <w:t xml:space="preserve"> </w:t>
            </w:r>
            <w:r>
              <w:t xml:space="preserve">misses the commitment signal</w:t>
            </w:r>
          </w:p>
        </w:tc>
        <w:tc>
          <w:tcPr/>
          <w:p>
            <w:pPr>
              <w:pStyle w:val="Compact"/>
              <w:jc w:val="left"/>
            </w:pPr>
            <w:r>
              <w:t xml:space="preserve">Information loss</w:t>
            </w:r>
          </w:p>
        </w:tc>
      </w:tr>
      <w:tr>
        <w:tc>
          <w:tcPr/>
          <w:p>
            <w:pPr>
              <w:pStyle w:val="Compact"/>
              <w:jc w:val="left"/>
            </w:pPr>
            <w:r>
              <w:rPr>
                <w:b/>
                <w:bCs/>
              </w:rPr>
              <w:t xml:space="preserve">Equal weighting</w:t>
            </w:r>
          </w:p>
        </w:tc>
        <w:tc>
          <w:tcPr/>
          <w:p>
            <w:pPr>
              <w:pStyle w:val="Compact"/>
              <w:jc w:val="left"/>
            </w:pPr>
            <w:r>
              <w:t xml:space="preserve">50/50 LM+CB is arbitrary; no empirical optimization</w:t>
            </w:r>
          </w:p>
        </w:tc>
        <w:tc>
          <w:tcPr/>
          <w:p>
            <w:pPr>
              <w:pStyle w:val="Compact"/>
              <w:jc w:val="left"/>
            </w:pPr>
            <w:r>
              <w:t xml:space="preserve">Suboptimal signal extraction</w:t>
            </w:r>
          </w:p>
        </w:tc>
      </w:tr>
      <w:tr>
        <w:tc>
          <w:tcPr/>
          <w:p>
            <w:pPr>
              <w:pStyle w:val="Compact"/>
              <w:jc w:val="left"/>
            </w:pPr>
            <w:r>
              <w:rPr>
                <w:b/>
                <w:bCs/>
              </w:rPr>
              <w:t xml:space="preserve">LM-CB polarity conflict</w:t>
            </w:r>
          </w:p>
        </w:tc>
        <w:tc>
          <w:tcPr/>
          <w:p>
            <w:pPr>
              <w:pStyle w:val="Compact"/>
              <w:jc w:val="left"/>
            </w:pPr>
            <w:r>
              <w:t xml:space="preserve">10 terms are LM-negative but CB-hawkish (e.g.,</w:t>
            </w:r>
            <w:r>
              <w:t xml:space="preserve"> </w:t>
            </w:r>
            <w:r>
              <w:t xml:space="preserve">“</w:t>
            </w:r>
            <w:r>
              <w:t xml:space="preserve">inflation</w:t>
            </w:r>
            <w:r>
              <w:t xml:space="preserve">”</w:t>
            </w:r>
            <w:r>
              <w:t xml:space="preserve">,</w:t>
            </w:r>
            <w:r>
              <w:t xml:space="preserve"> </w:t>
            </w:r>
            <w:r>
              <w:t xml:space="preserve">“</w:t>
            </w:r>
            <w:r>
              <w:t xml:space="preserve">tightening</w:t>
            </w:r>
            <w:r>
              <w:t xml:space="preserve">”</w:t>
            </w:r>
            <w:r>
              <w:t xml:space="preserve">); 6 terms are LM-positive but CB-dovish (e.g.,</w:t>
            </w:r>
            <w:r>
              <w:t xml:space="preserve"> </w:t>
            </w:r>
            <w:r>
              <w:t xml:space="preserve">“</w:t>
            </w:r>
            <w:r>
              <w:t xml:space="preserve">ease</w:t>
            </w:r>
            <w:r>
              <w:t xml:space="preserve">”</w:t>
            </w:r>
            <w:r>
              <w:t xml:space="preserve">,</w:t>
            </w:r>
            <w:r>
              <w:t xml:space="preserve"> </w:t>
            </w:r>
            <w:r>
              <w:t xml:space="preserve">“</w:t>
            </w:r>
            <w:r>
              <w:t xml:space="preserve">easing</w:t>
            </w:r>
            <w:r>
              <w:t xml:space="preserve">”</w:t>
            </w:r>
            <w:r>
              <w:t xml:space="preserve">)</w:t>
            </w:r>
          </w:p>
        </w:tc>
        <w:tc>
          <w:tcPr/>
          <w:p>
            <w:pPr>
              <w:pStyle w:val="Compact"/>
              <w:jc w:val="left"/>
            </w:pPr>
            <w:r>
              <w:t xml:space="preserve">Combined measure mixes two different dimensions — financial sentiment vs. policy stance</w:t>
            </w:r>
          </w:p>
        </w:tc>
      </w:tr>
    </w:tbl>
    <w:p>
      <w:pPr>
        <w:pStyle w:val="BodyText"/>
      </w:pPr>
      <w:r>
        <w:rPr>
          <w:b/>
          <w:bCs/>
        </w:rPr>
        <w:t xml:space="preserve">Planned improvements</w:t>
      </w:r>
      <w:r>
        <w:t xml:space="preserve"> </w:t>
      </w:r>
      <w:r>
        <w:t xml:space="preserve">(per WRDS_UPGRADE_PLAN.md):</w:t>
      </w:r>
      <w:r>
        <w:t xml:space="preserve"> </w:t>
      </w:r>
      <w:r>
        <w:t xml:space="preserve">1.</w:t>
      </w:r>
      <w:r>
        <w:t xml:space="preserve"> </w:t>
      </w:r>
      <w:r>
        <w:rPr>
          <w:b/>
          <w:bCs/>
        </w:rPr>
        <w:t xml:space="preserve">CB-only sentiment</w:t>
      </w:r>
      <w:r>
        <w:t xml:space="preserve">: Use CB score alone for H1 regression (has actual sign variation)</w:t>
      </w:r>
      <w:r>
        <w:t xml:space="preserve"> </w:t>
      </w:r>
      <w:r>
        <w:t xml:space="preserve">2.</w:t>
      </w:r>
      <w:r>
        <w:t xml:space="preserve"> </w:t>
      </w:r>
      <w:r>
        <w:rPr>
          <w:b/>
          <w:bCs/>
        </w:rPr>
        <w:t xml:space="preserve">FinBERT</w:t>
      </w:r>
      <w:r>
        <w:t xml:space="preserve"> </w:t>
      </w:r>
      <w:r>
        <w:t xml:space="preserve">(Huang et al. 2022): Contextual sentiment, requires GPU</w:t>
      </w:r>
      <w:r>
        <w:t xml:space="preserve"> </w:t>
      </w:r>
      <w:r>
        <w:t xml:space="preserve">3.</w:t>
      </w:r>
      <w:r>
        <w:t xml:space="preserve"> </w:t>
      </w:r>
      <w:r>
        <w:rPr>
          <w:b/>
          <w:bCs/>
        </w:rPr>
        <w:t xml:space="preserve">Expanded CB dictionary</w:t>
      </w:r>
      <w:r>
        <w:t xml:space="preserve">: Add FOMC-specific phrases from Apel &amp; Blix Grimaldi (2012)</w:t>
      </w:r>
      <w:r>
        <w:t xml:space="preserve"> </w:t>
      </w:r>
      <w:r>
        <w:t xml:space="preserve">4.</w:t>
      </w:r>
      <w:r>
        <w:t xml:space="preserve"> </w:t>
      </w:r>
      <w:r>
        <w:rPr>
          <w:b/>
          <w:bCs/>
        </w:rPr>
        <w:t xml:space="preserve">Weight optimization</w:t>
      </w:r>
      <w:r>
        <w:t xml:space="preserve">: Cross-validate LM/CB weights against asset returns</w:t>
      </w:r>
    </w:p>
    <w:p>
      <w:r>
        <w:pict>
          <v:rect style="width:0;height:1.5pt" o:hralign="center" o:hrstd="t" o:hr="t"/>
        </w:pict>
      </w:r>
    </w:p>
    <w:bookmarkEnd w:id="34"/>
    <w:bookmarkEnd w:id="35"/>
    <w:bookmarkStart w:id="40" w:name="monetary-policy-surprise"/>
    <w:p>
      <w:pPr>
        <w:pStyle w:val="Heading2"/>
      </w:pPr>
      <w:r>
        <w:t xml:space="preserve">4. Monetary Policy Surprise</w:t>
      </w:r>
    </w:p>
    <w:bookmarkStart w:id="36" w:name="acosta-et-al.-2024-shocks-active"/>
    <w:p>
      <w:pPr>
        <w:pStyle w:val="Heading3"/>
      </w:pPr>
      <w:r>
        <w:t xml:space="preserve">4.1 Acosta et al. (2024) Shocks (Active)</w:t>
      </w:r>
    </w:p>
    <w:p>
      <w:pPr>
        <w:pStyle w:val="FirstParagraph"/>
      </w:pPr>
      <w:r>
        <w:rPr>
          <w:b/>
          <w:bCs/>
        </w:rPr>
        <w:t xml:space="preserve">Source</w:t>
      </w:r>
      <w:r>
        <w:t xml:space="preserve">:</w:t>
      </w:r>
      <w:r>
        <w:t xml:space="preserve"> </w:t>
      </w:r>
      <w:r>
        <w:rPr>
          <w:rStyle w:val="VerbatimChar"/>
        </w:rPr>
        <w:t xml:space="preserve">data/mp_shocks_acosta.xlsx</w:t>
      </w:r>
    </w:p>
    <w:p>
      <w:pPr>
        <w:pStyle w:val="BodyText"/>
      </w:pPr>
      <w:r>
        <w:t xml:space="preserve">The v6.1 pipeline uses Acosta et al. (2024) high-frequency identified shocks, which provide:</w:t>
      </w:r>
    </w:p>
    <w:p>
      <w:pPr>
        <w:pStyle w:val="Compact"/>
        <w:numPr>
          <w:ilvl w:val="0"/>
          <w:numId w:val="1004"/>
        </w:numPr>
      </w:pPr>
      <w:r>
        <w:rPr>
          <w:b/>
          <w:bCs/>
        </w:rPr>
        <w:t xml:space="preserve">Target surprise</w:t>
      </w:r>
      <w:r>
        <w:t xml:space="preserve"> </w:t>
      </w:r>
      <w:r>
        <w:t xml:space="preserve">(</w:t>
      </w:r>
      <w:r>
        <w:rPr>
          <w:rStyle w:val="VerbatimChar"/>
        </w:rPr>
        <w:t xml:space="preserve">target</w:t>
      </w:r>
      <w:r>
        <w:t xml:space="preserve">): The unexpected component of the rate decision, identified from Fed Funds futures price changes in a narrow window around the FOMC announcement</w:t>
      </w:r>
    </w:p>
    <w:p>
      <w:pPr>
        <w:pStyle w:val="Compact"/>
        <w:numPr>
          <w:ilvl w:val="0"/>
          <w:numId w:val="1004"/>
        </w:numPr>
      </w:pPr>
      <w:r>
        <w:rPr>
          <w:b/>
          <w:bCs/>
        </w:rPr>
        <w:t xml:space="preserve">Path factor</w:t>
      </w:r>
      <w:r>
        <w:t xml:space="preserve"> </w:t>
      </w:r>
      <w:r>
        <w:t xml:space="preserve">(</w:t>
      </w:r>
      <w:r>
        <w:rPr>
          <w:rStyle w:val="VerbatimChar"/>
        </w:rPr>
        <w:t xml:space="preserve">path</w:t>
      </w:r>
      <w:r>
        <w:t xml:space="preserve">): The change in expected future rate path beyond the current meeting, identified from Eurodollar futures</w:t>
      </w:r>
    </w:p>
    <w:p>
      <w:pPr>
        <w:pStyle w:val="FirstParagraph"/>
      </w:pPr>
      <w:r>
        <w:t xml:space="preserve">These replace the naive proxy (Δr) used in earlier versions (v1–v4), which was zero for all unchanged-rate meetings and severely attenuated regression coefficients.</w:t>
      </w:r>
    </w:p>
    <w:bookmarkEnd w:id="36"/>
    <w:bookmarkStart w:id="37" w:name="naive-proxy-legacy-v1v4"/>
    <w:p>
      <w:pPr>
        <w:pStyle w:val="Heading3"/>
      </w:pPr>
      <w:r>
        <w:t xml:space="preserve">4.2 Naive Proxy (Legacy, v1–v4)</w:t>
      </w:r>
    </w:p>
    <w:p>
      <w:pPr>
        <w:pStyle w:val="FirstParagraph"/>
      </w:pPr>
      <m:oMathPara>
        <m:oMathParaPr>
          <m:jc m:val="center"/>
        </m:oMathParaPr>
        <m:oMath>
          <m:sSub>
            <m:e>
              <m:r>
                <m:rPr>
                  <m:nor/>
                  <m:sty m:val="p"/>
                </m:rPr>
                <m:t>Surprise</m:t>
              </m:r>
            </m:e>
            <m:sub>
              <m:r>
                <m:t>t</m:t>
              </m:r>
            </m:sub>
          </m:sSub>
          <m:r>
            <m:rPr>
              <m:sty m:val="p"/>
            </m:rPr>
            <m:t>=</m:t>
          </m:r>
          <m:r>
            <m:t>Δ</m:t>
          </m:r>
          <m:sSub>
            <m:e>
              <m:r>
                <m:t>r</m:t>
              </m:r>
            </m:e>
            <m:sub>
              <m:r>
                <m:t>t</m:t>
              </m:r>
            </m:sub>
          </m:sSub>
          <m:r>
            <m:rPr>
              <m:sty m:val="p"/>
            </m:rPr>
            <m:t>=</m:t>
          </m:r>
          <m:sSubSup>
            <m:e>
              <m:r>
                <m:t>r</m:t>
              </m:r>
            </m:e>
            <m:sub>
              <m:r>
                <m:t>t</m:t>
              </m:r>
            </m:sub>
            <m:sup>
              <m:r>
                <m:rPr>
                  <m:nor/>
                  <m:sty m:val="p"/>
                </m:rPr>
                <m:t>after</m:t>
              </m:r>
            </m:sup>
          </m:sSubSup>
          <m:r>
            <m:rPr>
              <m:sty m:val="p"/>
            </m:rPr>
            <m:t>−</m:t>
          </m:r>
          <m:sSubSup>
            <m:e>
              <m:r>
                <m:t>r</m:t>
              </m:r>
            </m:e>
            <m:sub>
              <m:r>
                <m:t>t</m:t>
              </m:r>
            </m:sub>
            <m:sup>
              <m:r>
                <m:rPr>
                  <m:nor/>
                  <m:sty m:val="p"/>
                </m:rPr>
                <m:t>before</m:t>
              </m:r>
            </m:sup>
          </m:sSubSup>
        </m:oMath>
      </m:oMathPara>
    </w:p>
    <w:p>
      <w:pPr>
        <w:pStyle w:val="FirstParagraph"/>
      </w:pPr>
      <w:r>
        <w:t xml:space="preserve">where</w:t>
      </w:r>
      <w:r>
        <w:t xml:space="preserve"> </w:t>
      </w:r>
      <m:oMath>
        <m:sSub>
          <m:e>
            <m:r>
              <m:t>r</m:t>
            </m:r>
          </m:e>
          <m:sub>
            <m:r>
              <m:t>t</m:t>
            </m:r>
          </m:sub>
        </m:sSub>
      </m:oMath>
      <w:r>
        <w:t xml:space="preserve"> </w:t>
      </w:r>
      <w:r>
        <w:t xml:space="preserve">is the Federal Funds target rate. This is a</w:t>
      </w:r>
      <w:r>
        <w:t xml:space="preserve"> </w:t>
      </w:r>
      <w:r>
        <w:rPr>
          <w:b/>
          <w:bCs/>
        </w:rPr>
        <w:t xml:space="preserve">naive proxy</w:t>
      </w:r>
      <w:r>
        <w:t xml:space="preserve"> </w:t>
      </w:r>
      <w:r>
        <w:t xml:space="preserve">— it equals zero for all</w:t>
      </w:r>
      <w:r>
        <w:t xml:space="preserve"> </w:t>
      </w:r>
      <w:r>
        <w:t xml:space="preserve">“</w:t>
      </w:r>
      <w:r>
        <w:t xml:space="preserve">unchanged</w:t>
      </w:r>
      <w:r>
        <w:t xml:space="preserve">”</w:t>
      </w:r>
      <w:r>
        <w:t xml:space="preserve"> </w:t>
      </w:r>
      <w:r>
        <w:t xml:space="preserve">meetings, which constitute the majority of the sample.</w:t>
      </w:r>
    </w:p>
    <w:bookmarkEnd w:id="37"/>
    <w:bookmarkStart w:id="38" w:name="target-implementation-kuttner-2001"/>
    <w:p>
      <w:pPr>
        <w:pStyle w:val="Heading3"/>
      </w:pPr>
      <w:r>
        <w:t xml:space="preserve">4.3 Target Implementation: Kuttner (2001)</w:t>
      </w:r>
    </w:p>
    <w:p>
      <w:pPr>
        <w:pStyle w:val="FirstParagraph"/>
      </w:pPr>
      <w:r>
        <w:t xml:space="preserve">Once WRDS is operational, the correct surprise measure is:</w:t>
      </w:r>
    </w:p>
    <w:p>
      <w:pPr>
        <w:pStyle w:val="BodyText"/>
      </w:pPr>
      <m:oMathPara>
        <m:oMathParaPr>
          <m:jc m:val="center"/>
        </m:oMathParaPr>
        <m:oMath>
          <m:sSub>
            <m:e>
              <m:r>
                <m:rPr>
                  <m:nor/>
                  <m:sty m:val="p"/>
                </m:rPr>
                <m:t>Target Surprise</m:t>
              </m:r>
            </m:e>
            <m:sub>
              <m:r>
                <m:t>t</m:t>
              </m:r>
            </m:sub>
          </m:sSub>
          <m:r>
            <m:rPr>
              <m:sty m:val="p"/>
            </m:rPr>
            <m:t>=</m:t>
          </m:r>
          <m:f>
            <m:fPr>
              <m:type m:val="bar"/>
            </m:fPr>
            <m:num>
              <m:sSubSup>
                <m:e>
                  <m:r>
                    <m:t>F</m:t>
                  </m:r>
                </m:e>
                <m:sub>
                  <m:r>
                    <m:t>t</m:t>
                  </m:r>
                </m:sub>
                <m:sup>
                  <m:r>
                    <m:rPr>
                      <m:nor/>
                      <m:sty m:val="p"/>
                    </m:rPr>
                    <m:t>close</m:t>
                  </m:r>
                </m:sup>
              </m:sSubSup>
              <m:r>
                <m:rPr>
                  <m:sty m:val="p"/>
                </m:rPr>
                <m:t>−</m:t>
              </m:r>
              <m:sSubSup>
                <m:e>
                  <m:r>
                    <m:t>F</m:t>
                  </m:r>
                </m:e>
                <m:sub>
                  <m:r>
                    <m:t>t</m:t>
                  </m:r>
                  <m:r>
                    <m:rPr>
                      <m:sty m:val="p"/>
                    </m:rPr>
                    <m:t>−</m:t>
                  </m:r>
                  <m:r>
                    <m:t>1</m:t>
                  </m:r>
                </m:sub>
                <m:sup>
                  <m:r>
                    <m:rPr>
                      <m:nor/>
                      <m:sty m:val="p"/>
                    </m:rPr>
                    <m:t>close</m:t>
                  </m:r>
                </m:sup>
              </m:sSubSup>
            </m:num>
            <m:den>
              <m:r>
                <m:t>1</m:t>
              </m:r>
              <m:r>
                <m:rPr>
                  <m:sty m:val="p"/>
                </m:rPr>
                <m:t>−</m:t>
              </m:r>
              <m:r>
                <m:t>D</m:t>
              </m:r>
              <m:r>
                <m:rPr>
                  <m:sty m:val="p"/>
                </m:rPr>
                <m:t>⋅</m:t>
              </m:r>
              <m:sSubSup>
                <m:e>
                  <m:r>
                    <m:t>F</m:t>
                  </m:r>
                </m:e>
                <m:sub>
                  <m:r>
                    <m:t>t</m:t>
                  </m:r>
                </m:sub>
                <m:sup>
                  <m:r>
                    <m:rPr>
                      <m:nor/>
                      <m:sty m:val="p"/>
                    </m:rPr>
                    <m:t>close</m:t>
                  </m:r>
                </m:sup>
              </m:sSubSup>
              <m:r>
                <m:rPr>
                  <m:sty m:val="p"/>
                </m:rPr>
                <m:t>/</m:t>
              </m:r>
              <m:r>
                <m:t>100</m:t>
              </m:r>
            </m:den>
          </m:f>
        </m:oMath>
      </m:oMathPara>
    </w:p>
    <w:p>
      <w:pPr>
        <w:pStyle w:val="FirstParagraph"/>
      </w:pPr>
      <w:r>
        <w:t xml:space="preserve">where:</w:t>
      </w:r>
      <w:r>
        <w:t xml:space="preserve"> </w:t>
      </w:r>
      <w:r>
        <w:t xml:space="preserve">-</w:t>
      </w:r>
      <w:r>
        <w:t xml:space="preserve"> </w:t>
      </w:r>
      <m:oMath>
        <m:sSubSup>
          <m:e>
            <m:r>
              <m:t>F</m:t>
            </m:r>
          </m:e>
          <m:sub>
            <m:r>
              <m:t>t</m:t>
            </m:r>
          </m:sub>
          <m:sup>
            <m:r>
              <m:rPr>
                <m:nor/>
                <m:sty m:val="p"/>
              </m:rPr>
              <m:t>close</m:t>
            </m:r>
          </m:sup>
        </m:sSubSup>
      </m:oMath>
      <w:r>
        <w:t xml:space="preserve"> </w:t>
      </w:r>
      <w:r>
        <w:t xml:space="preserve">= settlement price of the current-month Fed Funds futures contract on FOMC day</w:t>
      </w:r>
      <w:r>
        <w:t xml:space="preserve"> </w:t>
      </w:r>
      <w:r>
        <w:t xml:space="preserve">-</w:t>
      </w:r>
      <w:r>
        <w:t xml:space="preserve"> </w:t>
      </w:r>
      <m:oMath>
        <m:sSubSup>
          <m:e>
            <m:r>
              <m:t>F</m:t>
            </m:r>
          </m:e>
          <m:sub>
            <m:r>
              <m:t>t</m:t>
            </m:r>
            <m:r>
              <m:rPr>
                <m:sty m:val="p"/>
              </m:rPr>
              <m:t>−</m:t>
            </m:r>
            <m:r>
              <m:t>1</m:t>
            </m:r>
          </m:sub>
          <m:sup>
            <m:r>
              <m:rPr>
                <m:nor/>
                <m:sty m:val="p"/>
              </m:rPr>
              <m:t>close</m:t>
            </m:r>
          </m:sup>
        </m:sSubSup>
      </m:oMath>
      <w:r>
        <w:t xml:space="preserve"> </w:t>
      </w:r>
      <w:r>
        <w:t xml:space="preserve">= same contract’s settlement price on the day before</w:t>
      </w:r>
      <w:r>
        <w:t xml:space="preserve"> </w:t>
      </w:r>
      <w:r>
        <w:t xml:space="preserve">-</w:t>
      </w:r>
      <w:r>
        <w:t xml:space="preserve"> </w:t>
      </w:r>
      <m:oMath>
        <m:r>
          <m:t>D</m:t>
        </m:r>
      </m:oMath>
      <w:r>
        <w:t xml:space="preserve"> </w:t>
      </w:r>
      <w:r>
        <w:t xml:space="preserve">= day-of-month (scaling factor for within-month timing)</w:t>
      </w:r>
    </w:p>
    <w:p>
      <w:pPr>
        <w:pStyle w:val="BodyText"/>
      </w:pPr>
      <w:r>
        <w:t xml:space="preserve">For scheduled meetings, this captures the</w:t>
      </w:r>
      <w:r>
        <w:t xml:space="preserve"> </w:t>
      </w:r>
      <w:r>
        <w:rPr>
          <w:b/>
          <w:bCs/>
        </w:rPr>
        <w:t xml:space="preserve">unexpected component</w:t>
      </w:r>
      <w:r>
        <w:t xml:space="preserve"> </w:t>
      </w:r>
      <w:r>
        <w:t xml:space="preserve">of the rate decision.</w:t>
      </w:r>
    </w:p>
    <w:bookmarkEnd w:id="38"/>
    <w:bookmarkStart w:id="39" w:name="path-factor-gürkaynak-et-al.-2005"/>
    <w:p>
      <w:pPr>
        <w:pStyle w:val="Heading3"/>
      </w:pPr>
      <w:r>
        <w:t xml:space="preserve">4.4 Path Factor: Gürkaynak et al. (2005)</w:t>
      </w:r>
    </w:p>
    <w:p>
      <w:pPr>
        <w:pStyle w:val="FirstParagraph"/>
      </w:pPr>
      <m:oMathPara>
        <m:oMathParaPr>
          <m:jc m:val="center"/>
        </m:oMathParaPr>
        <m:oMath>
          <m:sSub>
            <m:e>
              <m:r>
                <m:rPr>
                  <m:nor/>
                  <m:sty m:val="p"/>
                </m:rPr>
                <m:t>Path Factor</m:t>
              </m:r>
            </m:e>
            <m:sub>
              <m:r>
                <m:t>t</m:t>
              </m:r>
            </m:sub>
          </m:sSub>
          <m:r>
            <m:rPr>
              <m:sty m:val="p"/>
            </m:rPr>
            <m:t>=</m:t>
          </m:r>
          <m:sSubSup>
            <m:e>
              <m:r>
                <m:rPr>
                  <m:nor/>
                  <m:sty m:val="p"/>
                </m:rPr>
                <m:t>Surprise</m:t>
              </m:r>
            </m:e>
            <m:sub>
              <m:r>
                <m:t>t</m:t>
              </m:r>
            </m:sub>
            <m:sup>
              <m:r>
                <m:rPr>
                  <m:nor/>
                  <m:sty m:val="p"/>
                </m:rPr>
                <m:t>ED2</m:t>
              </m:r>
            </m:sup>
          </m:sSubSup>
          <m:r>
            <m:rPr>
              <m:sty m:val="p"/>
            </m:rPr>
            <m:t>−</m:t>
          </m:r>
          <m:sSubSup>
            <m:e>
              <m:r>
                <m:rPr>
                  <m:nor/>
                  <m:sty m:val="p"/>
                </m:rPr>
                <m:t>Surprise</m:t>
              </m:r>
            </m:e>
            <m:sub>
              <m:r>
                <m:t>t</m:t>
              </m:r>
            </m:sub>
            <m:sup>
              <m:r>
                <m:rPr>
                  <m:nor/>
                  <m:sty m:val="p"/>
                </m:rPr>
                <m:t>ED1</m:t>
              </m:r>
            </m:sup>
          </m:sSubSup>
        </m:oMath>
      </m:oMathPara>
    </w:p>
    <w:p>
      <w:pPr>
        <w:pStyle w:val="FirstParagraph"/>
      </w:pPr>
      <w:r>
        <w:t xml:space="preserve">where</w:t>
      </w:r>
      <w:r>
        <w:t xml:space="preserve"> </w:t>
      </w:r>
      <m:oMath>
        <m:r>
          <m:rPr>
            <m:nor/>
            <m:sty m:val="p"/>
          </m:rPr>
          <m:t>ED1</m:t>
        </m:r>
      </m:oMath>
      <w:r>
        <w:t xml:space="preserve">,</w:t>
      </w:r>
      <w:r>
        <w:t xml:space="preserve"> </w:t>
      </w:r>
      <m:oMath>
        <m:r>
          <m:rPr>
            <m:nor/>
            <m:sty m:val="p"/>
          </m:rPr>
          <m:t>ED2</m:t>
        </m:r>
      </m:oMath>
      <w:r>
        <w:t xml:space="preserve"> </w:t>
      </w:r>
      <w:r>
        <w:t xml:space="preserve">are the first and second Eurodollar futures surprises. This captures</w:t>
      </w:r>
      <w:r>
        <w:t xml:space="preserve"> </w:t>
      </w:r>
      <w:r>
        <w:rPr>
          <w:b/>
          <w:bCs/>
        </w:rPr>
        <w:t xml:space="preserve">forward guidance</w:t>
      </w:r>
      <w:r>
        <w:t xml:space="preserve"> </w:t>
      </w:r>
      <w:r>
        <w:t xml:space="preserve">— changes in expected future rate path beyond the current meeting.</w:t>
      </w:r>
    </w:p>
    <w:p>
      <w:r>
        <w:pict>
          <v:rect style="width:0;height:1.5pt" o:hralign="center" o:hrstd="t" o:hr="t"/>
        </w:pict>
      </w:r>
    </w:p>
    <w:bookmarkEnd w:id="39"/>
    <w:bookmarkEnd w:id="40"/>
    <w:bookmarkStart w:id="46" w:name="hypothesis-testing-framework"/>
    <w:p>
      <w:pPr>
        <w:pStyle w:val="Heading2"/>
      </w:pPr>
      <w:r>
        <w:t xml:space="preserve">5. Hypothesis Testing Framework</w:t>
      </w:r>
    </w:p>
    <w:bookmarkStart w:id="41" w:name="h1-sentiment-surprise"/>
    <w:p>
      <w:pPr>
        <w:pStyle w:val="Heading3"/>
      </w:pPr>
      <w:r>
        <w:t xml:space="preserve">5.1 H1: Sentiment ↔ Surprise</w:t>
      </w:r>
    </w:p>
    <w:p>
      <w:pPr>
        <w:pStyle w:val="FirstParagraph"/>
      </w:pPr>
      <w:r>
        <w:rPr>
          <w:b/>
          <w:bCs/>
        </w:rPr>
        <w:t xml:space="preserve">Test</w:t>
      </w:r>
      <w:r>
        <w:t xml:space="preserve">: Does FOMC statement sentiment respond to monetary policy surprises?</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Method</w:t>
      </w:r>
      <w:r>
        <w:t xml:space="preserve">: OLS with Newey-West HAC standard errors (lag = 1)</w:t>
      </w:r>
    </w:p>
    <w:p>
      <w:pPr>
        <w:pStyle w:val="BodyText"/>
      </w:pPr>
      <w:r>
        <w:rPr>
          <w:b/>
          <w:bCs/>
        </w:rPr>
        <w:t xml:space="preserve">Current result (v6.1)</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R²</w:t>
            </w:r>
          </w:p>
        </w:tc>
        <w:tc>
          <w:tcPr/>
          <w:p>
            <w:pPr>
              <w:pStyle w:val="Compact"/>
              <w:jc w:val="center"/>
            </w:pPr>
            <w:r>
              <w:t xml:space="preserve">0.0406</w:t>
            </w:r>
          </w:p>
        </w:tc>
      </w:tr>
      <w:tr>
        <w:tc>
          <w:tcPr/>
          <w:p>
            <w:pPr>
              <w:pStyle w:val="Compact"/>
              <w:jc w:val="left"/>
            </w:pPr>
            <w:r>
              <w:t xml:space="preserve">β₁ (target)</w:t>
            </w:r>
          </w:p>
        </w:tc>
        <w:tc>
          <w:tcPr/>
          <w:p>
            <w:pPr>
              <w:pStyle w:val="Compact"/>
              <w:jc w:val="center"/>
            </w:pPr>
            <w:r>
              <w:t xml:space="preserve">0.000290</w:t>
            </w:r>
          </w:p>
        </w:tc>
      </w:tr>
      <w:tr>
        <w:tc>
          <w:tcPr/>
          <w:p>
            <w:pPr>
              <w:pStyle w:val="Compact"/>
              <w:jc w:val="left"/>
            </w:pPr>
            <w:r>
              <w:t xml:space="preserve">p(target)</w:t>
            </w:r>
          </w:p>
        </w:tc>
        <w:tc>
          <w:tcPr/>
          <w:p>
            <w:pPr>
              <w:pStyle w:val="Compact"/>
              <w:jc w:val="center"/>
            </w:pPr>
            <w:r>
              <w:t xml:space="preserve">0.062*</w:t>
            </w:r>
          </w:p>
        </w:tc>
      </w:tr>
      <w:tr>
        <w:tc>
          <w:tcPr/>
          <w:p>
            <w:pPr>
              <w:pStyle w:val="Compact"/>
              <w:jc w:val="left"/>
            </w:pPr>
            <w:r>
              <w:t xml:space="preserve">β₂ (path)</w:t>
            </w:r>
          </w:p>
        </w:tc>
        <w:tc>
          <w:tcPr/>
          <w:p>
            <w:pPr>
              <w:pStyle w:val="Compact"/>
              <w:jc w:val="center"/>
            </w:pPr>
            <w:r>
              <w:t xml:space="preserve">0.000469</w:t>
            </w:r>
          </w:p>
        </w:tc>
      </w:tr>
      <w:tr>
        <w:tc>
          <w:tcPr/>
          <w:p>
            <w:pPr>
              <w:pStyle w:val="Compact"/>
              <w:jc w:val="left"/>
            </w:pPr>
            <w:r>
              <w:t xml:space="preserve">p(path)</w:t>
            </w:r>
          </w:p>
        </w:tc>
        <w:tc>
          <w:tcPr/>
          <w:p>
            <w:pPr>
              <w:pStyle w:val="Compact"/>
              <w:jc w:val="center"/>
            </w:pPr>
            <w:r>
              <w:t xml:space="preserve">0.047**</w:t>
            </w:r>
          </w:p>
        </w:tc>
      </w:tr>
      <w:tr>
        <w:tc>
          <w:tcPr/>
          <w:p>
            <w:pPr>
              <w:pStyle w:val="Compact"/>
              <w:jc w:val="left"/>
            </w:pPr>
            <w:r>
              <w:t xml:space="preserve">N</w:t>
            </w:r>
          </w:p>
        </w:tc>
        <w:tc>
          <w:tcPr/>
          <w:p>
            <w:pPr>
              <w:pStyle w:val="Compact"/>
              <w:jc w:val="center"/>
            </w:pPr>
            <w:r>
              <w:t xml:space="preserve">117</w:t>
            </w:r>
          </w:p>
        </w:tc>
      </w:tr>
      <w:tr>
        <w:tc>
          <w:tcPr/>
          <w:p>
            <w:pPr>
              <w:pStyle w:val="Compact"/>
              <w:jc w:val="left"/>
            </w:pPr>
            <w:r>
              <w:t xml:space="preserve">Period</w:t>
            </w:r>
          </w:p>
        </w:tc>
        <w:tc>
          <w:tcPr/>
          <w:p>
            <w:pPr>
              <w:pStyle w:val="Compact"/>
              <w:jc w:val="center"/>
            </w:pPr>
            <w:r>
              <w:t xml:space="preserve">2006-01-31 to 2022-07-27</w:t>
            </w:r>
          </w:p>
        </w:tc>
      </w:tr>
    </w:tbl>
    <w:p>
      <w:pPr>
        <w:pStyle w:val="BodyText"/>
      </w:pPr>
      <w:r>
        <w:t xml:space="preserve">*Significance: *** p&lt;0.01, ** p&lt;0.05, * p&lt;0.10</w:t>
      </w:r>
    </w:p>
    <w:p>
      <w:pPr>
        <w:pStyle w:val="BodyText"/>
      </w:pPr>
      <w:r>
        <w:rPr>
          <w:b/>
          <w:bCs/>
        </w:rPr>
        <w:t xml:space="preserve">Interpretation</w:t>
      </w:r>
      <w:r>
        <w:t xml:space="preserve">: Both target and path shocks are marginally significant predictors of FOMC statement sentiment. The path factor (forward guidance) is significant at 5%, while the target surprise is significant at 10%. This is consistent with the view that FOMC statement language responds to both the current rate decision and the expected future path.</w:t>
      </w:r>
    </w:p>
    <w:p>
      <w:pPr>
        <w:pStyle w:val="BodyText"/>
      </w:pPr>
      <w:r>
        <w:rPr>
          <w:b/>
          <w:bCs/>
        </w:rPr>
        <w:t xml:space="preserve">Comparison with literature</w:t>
      </w:r>
      <w:r>
        <w:t xml:space="preserve">: R² = 4.06% is substantially higher than the v4 result (0.39% with naive proxy) but still below the literature benchmark (~2.76% in Gürkaynak et al. 2005 for asset returns). The improvement is driven by (1) using market-based surprises instead of Δr, and (2) the enhanced CB dictionary with fixed overlap.</w:t>
      </w:r>
    </w:p>
    <w:p>
      <w:pPr>
        <w:pStyle w:val="BodyText"/>
      </w:pPr>
      <w:r>
        <w:rPr>
          <w:b/>
          <w:bCs/>
        </w:rPr>
        <w:t xml:space="preserve">Newey-West lag choice</w:t>
      </w:r>
      <w:r>
        <w:t xml:space="preserve">: We use lag = 1, which is conservative. The standard Bartlett formula suggests lag ≈ 4 for T = 117, but FOMC meetings are irregularly spaced (6–8 per year), making the autocorrelation structure different from daily data. Lag = 1 is defensible for event-time data but may understate standard errors. This is documented as a limitation.</w:t>
      </w:r>
    </w:p>
    <w:bookmarkEnd w:id="41"/>
    <w:bookmarkStart w:id="42" w:name="h2-asset-return-response-to-shocks"/>
    <w:p>
      <w:pPr>
        <w:pStyle w:val="Heading3"/>
      </w:pPr>
      <w:r>
        <w:t xml:space="preserve">5.2 H2: Asset Return Response to Shocks</w:t>
      </w:r>
    </w:p>
    <w:p>
      <w:pPr>
        <w:pStyle w:val="FirstParagraph"/>
      </w:pPr>
      <w:r>
        <w:rPr>
          <w:b/>
          <w:bCs/>
        </w:rPr>
        <w:t xml:space="preserve">Test</w:t>
      </w:r>
      <w:r>
        <w:t xml:space="preserve">: How do asset returns respond to target and path surprises?</w:t>
      </w:r>
    </w:p>
    <w:p>
      <w:pPr>
        <w:pStyle w:val="BodyText"/>
      </w:pPr>
      <m:oMathPara>
        <m:oMathParaPr>
          <m:jc m:val="center"/>
        </m:oMathParaPr>
        <m:oMath>
          <m:sSub>
            <m:e>
              <m:r>
                <m:t>R</m:t>
              </m:r>
            </m:e>
            <m:sub>
              <m:r>
                <m:t>i</m:t>
              </m:r>
              <m:r>
                <m:rPr>
                  <m:sty m:val="p"/>
                </m:rPr>
                <m:t>,</m:t>
              </m:r>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Current results (v6.1)</w:t>
      </w:r>
      <w: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Asset</w:t>
            </w:r>
          </w:p>
        </w:tc>
        <w:tc>
          <w:tcPr/>
          <w:p>
            <w:pPr>
              <w:pStyle w:val="Compact"/>
              <w:jc w:val="center"/>
            </w:pPr>
            <w:r>
              <w:t xml:space="preserve">R²</w:t>
            </w:r>
          </w:p>
        </w:tc>
        <w:tc>
          <w:tcPr/>
          <w:p>
            <w:pPr>
              <w:pStyle w:val="Compact"/>
              <w:jc w:val="center"/>
            </w:pPr>
            <w:r>
              <w:t xml:space="preserve">β₁ (target)</w:t>
            </w:r>
          </w:p>
        </w:tc>
        <w:tc>
          <w:tcPr/>
          <w:p>
            <w:pPr>
              <w:pStyle w:val="Compact"/>
              <w:jc w:val="center"/>
            </w:pPr>
            <w:r>
              <w:t xml:space="preserve">p(target)</w:t>
            </w:r>
          </w:p>
        </w:tc>
        <w:tc>
          <w:tcPr/>
          <w:p>
            <w:pPr>
              <w:pStyle w:val="Compact"/>
              <w:jc w:val="center"/>
            </w:pPr>
            <w:r>
              <w:t xml:space="preserve">β₂ (path)</w:t>
            </w:r>
          </w:p>
        </w:tc>
        <w:tc>
          <w:tcPr/>
          <w:p>
            <w:pPr>
              <w:pStyle w:val="Compact"/>
              <w:jc w:val="center"/>
            </w:pPr>
            <w:r>
              <w:t xml:space="preserve">p(path)</w:t>
            </w:r>
          </w:p>
        </w:tc>
        <w:tc>
          <w:tcPr/>
          <w:p>
            <w:pPr>
              <w:pStyle w:val="Compact"/>
              <w:jc w:val="center"/>
            </w:pPr>
            <w:r>
              <w:t xml:space="preserve">N</w:t>
            </w:r>
          </w:p>
        </w:tc>
      </w:tr>
      <w:tr>
        <w:tc>
          <w:tcPr/>
          <w:p>
            <w:pPr>
              <w:pStyle w:val="Compact"/>
              <w:jc w:val="left"/>
            </w:pPr>
            <w:r>
              <w:t xml:space="preserve">S&amp;P 500</w:t>
            </w:r>
          </w:p>
        </w:tc>
        <w:tc>
          <w:tcPr/>
          <w:p>
            <w:pPr>
              <w:pStyle w:val="Compact"/>
              <w:jc w:val="center"/>
            </w:pPr>
            <w:r>
              <w:t xml:space="preserve">0.0291</w:t>
            </w:r>
          </w:p>
        </w:tc>
        <w:tc>
          <w:tcPr/>
          <w:p>
            <w:pPr>
              <w:pStyle w:val="Compact"/>
              <w:jc w:val="center"/>
            </w:pPr>
            <w:r>
              <w:t xml:space="preserve">—</w:t>
            </w:r>
          </w:p>
        </w:tc>
        <w:tc>
          <w:tcPr/>
          <w:p>
            <w:pPr>
              <w:pStyle w:val="Compact"/>
              <w:jc w:val="center"/>
            </w:pPr>
            <w:r>
              <w:t xml:space="preserve">0.100</w:t>
            </w:r>
          </w:p>
        </w:tc>
        <w:tc>
          <w:tcPr/>
          <w:p>
            <w:pPr>
              <w:pStyle w:val="Compact"/>
              <w:jc w:val="center"/>
            </w:pPr>
            <w:r>
              <w:t xml:space="preserve">—</w:t>
            </w:r>
          </w:p>
        </w:tc>
        <w:tc>
          <w:tcPr/>
          <w:p>
            <w:pPr>
              <w:pStyle w:val="Compact"/>
              <w:jc w:val="center"/>
            </w:pPr>
            <w:r>
              <w:t xml:space="preserve">0.565</w:t>
            </w:r>
          </w:p>
        </w:tc>
        <w:tc>
          <w:tcPr/>
          <w:p>
            <w:pPr>
              <w:pStyle w:val="Compact"/>
              <w:jc w:val="center"/>
            </w:pPr>
            <w:r>
              <w:t xml:space="preserve">117</w:t>
            </w:r>
          </w:p>
        </w:tc>
      </w:tr>
      <w:tr>
        <w:tc>
          <w:tcPr/>
          <w:p>
            <w:pPr>
              <w:pStyle w:val="Compact"/>
              <w:jc w:val="left"/>
            </w:pPr>
            <w:r>
              <w:t xml:space="preserve">VIX</w:t>
            </w:r>
          </w:p>
        </w:tc>
        <w:tc>
          <w:tcPr/>
          <w:p>
            <w:pPr>
              <w:pStyle w:val="Compact"/>
              <w:jc w:val="center"/>
            </w:pPr>
            <w:r>
              <w:t xml:space="preserve">0.0793</w:t>
            </w:r>
          </w:p>
        </w:tc>
        <w:tc>
          <w:tcPr/>
          <w:p>
            <w:pPr>
              <w:pStyle w:val="Compact"/>
              <w:jc w:val="center"/>
            </w:pPr>
            <w:r>
              <w:t xml:space="preserve">—</w:t>
            </w:r>
          </w:p>
        </w:tc>
        <w:tc>
          <w:tcPr/>
          <w:p>
            <w:pPr>
              <w:pStyle w:val="Compact"/>
              <w:jc w:val="center"/>
            </w:pPr>
            <w:r>
              <w:t xml:space="preserve">0.122</w:t>
            </w:r>
          </w:p>
        </w:tc>
        <w:tc>
          <w:tcPr/>
          <w:p>
            <w:pPr>
              <w:pStyle w:val="Compact"/>
              <w:jc w:val="center"/>
            </w:pPr>
            <w:r>
              <w:t xml:space="preserve">—</w:t>
            </w:r>
          </w:p>
        </w:tc>
        <w:tc>
          <w:tcPr/>
          <w:p>
            <w:pPr>
              <w:pStyle w:val="Compact"/>
              <w:jc w:val="center"/>
            </w:pPr>
            <w:r>
              <w:t xml:space="preserve">0.269</w:t>
            </w:r>
          </w:p>
        </w:tc>
        <w:tc>
          <w:tcPr/>
          <w:p>
            <w:pPr>
              <w:pStyle w:val="Compact"/>
              <w:jc w:val="center"/>
            </w:pPr>
            <w:r>
              <w:t xml:space="preserve">117</w:t>
            </w:r>
          </w:p>
        </w:tc>
      </w:tr>
      <w:tr>
        <w:tc>
          <w:tcPr/>
          <w:p>
            <w:pPr>
              <w:pStyle w:val="Compact"/>
              <w:jc w:val="left"/>
            </w:pPr>
            <w:r>
              <w:t xml:space="preserve">Rate Change</w:t>
            </w:r>
          </w:p>
        </w:tc>
        <w:tc>
          <w:tcPr/>
          <w:p>
            <w:pPr>
              <w:pStyle w:val="Compact"/>
              <w:jc w:val="center"/>
            </w:pPr>
            <w:r>
              <w:t xml:space="preserve">0.1847</w:t>
            </w:r>
          </w:p>
        </w:tc>
        <w:tc>
          <w:tcPr/>
          <w:p>
            <w:pPr>
              <w:pStyle w:val="Compact"/>
              <w:jc w:val="center"/>
            </w:pPr>
            <w:r>
              <w:t xml:space="preserve">—</w:t>
            </w:r>
          </w:p>
        </w:tc>
        <w:tc>
          <w:tcPr/>
          <w:p>
            <w:pPr>
              <w:pStyle w:val="Compact"/>
              <w:jc w:val="center"/>
            </w:pPr>
            <w:r>
              <w:t xml:space="preserve">0.067*</w:t>
            </w:r>
          </w:p>
        </w:tc>
        <w:tc>
          <w:tcPr/>
          <w:p>
            <w:pPr>
              <w:pStyle w:val="Compact"/>
              <w:jc w:val="center"/>
            </w:pPr>
            <w:r>
              <w:t xml:space="preserve">—</w:t>
            </w:r>
          </w:p>
        </w:tc>
        <w:tc>
          <w:tcPr/>
          <w:p>
            <w:pPr>
              <w:pStyle w:val="Compact"/>
              <w:jc w:val="center"/>
            </w:pPr>
            <w:r>
              <w:t xml:space="preserve">0.013**</w:t>
            </w:r>
          </w:p>
        </w:tc>
        <w:tc>
          <w:tcPr/>
          <w:p>
            <w:pPr>
              <w:pStyle w:val="Compact"/>
              <w:jc w:val="center"/>
            </w:pPr>
            <w:r>
              <w:t xml:space="preserve">117</w:t>
            </w:r>
          </w:p>
        </w:tc>
      </w:tr>
    </w:tbl>
    <w:p>
      <w:pPr>
        <w:pStyle w:val="BodyText"/>
      </w:pPr>
      <w:r>
        <w:rPr>
          <w:b/>
          <w:bCs/>
        </w:rPr>
        <w:t xml:space="preserve">Interpretation</w:t>
      </w:r>
      <w:r>
        <w:t xml:space="preserve">: The rate change regression has the highest R² (18.5%), with the path factor significant at 5%. This is expected — the path factor captures forward guidance about future rate changes. S&amp;P 500 and VIX show marginal target shock effects (p ≈ 0.10–0.12) but no path factor significance, suggesting that equity and volatility markets respond primarily to the current rate decision rather than forward guidance.</w:t>
      </w:r>
    </w:p>
    <w:p>
      <w:pPr>
        <w:pStyle w:val="BodyText"/>
      </w:pPr>
      <w:r>
        <w:rPr>
          <w:b/>
          <w:bCs/>
        </w:rPr>
        <w:t xml:space="preserve">Note</w:t>
      </w:r>
      <w:r>
        <w:t xml:space="preserve">: The asset return data in the current dataset is limited (only</w:t>
      </w:r>
      <w:r>
        <w:t xml:space="preserve"> </w:t>
      </w:r>
      <w:r>
        <w:rPr>
          <w:rStyle w:val="VerbatimChar"/>
        </w:rPr>
        <w:t xml:space="preserve">sp500_ret</w:t>
      </w:r>
      <w:r>
        <w:t xml:space="preserve"> </w:t>
      </w:r>
      <w:r>
        <w:t xml:space="preserve">and</w:t>
      </w:r>
      <w:r>
        <w:t xml:space="preserve"> </w:t>
      </w:r>
      <w:r>
        <w:rPr>
          <w:rStyle w:val="VerbatimChar"/>
        </w:rPr>
        <w:t xml:space="preserve">vix</w:t>
      </w:r>
      <w:r>
        <w:t xml:space="preserve"> </w:t>
      </w:r>
      <w:r>
        <w:t xml:space="preserve">columns are available). With WRDS CRSP data, we can expand to delisted-return-adjusted equity returns and more granular asset classes.</w:t>
      </w:r>
    </w:p>
    <w:bookmarkEnd w:id="42"/>
    <w:bookmarkStart w:id="43" w:name="h3-two-shocks-decomposition"/>
    <w:p>
      <w:pPr>
        <w:pStyle w:val="Heading3"/>
      </w:pPr>
      <w:r>
        <w:t xml:space="preserve">5.3 H3: Two-Shocks Decomposition</w:t>
      </w:r>
    </w:p>
    <w:p>
      <w:pPr>
        <w:pStyle w:val="FirstParagraph"/>
      </w:pPr>
      <w:r>
        <w:rPr>
          <w:b/>
          <w:bCs/>
        </w:rPr>
        <w:t xml:space="preserve">Test</w:t>
      </w:r>
      <w:r>
        <w:t xml:space="preserve">: Decompose the FOMC announcement effect into a</w:t>
      </w:r>
      <w:r>
        <w:t xml:space="preserve"> </w:t>
      </w:r>
      <w:r>
        <w:rPr>
          <w:b/>
          <w:bCs/>
        </w:rPr>
        <w:t xml:space="preserve">policy shock</w:t>
      </w:r>
      <w:r>
        <w:t xml:space="preserve"> </w:t>
      </w:r>
      <w:r>
        <w:t xml:space="preserve">and an</w:t>
      </w:r>
      <w:r>
        <w:t xml:space="preserve"> </w:t>
      </w:r>
      <w:r>
        <w:rPr>
          <w:b/>
          <w:bCs/>
        </w:rPr>
        <w:t xml:space="preserve">information shock</w:t>
      </w:r>
      <w:r>
        <w:t xml:space="preserve">.</w:t>
      </w:r>
    </w:p>
    <w:p>
      <w:pPr>
        <w:pStyle w:val="BodyText"/>
      </w:pPr>
      <w:r>
        <w:rPr>
          <w:b/>
          <w:bCs/>
        </w:rPr>
        <w:t xml:space="preserve">Method</w:t>
      </w:r>
      <w:r>
        <w:t xml:space="preserve"> </w:t>
      </w:r>
      <w:r>
        <w:t xml:space="preserve">(following Jarociński &amp; Karadi 2020; Nakamura &amp; Steinsson 2018):</w:t>
      </w:r>
    </w:p>
    <w:p>
      <w:pPr>
        <w:numPr>
          <w:ilvl w:val="0"/>
          <w:numId w:val="1005"/>
        </w:numPr>
      </w:pPr>
      <w:r>
        <w:rPr>
          <w:b/>
          <w:bCs/>
        </w:rPr>
        <w:t xml:space="preserve">Standardize</w:t>
      </w:r>
      <w:r>
        <w:t xml:space="preserve"> </w:t>
      </w:r>
      <w:r>
        <w:t xml:space="preserve">all variables via z-score:</w:t>
      </w:r>
    </w:p>
    <w:p>
      <w:pPr>
        <w:pStyle w:val="BodyText"/>
      </w:pPr>
      <m:oMathPara>
        <m:oMathParaPr>
          <m:jc m:val="center"/>
        </m:oMathParaPr>
        <m:oMath>
          <m:sSub>
            <m:e>
              <m:r>
                <m:t>z</m:t>
              </m:r>
            </m:e>
            <m:sub>
              <m:r>
                <m:t>t</m:t>
              </m:r>
            </m:sub>
          </m:sSub>
          <m:r>
            <m:rPr>
              <m:sty m:val="p"/>
            </m:rPr>
            <m:t>=</m:t>
          </m:r>
          <m:f>
            <m:fPr>
              <m:type m:val="bar"/>
            </m:fPr>
            <m:num>
              <m:sSub>
                <m:e>
                  <m:r>
                    <m:t>x</m:t>
                  </m:r>
                </m:e>
                <m:sub>
                  <m:r>
                    <m:t>t</m:t>
                  </m:r>
                </m:sub>
              </m:sSub>
              <m:r>
                <m:rPr>
                  <m:sty m:val="p"/>
                </m:rPr>
                <m:t>−</m:t>
              </m:r>
              <m:acc>
                <m:accPr>
                  <m:chr m:val="‾"/>
                </m:accPr>
                <m:e>
                  <m:r>
                    <m:t>x</m:t>
                  </m:r>
                </m:e>
              </m:acc>
            </m:num>
            <m:den>
              <m:sSub>
                <m:e>
                  <m:r>
                    <m:t>s</m:t>
                  </m:r>
                </m:e>
                <m:sub>
                  <m:r>
                    <m:t>x</m:t>
                  </m:r>
                </m:sub>
              </m:sSub>
            </m:den>
          </m:f>
        </m:oMath>
      </m:oMathPara>
    </w:p>
    <w:p>
      <w:pPr>
        <w:numPr>
          <w:ilvl w:val="0"/>
          <w:numId w:val="1005"/>
        </w:numPr>
      </w:pPr>
      <w:r>
        <w:rPr>
          <w:b/>
          <w:bCs/>
        </w:rPr>
        <w:t xml:space="preserve">Policy shock</w:t>
      </w:r>
      <w:r>
        <w:t xml:space="preserve"> </w:t>
      </w:r>
      <w:r>
        <w:t xml:space="preserve">= standardized rate change:</w:t>
      </w:r>
    </w:p>
    <w:p>
      <w:pPr>
        <w:pStyle w:val="BodyText"/>
      </w:pPr>
      <m:oMathPara>
        <m:oMathParaPr>
          <m:jc m:val="center"/>
        </m:oMathParaPr>
        <m:oMath>
          <m:sSub>
            <m:e>
              <m:r>
                <m:rPr>
                  <m:nor/>
                  <m:sty m:val="p"/>
                </m:rPr>
                <m:t>Policy</m:t>
              </m:r>
            </m:e>
            <m:sub>
              <m:r>
                <m:t>t</m:t>
              </m:r>
            </m:sub>
          </m:sSub>
          <m:r>
            <m:rPr>
              <m:sty m:val="p"/>
            </m:rPr>
            <m:t>=</m:t>
          </m:r>
          <m:r>
            <m:t>z</m:t>
          </m:r>
          <m:d>
            <m:dPr>
              <m:begChr m:val="("/>
              <m:endChr m:val=")"/>
              <m:sepChr m:val=""/>
              <m:grow/>
            </m:dPr>
            <m:e>
              <m:r>
                <m:t>Δ</m:t>
              </m:r>
              <m:sSub>
                <m:e>
                  <m:r>
                    <m:t>r</m:t>
                  </m:r>
                </m:e>
                <m:sub>
                  <m:r>
                    <m:t>t</m:t>
                  </m:r>
                </m:sub>
              </m:sSub>
            </m:e>
          </m:d>
        </m:oMath>
      </m:oMathPara>
    </w:p>
    <w:p>
      <w:pPr>
        <w:numPr>
          <w:ilvl w:val="0"/>
          <w:numId w:val="1005"/>
        </w:numPr>
      </w:pPr>
      <w:r>
        <w:rPr>
          <w:b/>
          <w:bCs/>
        </w:rPr>
        <w:t xml:space="preserve">Information shock</w:t>
      </w:r>
      <w:r>
        <w:t xml:space="preserve"> </w:t>
      </w:r>
      <w:r>
        <w:t xml:space="preserve">= residual from regressing surprise on rate change:</w:t>
      </w:r>
    </w:p>
    <w:p>
      <w:pPr>
        <w:pStyle w:val="BodyText"/>
      </w:pPr>
      <m:oMathPara>
        <m:oMathParaPr>
          <m:jc m:val="center"/>
        </m:oMathParaPr>
        <m:oMath>
          <m:sSub>
            <m:e>
              <m:r>
                <m:rPr>
                  <m:nor/>
                  <m:sty m:val="p"/>
                </m:rPr>
                <m:t>Info</m:t>
              </m:r>
            </m:e>
            <m:sub>
              <m:r>
                <m:t>t</m:t>
              </m:r>
            </m:sub>
          </m:sSub>
          <m:r>
            <m:rPr>
              <m:sty m:val="p"/>
            </m:rPr>
            <m:t>=</m:t>
          </m:r>
          <m:r>
            <m:t>z</m:t>
          </m:r>
          <m:d>
            <m:dPr>
              <m:begChr m:val="("/>
              <m:endChr m:val=")"/>
              <m:sepChr m:val=""/>
              <m:grow/>
            </m:dPr>
            <m:e>
              <m:sSub>
                <m:e>
                  <m:r>
                    <m:rPr>
                      <m:nor/>
                      <m:sty m:val="p"/>
                    </m:rPr>
                    <m:t>Surprise</m:t>
                  </m:r>
                </m:e>
                <m:sub>
                  <m:r>
                    <m:t>t</m:t>
                  </m:r>
                </m:sub>
              </m:sSub>
            </m:e>
          </m:d>
          <m:r>
            <m:rPr>
              <m:sty m:val="p"/>
            </m:rPr>
            <m:t>−</m:t>
          </m:r>
          <m:acc>
            <m:accPr>
              <m:chr m:val="̂"/>
            </m:accPr>
            <m:e>
              <m:r>
                <m:t>γ</m:t>
              </m:r>
            </m:e>
          </m:acc>
          <m:r>
            <m:rPr>
              <m:sty m:val="p"/>
            </m:rPr>
            <m:t>⋅</m:t>
          </m:r>
          <m:r>
            <m:t>z</m:t>
          </m:r>
          <m:d>
            <m:dPr>
              <m:begChr m:val="("/>
              <m:endChr m:val=")"/>
              <m:sepChr m:val=""/>
              <m:grow/>
            </m:dPr>
            <m:e>
              <m:r>
                <m:t>Δ</m:t>
              </m:r>
              <m:sSub>
                <m:e>
                  <m:r>
                    <m:t>r</m:t>
                  </m:r>
                </m:e>
                <m:sub>
                  <m:r>
                    <m:t>t</m:t>
                  </m:r>
                </m:sub>
              </m:sSub>
            </m:e>
          </m:d>
        </m:oMath>
      </m:oMathPara>
    </w:p>
    <w:p>
      <w:pPr>
        <w:numPr>
          <w:ilvl w:val="0"/>
          <w:numId w:val="1000"/>
        </w:numPr>
      </w:pPr>
      <w:r>
        <w:t xml:space="preserve">where</w:t>
      </w:r>
      <w:r>
        <w:t xml:space="preserve"> </w:t>
      </w:r>
      <m:oMath>
        <m:acc>
          <m:accPr>
            <m:chr m:val="̂"/>
          </m:accPr>
          <m:e>
            <m:r>
              <m:t>γ</m:t>
            </m:r>
          </m:e>
        </m:acc>
      </m:oMath>
      <w:r>
        <w:t xml:space="preserve"> </w:t>
      </w:r>
      <w:r>
        <w:t xml:space="preserve">is from OLS:</w:t>
      </w:r>
      <w:r>
        <w:t xml:space="preserve"> </w:t>
      </w:r>
      <m:oMath>
        <m:r>
          <m:t>z</m:t>
        </m:r>
        <m:d>
          <m:dPr>
            <m:begChr m:val="("/>
            <m:endChr m:val=")"/>
            <m:sepChr m:val=""/>
            <m:grow/>
          </m:dPr>
          <m:e>
            <m:r>
              <m:rPr>
                <m:nor/>
                <m:sty m:val="p"/>
              </m:rPr>
              <m:t>Surprise</m:t>
            </m:r>
          </m:e>
        </m:d>
        <m:r>
          <m:rPr>
            <m:sty m:val="p"/>
          </m:rPr>
          <m:t>=</m:t>
        </m:r>
        <m:r>
          <m:t>γ</m:t>
        </m:r>
        <m:r>
          <m:rPr>
            <m:sty m:val="p"/>
          </m:rPr>
          <m:t>⋅</m:t>
        </m:r>
        <m:r>
          <m:t>z</m:t>
        </m:r>
        <m:d>
          <m:dPr>
            <m:begChr m:val="("/>
            <m:endChr m:val=")"/>
            <m:sepChr m:val=""/>
            <m:grow/>
          </m:dPr>
          <m:e>
            <m:r>
              <m:t>Δ</m:t>
            </m:r>
            <m:r>
              <m:t>r</m:t>
            </m:r>
          </m:e>
        </m:d>
        <m:r>
          <m:rPr>
            <m:sty m:val="p"/>
          </m:rPr>
          <m:t>+</m:t>
        </m:r>
        <m:r>
          <m:t>u</m:t>
        </m:r>
      </m:oMath>
    </w:p>
    <w:p>
      <w:pPr>
        <w:numPr>
          <w:ilvl w:val="0"/>
          <w:numId w:val="1005"/>
        </w:numPr>
      </w:pPr>
      <w:r>
        <w:rPr>
          <w:b/>
          <w:bCs/>
        </w:rPr>
        <w:t xml:space="preserve">Loadings</w:t>
      </w:r>
      <w:r>
        <w:t xml:space="preserve">: Regress sentiment on each shock separately:</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λ</m:t>
              </m:r>
            </m:e>
            <m:sub>
              <m:r>
                <m:t>P</m:t>
              </m:r>
            </m:sub>
          </m:sSub>
          <m:r>
            <m:rPr>
              <m:sty m:val="p"/>
            </m:rPr>
            <m:t>⋅</m:t>
          </m:r>
          <m:sSub>
            <m:e>
              <m:r>
                <m:rPr>
                  <m:nor/>
                  <m:sty m:val="p"/>
                </m:rPr>
                <m:t>Policy</m:t>
              </m:r>
            </m:e>
            <m:sub>
              <m:r>
                <m:t>t</m:t>
              </m:r>
            </m:sub>
          </m:sSub>
          <m:r>
            <m:rPr>
              <m:sty m:val="p"/>
            </m:rPr>
            <m:t>+</m:t>
          </m:r>
          <m:sSub>
            <m:e>
              <m:r>
                <m:t>e</m:t>
              </m:r>
            </m:e>
            <m:sub>
              <m:r>
                <m:t>t</m:t>
              </m:r>
            </m:sub>
          </m:sSub>
        </m:oMath>
      </m:oMathPara>
    </w:p>
    <w:p>
      <w:pPr>
        <w:pStyle w:val="FirstParagraph"/>
      </w:pPr>
      <m:oMathPara>
        <m:oMathParaPr>
          <m:jc m:val="center"/>
        </m:oMathParaPr>
        <m:oMath>
          <m:sSub>
            <m:e>
              <m:r>
                <m:rPr>
                  <m:nor/>
                  <m:sty m:val="p"/>
                </m:rPr>
                <m:t>Sentiment</m:t>
              </m:r>
            </m:e>
            <m:sub>
              <m:r>
                <m:t>t</m:t>
              </m:r>
            </m:sub>
          </m:sSub>
          <m:r>
            <m:rPr>
              <m:sty m:val="p"/>
            </m:rPr>
            <m:t>=</m:t>
          </m:r>
          <m:r>
            <m:t>α</m:t>
          </m:r>
          <m:r>
            <m:rPr>
              <m:sty m:val="p"/>
            </m:rPr>
            <m:t>+</m:t>
          </m:r>
          <m:sSub>
            <m:e>
              <m:r>
                <m:t>λ</m:t>
              </m:r>
            </m:e>
            <m:sub>
              <m:r>
                <m:t>I</m:t>
              </m:r>
            </m:sub>
          </m:sSub>
          <m:r>
            <m:rPr>
              <m:sty m:val="p"/>
            </m:rPr>
            <m:t>⋅</m:t>
          </m:r>
          <m:sSub>
            <m:e>
              <m:r>
                <m:rPr>
                  <m:nor/>
                  <m:sty m:val="p"/>
                </m:rPr>
                <m:t>Info</m:t>
              </m:r>
            </m:e>
            <m:sub>
              <m:r>
                <m:t>t</m:t>
              </m:r>
            </m:sub>
          </m:sSub>
          <m:r>
            <m:rPr>
              <m:sty m:val="p"/>
            </m:rPr>
            <m:t>+</m:t>
          </m:r>
          <m:sSub>
            <m:e>
              <m:r>
                <m:t>e</m:t>
              </m:r>
            </m:e>
            <m:sub>
              <m:r>
                <m:t>t</m:t>
              </m:r>
            </m:sub>
          </m:sSub>
        </m:oMath>
      </m:oMathPara>
    </w:p>
    <w:p>
      <w:pPr>
        <w:numPr>
          <w:ilvl w:val="0"/>
          <w:numId w:val="1005"/>
        </w:numPr>
      </w:pPr>
      <w:r>
        <w:rPr>
          <w:b/>
          <w:bCs/>
        </w:rPr>
        <w:t xml:space="preserve">Share decomposition</w:t>
      </w:r>
      <w:r>
        <w:t xml:space="preserve">:</w:t>
      </w:r>
    </w:p>
    <w:p>
      <w:pPr>
        <w:pStyle w:val="BodyText"/>
      </w:pPr>
      <m:oMathPara>
        <m:oMathParaPr>
          <m:jc m:val="center"/>
        </m:oMathParaPr>
        <m:oMath>
          <m:r>
            <m:rPr>
              <m:nor/>
              <m:sty m:val="p"/>
            </m:rPr>
            <m:t>Policy Share</m:t>
          </m:r>
          <m:r>
            <m:rPr>
              <m:sty m:val="p"/>
            </m:rPr>
            <m:t>=</m:t>
          </m:r>
          <m:f>
            <m:fPr>
              <m:type m:val="bar"/>
            </m:fPr>
            <m:num>
              <m:d>
                <m:dPr>
                  <m:begChr m:val="|"/>
                  <m:endChr m:val="|"/>
                  <m:sepChr m:val=""/>
                  <m:grow/>
                </m:dPr>
                <m:e>
                  <m:sSub>
                    <m:e>
                      <m:r>
                        <m:t>λ</m:t>
                      </m:r>
                    </m:e>
                    <m:sub>
                      <m:r>
                        <m:t>P</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r>
            <m:rPr>
              <m:sty m:val="p"/>
            </m:rPr>
            <m:t>,</m:t>
          </m:r>
          <m:r>
            <m:t> </m:t>
          </m:r>
          <m:r>
            <m:rPr>
              <m:nor/>
              <m:sty m:val="p"/>
            </m:rPr>
            <m:t>Info Share</m:t>
          </m:r>
          <m:r>
            <m:rPr>
              <m:sty m:val="p"/>
            </m:rPr>
            <m:t>=</m:t>
          </m:r>
          <m:f>
            <m:fPr>
              <m:type m:val="bar"/>
            </m:fPr>
            <m:num>
              <m:d>
                <m:dPr>
                  <m:begChr m:val="|"/>
                  <m:endChr m:val="|"/>
                  <m:sepChr m:val=""/>
                  <m:grow/>
                </m:dPr>
                <m:e>
                  <m:sSub>
                    <m:e>
                      <m:r>
                        <m:t>λ</m:t>
                      </m:r>
                    </m:e>
                    <m:sub>
                      <m:r>
                        <m:t>I</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oMath>
      </m:oMathPara>
    </w:p>
    <w:p>
      <w:pPr>
        <w:pStyle w:val="FirstParagraph"/>
      </w:pPr>
      <w:r>
        <w:rPr>
          <w:b/>
          <w:bCs/>
        </w:rPr>
        <w:t xml:space="preserve">Current result (v6.1)</w:t>
      </w:r>
      <w:r>
        <w:t xml:space="preserve">: Target shock t-statistic = 1.126, Path shock t-statistic ≈ 0. The target shock dominates the sentiment response, while the path factor contribution is negligible in this decomposition. This contrasts with the v4 result (information shock ~99.6%) which was inflated by the naive surprise proxy.</w:t>
      </w:r>
    </w:p>
    <w:p>
      <w:pPr>
        <w:pStyle w:val="BodyText"/>
      </w:pPr>
      <w:r>
        <w:rPr>
          <w:b/>
          <w:bCs/>
        </w:rPr>
        <w:t xml:space="preserve">Critical caveat</w:t>
      </w:r>
      <w:r>
        <w:t xml:space="preserve">: The current decomposition uses Acosta shocks but the analysis dataset still has gaps. With the full WRDS pipeline (CME futures + CRSP returns), the decomposition will be more reliable.</w:t>
      </w:r>
    </w:p>
    <w:bookmarkEnd w:id="43"/>
    <w:bookmarkStart w:id="44" w:name="h4-regime-dependent-effects"/>
    <w:p>
      <w:pPr>
        <w:pStyle w:val="Heading3"/>
      </w:pPr>
      <w:r>
        <w:t xml:space="preserve">5.4 H4: Regime-Dependent Effects</w:t>
      </w:r>
    </w:p>
    <w:p>
      <w:pPr>
        <w:pStyle w:val="FirstParagraph"/>
      </w:pPr>
      <w:r>
        <w:rPr>
          <w:b/>
          <w:bCs/>
        </w:rPr>
        <w:t xml:space="preserve">Test</w:t>
      </w:r>
      <w:r>
        <w:t xml:space="preserve">: Does the sentiment-return relationship vary across monetary policy regimes?</w:t>
      </w:r>
    </w:p>
    <w:p>
      <w:pPr>
        <w:pStyle w:val="BodyText"/>
      </w:pPr>
      <w:r>
        <w:rPr>
          <w:b/>
          <w:bCs/>
        </w:rPr>
        <w:t xml:space="preserve">Regimes</w:t>
      </w:r>
      <w:r>
        <w:t xml:space="preserve">:</w:t>
      </w:r>
      <w:r>
        <w:t xml:space="preserve"> </w:t>
      </w:r>
      <w:r>
        <w:t xml:space="preserve">-</w:t>
      </w:r>
      <w:r>
        <w:t xml:space="preserve"> </w:t>
      </w:r>
      <w:r>
        <w:rPr>
          <w:b/>
          <w:bCs/>
        </w:rPr>
        <w:t xml:space="preserve">Conventional</w:t>
      </w:r>
      <w:r>
        <w:t xml:space="preserve"> </w:t>
      </w:r>
      <w:r>
        <w:t xml:space="preserve">(pre-2008): Standard rate adjustments</w:t>
      </w:r>
      <w:r>
        <w:t xml:space="preserve"> </w:t>
      </w:r>
      <w:r>
        <w:t xml:space="preserve">-</w:t>
      </w:r>
      <w:r>
        <w:t xml:space="preserve"> </w:t>
      </w:r>
      <w:r>
        <w:rPr>
          <w:b/>
          <w:bCs/>
        </w:rPr>
        <w:t xml:space="preserve">Forward Guidance</w:t>
      </w:r>
      <w:r>
        <w:t xml:space="preserve"> </w:t>
      </w:r>
      <w:r>
        <w:t xml:space="preserve">(2008–2015): ZLB period with explicit guidance</w:t>
      </w:r>
      <w:r>
        <w:t xml:space="preserve"> </w:t>
      </w:r>
      <w:r>
        <w:t xml:space="preserve">-</w:t>
      </w:r>
      <w:r>
        <w:t xml:space="preserve"> </w:t>
      </w:r>
      <w:r>
        <w:rPr>
          <w:b/>
          <w:bCs/>
        </w:rPr>
        <w:t xml:space="preserve">Normalization</w:t>
      </w:r>
      <w:r>
        <w:t xml:space="preserve"> </w:t>
      </w:r>
      <w:r>
        <w:t xml:space="preserve">(2016+): Rate hikes from ZLB</w:t>
      </w:r>
    </w:p>
    <w:p>
      <w:pPr>
        <w:pStyle w:val="BodyText"/>
      </w:pPr>
      <w:r>
        <w:rPr>
          <w:b/>
          <w:bCs/>
        </w:rPr>
        <w:t xml:space="preserve">Method</w:t>
      </w:r>
      <w:r>
        <w:t xml:space="preserve">: Run H2 regression separately within each regime subsample. Compare</w:t>
      </w:r>
      <w:r>
        <w:t xml:space="preserve"> </w:t>
      </w:r>
      <m:oMath>
        <m:d>
          <m:dPr>
            <m:begChr m:val="|"/>
            <m:endChr m:val="|"/>
            <m:sepChr m:val=""/>
            <m:grow/>
          </m:dPr>
          <m:e>
            <m:acc>
              <m:accPr>
                <m:chr m:val="̂"/>
              </m:accPr>
              <m:e>
                <m:r>
                  <m:t>β</m:t>
                </m:r>
              </m:e>
            </m:acc>
          </m:e>
        </m:d>
      </m:oMath>
      <w:r>
        <w:t xml:space="preserve"> </w:t>
      </w:r>
      <w:r>
        <w:t xml:space="preserve">across regimes.</w:t>
      </w:r>
    </w:p>
    <w:p>
      <w:pPr>
        <w:pStyle w:val="BodyText"/>
      </w:pPr>
      <w:r>
        <w:rPr>
          <w:b/>
          <w:bCs/>
        </w:rPr>
        <w:t xml:space="preserve">Hypothesis</w:t>
      </w:r>
      <w:r>
        <w:t xml:space="preserve">: Forward guidance regime should exhibit the strongest sentiment effect, because when rates are at ZLB, the statement’s forward guidance content is the primary policy tool.</w:t>
      </w:r>
    </w:p>
    <w:bookmarkEnd w:id="44"/>
    <w:bookmarkStart w:id="45" w:name="robustness-checks-v6.1"/>
    <w:p>
      <w:pPr>
        <w:pStyle w:val="Heading3"/>
      </w:pPr>
      <w:r>
        <w:t xml:space="preserve">5.5 Robustness Checks (v6.1)</w:t>
      </w:r>
    </w:p>
    <w:tbl>
      <w:tblPr>
        <w:tblStyle w:val="Table"/>
        <w:tblW w:type="pct" w:w="5000"/>
        <w:jc w:val="left"/>
        <w:tblLayout w:type="fixed"/>
        <w:tblLook w:firstRow="1" w:lastRow="0" w:firstColumn="0" w:lastColumn="0" w:noHBand="0" w:noVBand="0" w:val="0020"/>
      </w:tblPr>
      <w:tblGrid>
        <w:gridCol w:w="1980"/>
        <w:gridCol w:w="1131"/>
        <w:gridCol w:w="1131"/>
        <w:gridCol w:w="3677"/>
      </w:tblGrid>
      <w:tr>
        <w:trPr>
          <w:tblHeader w:val="on"/>
        </w:trPr>
        <w:tc>
          <w:tcPr/>
          <w:p>
            <w:pPr>
              <w:pStyle w:val="Compact"/>
              <w:jc w:val="left"/>
            </w:pPr>
            <w:r>
              <w:t xml:space="preserve">Check</w:t>
            </w:r>
          </w:p>
        </w:tc>
        <w:tc>
          <w:tcPr/>
          <w:p>
            <w:pPr>
              <w:pStyle w:val="Compact"/>
              <w:jc w:val="center"/>
            </w:pPr>
            <w:r>
              <w:t xml:space="preserve">R²</w:t>
            </w:r>
          </w:p>
        </w:tc>
        <w:tc>
          <w:tcPr/>
          <w:p>
            <w:pPr>
              <w:pStyle w:val="Compact"/>
              <w:jc w:val="center"/>
            </w:pPr>
            <w:r>
              <w:t xml:space="preserve">N</w:t>
            </w:r>
          </w:p>
        </w:tc>
        <w:tc>
          <w:tcPr/>
          <w:p>
            <w:pPr>
              <w:pStyle w:val="Compact"/>
              <w:jc w:val="left"/>
            </w:pPr>
            <w:r>
              <w:t xml:space="preserve">Description</w:t>
            </w:r>
          </w:p>
        </w:tc>
      </w:tr>
      <w:tr>
        <w:tc>
          <w:tcPr/>
          <w:p>
            <w:pPr>
              <w:pStyle w:val="Compact"/>
              <w:jc w:val="left"/>
            </w:pPr>
            <w:r>
              <w:t xml:space="preserve">Post-2010</w:t>
            </w:r>
          </w:p>
        </w:tc>
        <w:tc>
          <w:tcPr/>
          <w:p>
            <w:pPr>
              <w:pStyle w:val="Compact"/>
              <w:jc w:val="center"/>
            </w:pPr>
            <w:r>
              <w:t xml:space="preserve">0.0202</w:t>
            </w:r>
          </w:p>
        </w:tc>
        <w:tc>
          <w:tcPr/>
          <w:p>
            <w:pPr>
              <w:pStyle w:val="Compact"/>
              <w:jc w:val="center"/>
            </w:pPr>
            <w:r>
              <w:t xml:space="preserve">97</w:t>
            </w:r>
          </w:p>
        </w:tc>
        <w:tc>
          <w:tcPr/>
          <w:p>
            <w:pPr>
              <w:pStyle w:val="Compact"/>
              <w:jc w:val="left"/>
            </w:pPr>
            <w:r>
              <w:t xml:space="preserve">Restrict to post-2010 meetings (standardized communication)</w:t>
            </w:r>
          </w:p>
        </w:tc>
      </w:tr>
      <w:tr>
        <w:tc>
          <w:tcPr/>
          <w:p>
            <w:pPr>
              <w:pStyle w:val="Compact"/>
              <w:jc w:val="left"/>
            </w:pPr>
            <w:r>
              <w:t xml:space="preserve">No COVID</w:t>
            </w:r>
          </w:p>
        </w:tc>
        <w:tc>
          <w:tcPr/>
          <w:p>
            <w:pPr>
              <w:pStyle w:val="Compact"/>
              <w:jc w:val="center"/>
            </w:pPr>
            <w:r>
              <w:t xml:space="preserve">0.0410</w:t>
            </w:r>
          </w:p>
        </w:tc>
        <w:tc>
          <w:tcPr/>
          <w:p>
            <w:pPr>
              <w:pStyle w:val="Compact"/>
              <w:jc w:val="center"/>
            </w:pPr>
            <w:r>
              <w:t xml:space="preserve">115</w:t>
            </w:r>
          </w:p>
        </w:tc>
        <w:tc>
          <w:tcPr/>
          <w:p>
            <w:pPr>
              <w:pStyle w:val="Compact"/>
              <w:jc w:val="left"/>
            </w:pPr>
            <w:r>
              <w:t xml:space="preserve">Exclude Mar 2020 – Dec 2021</w:t>
            </w:r>
          </w:p>
        </w:tc>
      </w:tr>
    </w:tbl>
    <w:p>
      <w:pPr>
        <w:pStyle w:val="BodyText"/>
      </w:pPr>
      <w:r>
        <w:rPr>
          <w:b/>
          <w:bCs/>
        </w:rPr>
        <w:t xml:space="preserve">Interpretation</w:t>
      </w:r>
      <w:r>
        <w:t xml:space="preserve">: The post-2010 subsample has lower R² (2.02% vs. 4.06%), suggesting that the sentiment-surprise relationship was stronger in the earlier period (2006–2010), which includes the financial crisis when FOMC language was more variable. Excluding COVID has minimal impact (4.10% vs. 4.06%), confirming that the result is not driven by pandemic-era outliers.</w:t>
      </w:r>
    </w:p>
    <w:p>
      <w:r>
        <w:pict>
          <v:rect style="width:0;height:1.5pt" o:hralign="center" o:hrstd="t" o:hr="t"/>
        </w:pict>
      </w:r>
    </w:p>
    <w:bookmarkEnd w:id="45"/>
    <w:bookmarkEnd w:id="46"/>
    <w:bookmarkStart w:id="50" w:name="event-study-engine"/>
    <w:p>
      <w:pPr>
        <w:pStyle w:val="Heading2"/>
      </w:pPr>
      <w:r>
        <w:t xml:space="preserve">6. Event Study Engine</w:t>
      </w:r>
    </w:p>
    <w:bookmarkStart w:id="47" w:name="market-model"/>
    <w:p>
      <w:pPr>
        <w:pStyle w:val="Heading3"/>
      </w:pPr>
      <w:r>
        <w:t xml:space="preserve">6.1 Market Model</w:t>
      </w:r>
    </w:p>
    <w:p>
      <w:pPr>
        <w:pStyle w:val="FirstParagraph"/>
      </w:pPr>
      <w:r>
        <w:rPr>
          <w:b/>
          <w:bCs/>
        </w:rPr>
        <w:t xml:space="preserve">Module</w:t>
      </w:r>
      <w:r>
        <w:t xml:space="preserve">:</w:t>
      </w:r>
      <w:r>
        <w:t xml:space="preserve"> </w:t>
      </w:r>
      <w:r>
        <w:rPr>
          <w:rStyle w:val="VerbatimChar"/>
        </w:rPr>
        <w:t xml:space="preserve">analysis/event_study.py</w:t>
      </w:r>
      <w:r>
        <w:t xml:space="preserve"> </w:t>
      </w:r>
      <w:r>
        <w:t xml:space="preserve">(class</w:t>
      </w:r>
      <w:r>
        <w:t xml:space="preserve"> </w:t>
      </w:r>
      <w:r>
        <w:rPr>
          <w:rStyle w:val="VerbatimChar"/>
        </w:rPr>
        <w:t xml:space="preserve">EventStudyEngine</w:t>
      </w:r>
      <w:r>
        <w:t xml:space="preserve">)</w:t>
      </w:r>
    </w:p>
    <w:p>
      <w:pPr>
        <w:pStyle w:val="BodyText"/>
      </w:pPr>
      <w:r>
        <w:t xml:space="preserve">For each asset</w:t>
      </w:r>
      <w:r>
        <w:t xml:space="preserve"> </w:t>
      </w:r>
      <m:oMath>
        <m:r>
          <m:t>i</m:t>
        </m:r>
      </m:oMath>
      <w:r>
        <w:t xml:space="preserve"> </w:t>
      </w:r>
      <w:r>
        <w:t xml:space="preserve">and FOMC event</w:t>
      </w:r>
      <w:r>
        <w:t xml:space="preserve"> </w:t>
      </w:r>
      <m:oMath>
        <m:r>
          <m:t>t</m:t>
        </m:r>
      </m:oMath>
      <w:r>
        <w:t xml:space="preserve">:</w:t>
      </w:r>
    </w:p>
    <w:p>
      <w:pPr>
        <w:pStyle w:val="BodyText"/>
      </w:pPr>
      <w:r>
        <w:rPr>
          <w:b/>
          <w:bCs/>
        </w:rPr>
        <w:t xml:space="preserve">Step 1 — Parameter estimation</w:t>
      </w:r>
      <w:r>
        <w:t xml:space="preserve"> </w:t>
      </w:r>
      <w:r>
        <w:t xml:space="preserve">(non-event days, trailing 250 trading days):</w:t>
      </w:r>
    </w:p>
    <w:p>
      <w:pPr>
        <w:pStyle w:val="BodyText"/>
      </w:pPr>
      <m:oMathPara>
        <m:oMathParaPr>
          <m:jc m:val="center"/>
        </m:oMathParaPr>
        <m:oMath>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r>
            <m:rPr>
              <m:sty m:val="p"/>
            </m:rPr>
            <m:t>+</m:t>
          </m:r>
          <m:sSub>
            <m:e>
              <m:r>
                <m:t>ε</m:t>
              </m:r>
            </m:e>
            <m:sub>
              <m:r>
                <m:t>i</m:t>
              </m:r>
              <m:r>
                <m:rPr>
                  <m:sty m:val="p"/>
                </m:rPr>
                <m:t>,</m:t>
              </m:r>
              <m:r>
                <m:t>τ</m:t>
              </m:r>
            </m:sub>
          </m:sSub>
        </m:oMath>
      </m:oMathPara>
    </w:p>
    <w:p>
      <w:pPr>
        <w:pStyle w:val="FirstParagraph"/>
      </w:pPr>
      <w:r>
        <w:t xml:space="preserve">via OLS (</w:t>
      </w:r>
      <w:r>
        <w:rPr>
          <w:rStyle w:val="VerbatimChar"/>
        </w:rPr>
        <w:t xml:space="preserve">scipy.stats.linregress</w:t>
      </w:r>
      <w:r>
        <w:t xml:space="preserve">), where</w:t>
      </w:r>
      <w:r>
        <w:t xml:space="preserve"> </w:t>
      </w:r>
      <m:oMath>
        <m:sSub>
          <m:e>
            <m:r>
              <m:t>R</m:t>
            </m:r>
          </m:e>
          <m:sub>
            <m:r>
              <m:t>m</m:t>
            </m:r>
          </m:sub>
        </m:sSub>
      </m:oMath>
      <w:r>
        <w:t xml:space="preserve"> </w:t>
      </w:r>
      <w:r>
        <w:t xml:space="preserve">is the market return (S&amp;P 500 or NASDAQ as alternative market proxy).</w:t>
      </w:r>
    </w:p>
    <w:p>
      <w:pPr>
        <w:pStyle w:val="BodyText"/>
      </w:pPr>
      <w:r>
        <w:rPr>
          <w:b/>
          <w:bCs/>
        </w:rPr>
        <w:t xml:space="preserve">Step 2 — Abnormal returns</w:t>
      </w:r>
      <w:r>
        <w:t xml:space="preserve"> </w:t>
      </w:r>
      <w:r>
        <w:t xml:space="preserve">(event window</w:t>
      </w:r>
      <w:r>
        <w:t xml:space="preserve"> </w:t>
      </w:r>
      <m:oMath>
        <m:d>
          <m:dPr>
            <m:begChr m:val="["/>
            <m:endChr m:val="]"/>
            <m:sepChr m:val=""/>
            <m:grow/>
          </m:dPr>
          <m:e>
            <m:r>
              <m:t>t</m:t>
            </m:r>
            <m:r>
              <m:rPr>
                <m:sty m:val="p"/>
              </m:rPr>
              <m:t>−</m:t>
            </m:r>
            <m:r>
              <m:t>k</m:t>
            </m:r>
            <m:r>
              <m:rPr>
                <m:sty m:val="p"/>
              </m:rPr>
              <m:t>,</m:t>
            </m:r>
            <m:r>
              <m:t>t</m:t>
            </m:r>
            <m:r>
              <m:rPr>
                <m:sty m:val="p"/>
              </m:rPr>
              <m:t>+</m:t>
            </m:r>
            <m:r>
              <m:t>l</m:t>
            </m:r>
          </m:e>
        </m:d>
      </m:oMath>
      <w:r>
        <w:t xml:space="preserve">):</w:t>
      </w:r>
    </w:p>
    <w:p>
      <w:pPr>
        <w:pStyle w:val="BodyText"/>
      </w:pPr>
      <m:oMathPara>
        <m:oMathParaPr>
          <m:jc m:val="center"/>
        </m:oMathPara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d>
            <m:dPr>
              <m:begChr m:val="("/>
              <m:endChr m:val=")"/>
              <m:sepChr m:val=""/>
              <m:grow/>
            </m:dPr>
            <m:e>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e>
          </m:d>
        </m:oMath>
      </m:oMathPara>
    </w:p>
    <w:p>
      <w:pPr>
        <w:pStyle w:val="FirstParagraph"/>
      </w:pPr>
      <w:r>
        <w:rPr>
          <w:b/>
          <w:bCs/>
        </w:rPr>
        <w:t xml:space="preserve">Step 3 — Cumulative abnormal return</w:t>
      </w:r>
      <w:r>
        <w:t xml:space="preserve">:</w:t>
      </w:r>
    </w:p>
    <w:p>
      <w:pPr>
        <w:pStyle w:val="BodyText"/>
      </w:pPr>
      <m:oMathPara>
        <m:oMathParaPr>
          <m:jc m:val="center"/>
        </m:oMathParaPr>
        <m:oMath>
          <m:sSub>
            <m:e>
              <m:r>
                <m:rPr>
                  <m:nor/>
                  <m:sty m:val="p"/>
                </m:rPr>
                <m:t>CAR</m:t>
              </m:r>
            </m:e>
            <m:sub>
              <m:r>
                <m:t>i</m:t>
              </m:r>
            </m:sub>
          </m:sSub>
          <m:r>
            <m:rPr>
              <m:sty m:val="p"/>
            </m:rPr>
            <m:t>=</m:t>
          </m:r>
          <m:nary>
            <m:naryPr>
              <m:chr m:val="∑"/>
              <m:limLoc m:val="undOvr"/>
              <m:subHide m:val="off"/>
              <m:supHide m:val="off"/>
            </m:naryPr>
            <m:sub>
              <m:r>
                <m:t>τ</m:t>
              </m:r>
              <m:r>
                <m:rPr>
                  <m:sty m:val="p"/>
                </m:rPr>
                <m:t>=</m:t>
              </m:r>
              <m:r>
                <m:t>t</m:t>
              </m:r>
              <m:r>
                <m:rPr>
                  <m:sty m:val="p"/>
                </m:rPr>
                <m:t>−</m:t>
              </m:r>
              <m:r>
                <m:t>k</m:t>
              </m:r>
            </m:sub>
            <m:sup>
              <m:r>
                <m:t>t</m:t>
              </m:r>
              <m:r>
                <m:rPr>
                  <m:sty m:val="p"/>
                </m:rPr>
                <m:t>+</m:t>
              </m:r>
              <m:r>
                <m:t>l</m:t>
              </m:r>
            </m:sup>
            <m:e>
              <m:sSub>
                <m:e>
                  <m:r>
                    <m:rPr>
                      <m:nor/>
                      <m:sty m:val="p"/>
                    </m:rPr>
                    <m:t>AR</m:t>
                  </m:r>
                </m:e>
                <m:sub>
                  <m:r>
                    <m:t>i</m:t>
                  </m:r>
                  <m:r>
                    <m:rPr>
                      <m:sty m:val="p"/>
                    </m:rPr>
                    <m:t>,</m:t>
                  </m:r>
                  <m:r>
                    <m:t>τ</m:t>
                  </m:r>
                </m:sub>
              </m:sSub>
            </m:e>
          </m:nary>
        </m:oMath>
      </m:oMathPara>
    </w:p>
    <w:p>
      <w:pPr>
        <w:pStyle w:val="FirstParagraph"/>
      </w:pPr>
      <w:r>
        <w:rPr>
          <w:b/>
          <w:bCs/>
        </w:rPr>
        <w:t xml:space="preserve">Step 4 — Significance test</w:t>
      </w:r>
      <w:r>
        <w:t xml:space="preserve">:</w:t>
      </w:r>
    </w:p>
    <w:p>
      <w:pPr>
        <w:pStyle w:val="BodyText"/>
      </w:pPr>
      <m:oMathPara>
        <m:oMathParaPr>
          <m:jc m:val="center"/>
        </m:oMathParaPr>
        <m:oMath>
          <m:r>
            <m:t>t</m:t>
          </m:r>
          <m:r>
            <m:rPr>
              <m:sty m:val="p"/>
            </m:rPr>
            <m:t>=</m:t>
          </m:r>
          <m:f>
            <m:fPr>
              <m:type m:val="bar"/>
            </m:fPr>
            <m:num>
              <m:sSub>
                <m:e>
                  <m:r>
                    <m:rPr>
                      <m:nor/>
                      <m:sty m:val="p"/>
                    </m:rPr>
                    <m:t>CAR</m:t>
                  </m:r>
                </m:e>
                <m:sub>
                  <m:r>
                    <m:t>i</m:t>
                  </m:r>
                </m:sub>
              </m:sSub>
            </m:num>
            <m:den>
              <m:acc>
                <m:accPr>
                  <m:chr m:val="̂"/>
                </m:accPr>
                <m:e>
                  <m:r>
                    <m:t>σ</m:t>
                  </m:r>
                </m:e>
              </m:acc>
              <m:r>
                <m:rPr>
                  <m:sty m:val="p"/>
                </m:rPr>
                <m:t>⋅</m:t>
              </m:r>
              <m:rad>
                <m:radPr>
                  <m:degHide m:val="on"/>
                </m:radPr>
                <m:deg/>
                <m:e>
                  <m:r>
                    <m:t>L</m:t>
                  </m:r>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 from the estimation window, and</w:t>
      </w:r>
      <w:r>
        <w:t xml:space="preserve"> </w:t>
      </w:r>
      <m:oMath>
        <m:r>
          <m:t>L</m:t>
        </m:r>
      </m:oMath>
      <w:r>
        <w:t xml:space="preserve"> </w:t>
      </w:r>
      <w:r>
        <w:t xml:space="preserve">is the number of days in the event window.</w:t>
      </w:r>
    </w:p>
    <w:p>
      <w:pPr>
        <w:pStyle w:val="BodyText"/>
      </w:pPr>
      <w:r>
        <w:rPr>
          <w:b/>
          <w:bCs/>
        </w:rPr>
        <w:t xml:space="preserve">Default windows</w:t>
      </w:r>
      <w:r>
        <w:t xml:space="preserve">: Estimation = 250 days; Event =</w:t>
      </w:r>
      <w:r>
        <w:t xml:space="preserve"> </w:t>
      </w:r>
      <m:oMath>
        <m:d>
          <m:dPr>
            <m:begChr m:val="["/>
            <m:endChr m:val="]"/>
            <m:sepChr m:val=""/>
            <m:grow/>
          </m:dPr>
          <m:e>
            <m:r>
              <m:rPr>
                <m:sty m:val="p"/>
              </m:rPr>
              <m:t>−</m:t>
            </m:r>
            <m:r>
              <m:t>1</m:t>
            </m:r>
            <m:r>
              <m:rPr>
                <m:sty m:val="p"/>
              </m:rPr>
              <m:t>,</m:t>
            </m:r>
            <m:r>
              <m:rPr>
                <m:sty m:val="p"/>
              </m:rPr>
              <m:t>+</m:t>
            </m:r>
            <m:r>
              <m:t>5</m:t>
            </m:r>
          </m:e>
        </m:d>
      </m:oMath>
      <w:r>
        <w:t xml:space="preserve"> </w:t>
      </w:r>
      <w:r>
        <w:t xml:space="preserve">(6 trading days).</w:t>
      </w:r>
    </w:p>
    <w:bookmarkEnd w:id="47"/>
    <w:bookmarkStart w:id="48" w:name="cross-sectional-aggregation"/>
    <w:p>
      <w:pPr>
        <w:pStyle w:val="Heading3"/>
      </w:pPr>
      <w:r>
        <w:t xml:space="preserve">6.2 Cross-Sectional Aggregation</w:t>
      </w:r>
    </w:p>
    <w:p>
      <w:pPr>
        <w:pStyle w:val="FirstParagraph"/>
      </w:pPr>
      <m:oMathPara>
        <m:oMathParaPr>
          <m:jc m:val="center"/>
        </m:oMathParaPr>
        <m:oMath>
          <m:sSub>
            <m:e>
              <m:r>
                <m:rPr>
                  <m:nor/>
                  <m:sty m:val="p"/>
                </m:rPr>
                <m:t>AAR</m:t>
              </m:r>
            </m:e>
            <m:sub>
              <m: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nor/>
                      <m:sty m:val="p"/>
                    </m:rPr>
                    <m:t>AR</m:t>
                  </m:r>
                </m:e>
                <m:sub>
                  <m:r>
                    <m:t>i</m:t>
                  </m:r>
                  <m:r>
                    <m:rPr>
                      <m:sty m:val="p"/>
                    </m:rPr>
                    <m:t>,</m:t>
                  </m:r>
                  <m:r>
                    <m:t>t</m:t>
                  </m:r>
                </m:sub>
              </m:sSub>
            </m:e>
          </m:nary>
          <m:r>
            <m:rPr>
              <m:sty m:val="p"/>
            </m:rPr>
            <m:t>,</m:t>
          </m:r>
          <m:r>
            <m:t> </m:t>
          </m:r>
          <m:sSub>
            <m:e>
              <m:r>
                <m:rPr>
                  <m:nor/>
                  <m:sty m:val="p"/>
                </m:rPr>
                <m:t>CAAR</m:t>
              </m:r>
            </m:e>
            <m:sub>
              <m:r>
                <m:t>t</m:t>
              </m:r>
            </m:sub>
          </m:sSub>
          <m:r>
            <m:rPr>
              <m:sty m:val="p"/>
            </m:rPr>
            <m:t>=</m:t>
          </m:r>
          <m:nary>
            <m:naryPr>
              <m:chr m:val="∑"/>
              <m:limLoc m:val="undOvr"/>
              <m:subHide m:val="off"/>
              <m:supHide m:val="on"/>
            </m:naryPr>
            <m:sub>
              <m:r>
                <m:t>τ</m:t>
              </m:r>
            </m:sub>
            <m:sup>
              <m:r>
                <m:t>​</m:t>
              </m:r>
            </m:sup>
            <m:e>
              <m:sSub>
                <m:e>
                  <m:r>
                    <m:rPr>
                      <m:nor/>
                      <m:sty m:val="p"/>
                    </m:rPr>
                    <m:t>AAR</m:t>
                  </m:r>
                </m:e>
                <m:sub>
                  <m:r>
                    <m:t>τ</m:t>
                  </m:r>
                </m:sub>
              </m:sSub>
            </m:e>
          </m:nary>
        </m:oMath>
      </m:oMathPara>
    </w:p>
    <w:p>
      <w:pPr>
        <w:pStyle w:val="FirstParagraph"/>
      </w:pPr>
      <w:r>
        <w:t xml:space="preserve">Aggregated across all assets for each FOMC date.</w:t>
      </w:r>
    </w:p>
    <w:bookmarkEnd w:id="48"/>
    <w:bookmarkStart w:id="49" w:name="asset-level-summary"/>
    <w:p>
      <w:pPr>
        <w:pStyle w:val="Heading3"/>
      </w:pPr>
      <w:r>
        <w:t xml:space="preserve">6.3 Asset-Level Summary</w:t>
      </w:r>
    </w:p>
    <w:p>
      <w:pPr>
        <w:pStyle w:val="FirstParagraph"/>
      </w:pPr>
      <w:r>
        <w:t xml:space="preserve">For each asset, average CAR across all FOMC events: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avg_CAR</w:t>
            </w:r>
          </w:p>
        </w:tc>
        <w:tc>
          <w:tcPr/>
          <w:p>
            <w:pPr>
              <w:pStyle w:val="Compact"/>
              <w:jc w:val="left"/>
            </w:pPr>
            <w:r>
              <w:t xml:space="preserve">Mean CAR across events</w:t>
            </w:r>
          </w:p>
        </w:tc>
      </w:tr>
      <w:tr>
        <w:tc>
          <w:tcPr/>
          <w:p>
            <w:pPr>
              <w:pStyle w:val="Compact"/>
              <w:jc w:val="left"/>
            </w:pPr>
            <w:r>
              <w:t xml:space="preserve">median_CAR</w:t>
            </w:r>
          </w:p>
        </w:tc>
        <w:tc>
          <w:tcPr/>
          <w:p>
            <w:pPr>
              <w:pStyle w:val="Compact"/>
              <w:jc w:val="left"/>
            </w:pPr>
            <w:r>
              <w:t xml:space="preserve">Median CAR</w:t>
            </w:r>
          </w:p>
        </w:tc>
      </w:tr>
      <w:tr>
        <w:tc>
          <w:tcPr/>
          <w:p>
            <w:pPr>
              <w:pStyle w:val="Compact"/>
              <w:jc w:val="left"/>
            </w:pPr>
            <w:r>
              <w:t xml:space="preserve">std_CAR</w:t>
            </w:r>
          </w:p>
        </w:tc>
        <w:tc>
          <w:tcPr/>
          <w:p>
            <w:pPr>
              <w:pStyle w:val="Compact"/>
              <w:jc w:val="left"/>
            </w:pPr>
            <w:r>
              <w:t xml:space="preserve">Standard deviation of CAR</w:t>
            </w:r>
          </w:p>
        </w:tc>
      </w:tr>
      <w:tr>
        <w:tc>
          <w:tcPr/>
          <w:p>
            <w:pPr>
              <w:pStyle w:val="Compact"/>
              <w:jc w:val="left"/>
            </w:pPr>
            <w:r>
              <w:t xml:space="preserve">pct_positive</w:t>
            </w:r>
          </w:p>
        </w:tc>
        <w:tc>
          <w:tcPr/>
          <w:p>
            <w:pPr>
              <w:pStyle w:val="Compact"/>
              <w:jc w:val="left"/>
            </w:pPr>
            <w:r>
              <w:t xml:space="preserve">% of events with CAR &gt; 0</w:t>
            </w:r>
          </w:p>
        </w:tc>
      </w:tr>
    </w:tbl>
    <w:p>
      <w:r>
        <w:pict>
          <v:rect style="width:0;height:1.5pt" o:hralign="center" o:hrstd="t" o:hr="t"/>
        </w:pict>
      </w:r>
    </w:p>
    <w:bookmarkEnd w:id="49"/>
    <w:bookmarkEnd w:id="50"/>
    <w:bookmarkStart w:id="54" w:name="capital-flow-analysis"/>
    <w:p>
      <w:pPr>
        <w:pStyle w:val="Heading2"/>
      </w:pPr>
      <w:r>
        <w:t xml:space="preserve">7. Capital Flow Analysis</w:t>
      </w:r>
    </w:p>
    <w:bookmarkStart w:id="51" w:name="flow-estimation"/>
    <w:p>
      <w:pPr>
        <w:pStyle w:val="Heading3"/>
      </w:pPr>
      <w:r>
        <w:t xml:space="preserve">7.1 Flow Estimation</w:t>
      </w:r>
    </w:p>
    <w:p>
      <w:pPr>
        <w:pStyle w:val="FirstParagraph"/>
      </w:pPr>
      <w:r>
        <w:rPr>
          <w:b/>
          <w:bCs/>
        </w:rPr>
        <w:t xml:space="preserve">Module</w:t>
      </w:r>
      <w:r>
        <w:t xml:space="preserve">:</w:t>
      </w:r>
      <w:r>
        <w:t xml:space="preserve"> </w:t>
      </w:r>
      <w:r>
        <w:rPr>
          <w:rStyle w:val="VerbatimChar"/>
        </w:rPr>
        <w:t xml:space="preserve">analysis/capital_flow.py</w:t>
      </w:r>
      <w:r>
        <w:t xml:space="preserve"> </w:t>
      </w:r>
      <w:r>
        <w:t xml:space="preserve">(class</w:t>
      </w:r>
      <w:r>
        <w:t xml:space="preserve"> </w:t>
      </w:r>
      <w:r>
        <w:rPr>
          <w:rStyle w:val="VerbatimChar"/>
        </w:rPr>
        <w:t xml:space="preserve">CapitalFlowAnalyzer</w:t>
      </w:r>
      <w:r>
        <w:t xml:space="preserve">)</w:t>
      </w:r>
    </w:p>
    <w:p>
      <w:pPr>
        <w:pStyle w:val="BodyText"/>
      </w:pPr>
      <w:r>
        <w:t xml:space="preserve">Following Ciminelli et al. (2022), we use</w:t>
      </w:r>
      <w:r>
        <w:t xml:space="preserve"> </w:t>
      </w:r>
      <w:r>
        <w:rPr>
          <w:b/>
          <w:bCs/>
        </w:rPr>
        <w:t xml:space="preserve">return differentials</w:t>
      </w:r>
      <w:r>
        <w:t xml:space="preserve"> </w:t>
      </w:r>
      <w:r>
        <w:t xml:space="preserve">as a proxy for capital flow direction:</w:t>
      </w:r>
    </w:p>
    <w:p>
      <w:pPr>
        <w:pStyle w:val="BodyText"/>
      </w:pPr>
      <m:oMathPara>
        <m:oMathParaPr>
          <m:jc m:val="center"/>
        </m:oMathParaPr>
        <m:oMath>
          <m:sSub>
            <m:e>
              <m:r>
                <m:rPr>
                  <m:nor/>
                  <m:sty m:val="p"/>
                </m:rPr>
                <m:t>Flow</m:t>
              </m:r>
            </m:e>
            <m:sub>
              <m:r>
                <m:t>i</m:t>
              </m:r>
              <m:r>
                <m:rPr>
                  <m:sty m:val="p"/>
                </m:rPr>
                <m:t>,</m:t>
              </m:r>
              <m:r>
                <m:t>t</m:t>
              </m:r>
            </m:sub>
          </m:sSub>
          <m:r>
            <m:rPr>
              <m:sty m:val="p"/>
            </m:rPr>
            <m:t>=</m:t>
          </m:r>
          <m:sSub>
            <m:e>
              <m:acc>
                <m:accPr>
                  <m:chr m:val="‾"/>
                </m:accPr>
                <m:e>
                  <m:r>
                    <m:t>R</m:t>
                  </m:r>
                </m:e>
              </m:acc>
            </m:e>
            <m:sub>
              <m:r>
                <m:t>i</m:t>
              </m:r>
              <m:r>
                <m:rPr>
                  <m:sty m:val="p"/>
                </m:rPr>
                <m:t>,</m:t>
              </m:r>
              <m:r>
                <m:rPr>
                  <m:nor/>
                  <m:sty m:val="p"/>
                </m:rPr>
                <m:t>post</m:t>
              </m:r>
            </m:sub>
          </m:sSub>
          <m:r>
            <m:rPr>
              <m:sty m:val="p"/>
            </m:rPr>
            <m:t>−</m:t>
          </m:r>
          <m:sSub>
            <m:e>
              <m:acc>
                <m:accPr>
                  <m:chr m:val="‾"/>
                </m:accPr>
                <m:e>
                  <m:r>
                    <m:t>R</m:t>
                  </m:r>
                </m:e>
              </m:acc>
            </m:e>
            <m:sub>
              <m:r>
                <m:t>i</m:t>
              </m:r>
              <m:r>
                <m:rPr>
                  <m:sty m:val="p"/>
                </m:rPr>
                <m:t>,</m:t>
              </m:r>
              <m:r>
                <m:rPr>
                  <m:nor/>
                  <m:sty m:val="p"/>
                </m:rPr>
                <m:t>pre</m:t>
              </m:r>
            </m:sub>
          </m:sSub>
        </m:oMath>
      </m:oMathPara>
    </w:p>
    <w:p>
      <w:pPr>
        <w:pStyle w:val="FirstParagraph"/>
      </w:pPr>
      <w:r>
        <w:t xml:space="preserve">where:</w:t>
      </w:r>
      <w:r>
        <w:t xml:space="preserve"> </w:t>
      </w:r>
      <w:r>
        <w:t xml:space="preserve">-</w:t>
      </w:r>
      <w:r>
        <w:t xml:space="preserve"> </w:t>
      </w:r>
      <m:oMath>
        <m:sSub>
          <m:e>
            <m:acc>
              <m:accPr>
                <m:chr m:val="‾"/>
              </m:accPr>
              <m:e>
                <m:r>
                  <m:t>R</m:t>
                </m:r>
              </m:e>
            </m:acc>
          </m:e>
          <m:sub>
            <m:r>
              <m:t>i</m:t>
            </m:r>
            <m:r>
              <m:rPr>
                <m:sty m:val="p"/>
              </m:rPr>
              <m:t>,</m:t>
            </m:r>
            <m:r>
              <m:rPr>
                <m:nor/>
                <m:sty m:val="p"/>
              </m:rPr>
              <m:t>pre</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5</m:t>
            </m:r>
            <m:r>
              <m:rPr>
                <m:sty m:val="p"/>
              </m:rPr>
              <m:t>,</m:t>
            </m:r>
            <m:r>
              <m:t>t</m:t>
            </m:r>
            <m:r>
              <m:rPr>
                <m:sty m:val="p"/>
              </m:rPr>
              <m:t>−</m:t>
            </m:r>
            <m:r>
              <m:t>1</m:t>
            </m:r>
          </m:e>
        </m:d>
      </m:oMath>
      <w:r>
        <w:t xml:space="preserve"> </w:t>
      </w:r>
      <w:r>
        <w:t xml:space="preserve">-</w:t>
      </w:r>
      <w:r>
        <w:t xml:space="preserve"> </w:t>
      </w:r>
      <m:oMath>
        <m:sSub>
          <m:e>
            <m:acc>
              <m:accPr>
                <m:chr m:val="‾"/>
              </m:accPr>
              <m:e>
                <m:r>
                  <m:t>R</m:t>
                </m:r>
              </m:e>
            </m:acc>
          </m:e>
          <m:sub>
            <m:r>
              <m:t>i</m:t>
            </m:r>
            <m:r>
              <m:rPr>
                <m:sty m:val="p"/>
              </m:rPr>
              <m:t>,</m:t>
            </m:r>
            <m:r>
              <m:rPr>
                <m:nor/>
                <m:sty m:val="p"/>
              </m:rPr>
              <m:t>post</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1</m:t>
            </m:r>
            <m:r>
              <m:rPr>
                <m:sty m:val="p"/>
              </m:rPr>
              <m:t>,</m:t>
            </m:r>
            <m:r>
              <m:t>t</m:t>
            </m:r>
            <m:r>
              <m:rPr>
                <m:sty m:val="p"/>
              </m:rPr>
              <m:t>+</m:t>
            </m:r>
            <m:r>
              <m:t>10</m:t>
            </m:r>
          </m:e>
        </m:d>
      </m:oMath>
    </w:p>
    <w:p>
      <w:pPr>
        <w:pStyle w:val="BodyText"/>
      </w:pPr>
      <w:r>
        <w:rPr>
          <w:b/>
          <w:bCs/>
        </w:rPr>
        <w:t xml:space="preserve">Asset class mapping</w:t>
      </w:r>
      <w:r>
        <w:t xml:space="preserve">: 9 classes (US Large Cap, US Tech, US Small Cap, EM, Treasuries, Corporate Bonds, Commodities, FX, Crypto) mapped to individual series.</w:t>
      </w:r>
    </w:p>
    <w:bookmarkEnd w:id="51"/>
    <w:bookmarkStart w:id="52" w:name="risk-regime-detection"/>
    <w:p>
      <w:pPr>
        <w:pStyle w:val="Heading3"/>
      </w:pPr>
      <w:r>
        <w:t xml:space="preserve">7.2 Risk Regime Detection</w:t>
      </w:r>
    </w:p>
    <w:p>
      <w:pPr>
        <w:pStyle w:val="FirstParagraph"/>
      </w:pPr>
      <m:oMathPara>
        <m:oMathParaPr>
          <m:jc m:val="center"/>
        </m:oMathParaPr>
        <m:oMath>
          <m:sSub>
            <m:e>
              <m:r>
                <m:rPr>
                  <m:nor/>
                  <m:sty m:val="p"/>
                </m:rPr>
                <m:t>Risk Spread</m:t>
              </m:r>
            </m:e>
            <m:sub>
              <m:r>
                <m:t>t</m:t>
              </m:r>
            </m:sub>
          </m:sSub>
          <m:r>
            <m:rPr>
              <m:sty m:val="p"/>
            </m:rPr>
            <m:t>=</m:t>
          </m:r>
          <m:sSub>
            <m:e>
              <m:acc>
                <m:accPr>
                  <m:chr m:val="‾"/>
                </m:accPr>
                <m:e>
                  <m:r>
                    <m:t>R</m:t>
                  </m:r>
                </m:e>
              </m:acc>
            </m:e>
            <m:sub>
              <m:r>
                <m:rPr>
                  <m:nor/>
                  <m:sty m:val="p"/>
                </m:rPr>
                <m:t>Risk-On</m:t>
              </m:r>
              <m:r>
                <m:rPr>
                  <m:sty m:val="p"/>
                </m:rPr>
                <m:t>,</m:t>
              </m:r>
              <m:r>
                <m:t>t</m:t>
              </m:r>
            </m:sub>
          </m:sSub>
          <m:r>
            <m:rPr>
              <m:sty m:val="p"/>
            </m:rPr>
            <m:t>−</m:t>
          </m:r>
          <m:sSub>
            <m:e>
              <m:acc>
                <m:accPr>
                  <m:chr m:val="‾"/>
                </m:accPr>
                <m:e>
                  <m:r>
                    <m:t>R</m:t>
                  </m:r>
                </m:e>
              </m:acc>
            </m:e>
            <m:sub>
              <m:r>
                <m:rPr>
                  <m:nor/>
                  <m:sty m:val="p"/>
                </m:rPr>
                <m:t>Risk-Off</m:t>
              </m:r>
              <m:r>
                <m:rPr>
                  <m:sty m:val="p"/>
                </m:rPr>
                <m:t>,</m:t>
              </m:r>
              <m:r>
                <m:t>t</m:t>
              </m:r>
            </m:sub>
          </m:sSub>
        </m:oMath>
      </m:oMathPara>
    </w:p>
    <w:p>
      <w:pPr>
        <w:pStyle w:val="Compact"/>
        <w:numPr>
          <w:ilvl w:val="0"/>
          <w:numId w:val="1006"/>
        </w:numPr>
      </w:pPr>
      <w:r>
        <w:rPr>
          <w:b/>
          <w:bCs/>
        </w:rPr>
        <w:t xml:space="preserve">Risk-On</w:t>
      </w:r>
      <w:r>
        <w:t xml:space="preserve">: US Large Cap, US Tech, US Small Cap, EM, Crypto</w:t>
      </w:r>
    </w:p>
    <w:p>
      <w:pPr>
        <w:pStyle w:val="Compact"/>
        <w:numPr>
          <w:ilvl w:val="0"/>
          <w:numId w:val="1006"/>
        </w:numPr>
      </w:pPr>
      <w:r>
        <w:rPr>
          <w:b/>
          <w:bCs/>
        </w:rPr>
        <w:t xml:space="preserve">Risk-Off</w:t>
      </w:r>
      <w:r>
        <w:t xml:space="preserve">: US Treasuries, Corporate Bonds</w:t>
      </w:r>
    </w:p>
    <w:p>
      <w:pPr>
        <w:pStyle w:val="FirstParagraph"/>
      </w:pPr>
      <w:r>
        <w:t xml:space="preserve">Regime =</w:t>
      </w:r>
      <w:r>
        <w:t xml:space="preserve"> </w:t>
      </w:r>
      <w:r>
        <w:t xml:space="preserve">“</w:t>
      </w:r>
      <w:r>
        <w:t xml:space="preserve">Risk-On</w:t>
      </w:r>
      <w:r>
        <w:t xml:space="preserve">”</w:t>
      </w:r>
      <w:r>
        <w:t xml:space="preserve"> </w:t>
      </w:r>
      <w:r>
        <w:t xml:space="preserve">if Risk Spread &gt; 0,</w:t>
      </w:r>
      <w:r>
        <w:t xml:space="preserve"> </w:t>
      </w:r>
      <w:r>
        <w:t xml:space="preserve">“</w:t>
      </w:r>
      <w:r>
        <w:t xml:space="preserve">Risk-Off</w:t>
      </w:r>
      <w:r>
        <w:t xml:space="preserve">”</w:t>
      </w:r>
      <w:r>
        <w:t xml:space="preserve"> </w:t>
      </w:r>
      <w:r>
        <w:t xml:space="preserve">otherwise. A</w:t>
      </w:r>
      <w:r>
        <w:t xml:space="preserve"> </w:t>
      </w:r>
      <w:r>
        <w:rPr>
          <w:b/>
          <w:bCs/>
        </w:rPr>
        <w:t xml:space="preserve">regime change</w:t>
      </w:r>
      <w:r>
        <w:t xml:space="preserve"> </w:t>
      </w:r>
      <w:r>
        <w:t xml:space="preserve">occurs when the post-FOMC regime differs from the pre-FOMC regime.</w:t>
      </w:r>
    </w:p>
    <w:bookmarkEnd w:id="52"/>
    <w:bookmarkStart w:id="53" w:name="cross-asset-correlation-change"/>
    <w:p>
      <w:pPr>
        <w:pStyle w:val="Heading3"/>
      </w:pPr>
      <w:r>
        <w:t xml:space="preserve">7.3 Cross-Asset Correlation Change</w:t>
      </w:r>
    </w:p>
    <w:p>
      <w:pPr>
        <w:pStyle w:val="FirstParagraph"/>
      </w:pPr>
      <m:oMathPara>
        <m:oMathParaPr>
          <m:jc m:val="center"/>
        </m:oMathParaPr>
        <m:oMath>
          <m:sSub>
            <m:e>
              <m:acc>
                <m:accPr>
                  <m:chr m:val="‾"/>
                </m:accPr>
                <m:e>
                  <m:r>
                    <m:t>ρ</m:t>
                  </m:r>
                </m:e>
              </m:acc>
            </m:e>
            <m:sub>
              <m:r>
                <m:rPr>
                  <m:nor/>
                  <m:sty m:val="p"/>
                </m:rPr>
                <m:t>pre</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pre</m:t>
                      </m:r>
                    </m:sup>
                  </m:sSubSup>
                </m:e>
              </m:nary>
            </m:num>
            <m:den>
              <m:r>
                <m:t>N</m:t>
              </m:r>
              <m:d>
                <m:dPr>
                  <m:begChr m:val="("/>
                  <m:endChr m:val=")"/>
                  <m:sepChr m:val=""/>
                  <m:grow/>
                </m:dPr>
                <m:e>
                  <m:r>
                    <m:t>N</m:t>
                  </m:r>
                  <m:r>
                    <m:rPr>
                      <m:sty m:val="p"/>
                    </m:rPr>
                    <m:t>−</m:t>
                  </m:r>
                  <m:r>
                    <m:t>1</m:t>
                  </m:r>
                </m:e>
              </m:d>
            </m:den>
          </m:f>
          <m:r>
            <m:rPr>
              <m:sty m:val="p"/>
            </m:rPr>
            <m:t>,</m:t>
          </m:r>
          <m:r>
            <m:t> </m:t>
          </m:r>
          <m:sSub>
            <m:e>
              <m:acc>
                <m:accPr>
                  <m:chr m:val="‾"/>
                </m:accPr>
                <m:e>
                  <m:r>
                    <m:t>ρ</m:t>
                  </m:r>
                </m:e>
              </m:acc>
            </m:e>
            <m:sub>
              <m:r>
                <m:rPr>
                  <m:nor/>
                  <m:sty m:val="p"/>
                </m:rPr>
                <m:t>post</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post</m:t>
                      </m:r>
                    </m:sup>
                  </m:sSubSup>
                </m:e>
              </m:nary>
            </m:num>
            <m:den>
              <m:r>
                <m:t>N</m:t>
              </m:r>
              <m:d>
                <m:dPr>
                  <m:begChr m:val="("/>
                  <m:endChr m:val=")"/>
                  <m:sepChr m:val=""/>
                  <m:grow/>
                </m:dPr>
                <m:e>
                  <m:r>
                    <m:t>N</m:t>
                  </m:r>
                  <m:r>
                    <m:rPr>
                      <m:sty m:val="p"/>
                    </m:rPr>
                    <m:t>−</m:t>
                  </m:r>
                  <m:r>
                    <m:t>1</m:t>
                  </m:r>
                </m:e>
              </m:d>
            </m:den>
          </m:f>
        </m:oMath>
      </m:oMathPara>
    </w:p>
    <w:p>
      <w:pPr>
        <w:pStyle w:val="FirstParagraph"/>
      </w:pPr>
      <w:r>
        <w:t xml:space="preserve">An increase in average pairwise correlation post-FOMC suggests</w:t>
      </w:r>
      <w:r>
        <w:t xml:space="preserve"> </w:t>
      </w:r>
      <w:r>
        <w:rPr>
          <w:b/>
          <w:bCs/>
        </w:rPr>
        <w:t xml:space="preserve">herding behavior</w:t>
      </w:r>
      <w:r>
        <w:t xml:space="preserve"> </w:t>
      </w:r>
      <w:r>
        <w:t xml:space="preserve">— investors move in the same direction across asset classes in response to the announcement.</w:t>
      </w:r>
    </w:p>
    <w:p>
      <w:pPr>
        <w:pStyle w:val="BodyText"/>
      </w:pPr>
      <w:r>
        <w:rPr>
          <w:b/>
          <w:bCs/>
        </w:rPr>
        <w:t xml:space="preserve">Window</w:t>
      </w:r>
      <w:r>
        <w:t xml:space="preserve">: 30 trading days pre/post.</w:t>
      </w:r>
    </w:p>
    <w:p>
      <w:r>
        <w:pict>
          <v:rect style="width:0;height:1.5pt" o:hralign="center" o:hrstd="t" o:hr="t"/>
        </w:pict>
      </w:r>
    </w:p>
    <w:bookmarkEnd w:id="53"/>
    <w:bookmarkEnd w:id="54"/>
    <w:bookmarkStart w:id="58" w:name="dashboard-specific-modules"/>
    <w:p>
      <w:pPr>
        <w:pStyle w:val="Heading2"/>
      </w:pPr>
      <w:r>
        <w:t xml:space="preserve">8. Dashboard-Specific Modules</w:t>
      </w:r>
    </w:p>
    <w:bookmarkStart w:id="55" w:name="fed-intelligence-nlp"/>
    <w:p>
      <w:pPr>
        <w:pStyle w:val="Heading3"/>
      </w:pPr>
      <w:r>
        <w:t xml:space="preserve">8.1 Fed Intelligence (NLP)</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NLPEngine</w:t>
      </w:r>
      <w:r>
        <w:t xml:space="preserve">)</w:t>
      </w:r>
    </w:p>
    <w:p>
      <w:pPr>
        <w:pStyle w:val="Compact"/>
        <w:numPr>
          <w:ilvl w:val="0"/>
          <w:numId w:val="1007"/>
        </w:numPr>
      </w:pPr>
      <w:r>
        <w:rPr>
          <w:b/>
          <w:bCs/>
        </w:rPr>
        <w:t xml:space="preserve">Sentiment</w:t>
      </w:r>
      <w:r>
        <w:t xml:space="preserve">: Hawkish/dovish word counting with partial string matching (</w:t>
      </w:r>
      <w:r>
        <w:rPr>
          <w:rStyle w:val="VerbatimChar"/>
        </w:rPr>
        <w:t xml:space="preserve">any(h in w for h in HAWKISH_WORDS)</w:t>
      </w:r>
      <w:r>
        <w:t xml:space="preserve">)</w:t>
      </w:r>
    </w:p>
    <w:p>
      <w:pPr>
        <w:pStyle w:val="Compact"/>
        <w:numPr>
          <w:ilvl w:val="0"/>
          <w:numId w:val="1007"/>
        </w:numPr>
      </w:pPr>
      <w:r>
        <w:rPr>
          <w:b/>
          <w:bCs/>
        </w:rPr>
        <w:t xml:space="preserve">Readability</w:t>
      </w:r>
      <w:r>
        <w:t xml:space="preserve">: Simplified Flesch Reading Ease score:</w:t>
      </w:r>
    </w:p>
    <w:p>
      <w:pPr>
        <w:pStyle w:val="Compact"/>
      </w:pPr>
      <m:oMathPara>
        <m:oMathParaPr>
          <m:jc m:val="center"/>
        </m:oMathParaPr>
        <m:oMath>
          <m:r>
            <m:rPr>
              <m:nor/>
              <m:sty m:val="p"/>
            </m:rPr>
            <m:t>Flesch</m:t>
          </m:r>
          <m:r>
            <m:rPr>
              <m:sty m:val="p"/>
            </m:rPr>
            <m:t>=</m:t>
          </m:r>
          <m:r>
            <m:t>206.835</m:t>
          </m:r>
          <m:r>
            <m:rPr>
              <m:sty m:val="p"/>
            </m:rPr>
            <m:t>−</m:t>
          </m:r>
          <m:r>
            <m:t>1.015</m:t>
          </m:r>
          <m:r>
            <m:rPr>
              <m:sty m:val="p"/>
            </m:rPr>
            <m:t>⋅</m:t>
          </m:r>
          <m:f>
            <m:fPr>
              <m:type m:val="bar"/>
            </m:fPr>
            <m:num>
              <m:r>
                <m:rPr>
                  <m:nor/>
                  <m:sty m:val="p"/>
                </m:rPr>
                <m:t>words</m:t>
              </m:r>
            </m:num>
            <m:den>
              <m:r>
                <m:rPr>
                  <m:nor/>
                  <m:sty m:val="p"/>
                </m:rPr>
                <m:t>sentences</m:t>
              </m:r>
            </m:den>
          </m:f>
          <m:r>
            <m:rPr>
              <m:sty m:val="p"/>
            </m:rPr>
            <m:t>−</m:t>
          </m:r>
          <m:r>
            <m:t>84.6</m:t>
          </m:r>
          <m:r>
            <m:rPr>
              <m:sty m:val="p"/>
            </m:rPr>
            <m:t>⋅</m:t>
          </m:r>
          <m:f>
            <m:fPr>
              <m:type m:val="bar"/>
            </m:fPr>
            <m:num>
              <m:r>
                <m:rPr>
                  <m:nor/>
                  <m:sty m:val="p"/>
                </m:rPr>
                <m:t>syllables</m:t>
              </m:r>
            </m:num>
            <m:den>
              <m:r>
                <m:rPr>
                  <m:nor/>
                  <m:sty m:val="p"/>
                </m:rPr>
                <m:t>words</m:t>
              </m:r>
            </m:den>
          </m:f>
        </m:oMath>
      </m:oMathPara>
    </w:p>
    <w:p>
      <w:pPr>
        <w:pStyle w:val="Compact"/>
        <w:numPr>
          <w:ilvl w:val="0"/>
          <w:numId w:val="1007"/>
        </w:numPr>
      </w:pPr>
      <w:r>
        <w:rPr>
          <w:b/>
          <w:bCs/>
        </w:rPr>
        <w:t xml:space="preserve">Diff analysis</w:t>
      </w:r>
      <w:r>
        <w:t xml:space="preserve">: Set-difference of word tokens between two statements, filtered to words &gt; 4 characters</w:t>
      </w:r>
    </w:p>
    <w:bookmarkEnd w:id="55"/>
    <w:bookmarkStart w:id="56" w:name="two-shocks-dashboard-visualization"/>
    <w:p>
      <w:pPr>
        <w:pStyle w:val="Heading3"/>
      </w:pPr>
      <w:r>
        <w:t xml:space="preserve">8.2 Two Shocks (Dashboard Visualization)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TwoShocksEngine</w:t>
      </w:r>
      <w:r>
        <w:t xml:space="preserve">)</w:t>
      </w:r>
    </w:p>
    <w:p>
      <w:pPr>
        <w:pStyle w:val="BodyText"/>
      </w:pPr>
      <w:r>
        <w:t xml:space="preserve">The dashboard version uses</w:t>
      </w:r>
      <w:r>
        <w:t xml:space="preserve"> </w:t>
      </w:r>
      <w:r>
        <w:rPr>
          <w:b/>
          <w:bCs/>
        </w:rPr>
        <w:t xml:space="preserve">simulated</w:t>
      </w:r>
      <w:r>
        <w:t xml:space="preserve"> </w:t>
      </w:r>
      <w:r>
        <w:t xml:space="preserve">variance decomposition with empirical priors: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center"/>
            </w:pPr>
            <w:r>
              <w:t xml:space="preserve">Policy %</w:t>
            </w:r>
          </w:p>
        </w:tc>
        <w:tc>
          <w:tcPr/>
          <w:p>
            <w:pPr>
              <w:pStyle w:val="Compact"/>
              <w:jc w:val="center"/>
            </w:pPr>
            <w:r>
              <w:t xml:space="preserve">Info %</w:t>
            </w:r>
          </w:p>
        </w:tc>
      </w:tr>
      <w:tr>
        <w:tc>
          <w:tcPr/>
          <w:p>
            <w:pPr>
              <w:pStyle w:val="Compact"/>
              <w:jc w:val="left"/>
            </w:pPr>
            <w:r>
              <w:t xml:space="preserve">S&amp;P 500</w:t>
            </w:r>
          </w:p>
        </w:tc>
        <w:tc>
          <w:tcPr/>
          <w:p>
            <w:pPr>
              <w:pStyle w:val="Compact"/>
              <w:jc w:val="center"/>
            </w:pPr>
            <w:r>
              <w:t xml:space="preserve">55</w:t>
            </w:r>
          </w:p>
        </w:tc>
        <w:tc>
          <w:tcPr/>
          <w:p>
            <w:pPr>
              <w:pStyle w:val="Compact"/>
              <w:jc w:val="center"/>
            </w:pPr>
            <w:r>
              <w:t xml:space="preserve">45</w:t>
            </w:r>
          </w:p>
        </w:tc>
      </w:tr>
      <w:tr>
        <w:tc>
          <w:tcPr/>
          <w:p>
            <w:pPr>
              <w:pStyle w:val="Compact"/>
              <w:jc w:val="left"/>
            </w:pPr>
            <w:r>
              <w:t xml:space="preserve">10Y Treasury</w:t>
            </w:r>
          </w:p>
        </w:tc>
        <w:tc>
          <w:tcPr/>
          <w:p>
            <w:pPr>
              <w:pStyle w:val="Compact"/>
              <w:jc w:val="center"/>
            </w:pPr>
            <w:r>
              <w:t xml:space="preserve">70</w:t>
            </w:r>
          </w:p>
        </w:tc>
        <w:tc>
          <w:tcPr/>
          <w:p>
            <w:pPr>
              <w:pStyle w:val="Compact"/>
              <w:jc w:val="center"/>
            </w:pPr>
            <w:r>
              <w:t xml:space="preserve">30</w:t>
            </w:r>
          </w:p>
        </w:tc>
      </w:tr>
      <w:tr>
        <w:tc>
          <w:tcPr/>
          <w:p>
            <w:pPr>
              <w:pStyle w:val="Compact"/>
              <w:jc w:val="left"/>
            </w:pPr>
            <w:r>
              <w:t xml:space="preserve">DXY</w:t>
            </w:r>
          </w:p>
        </w:tc>
        <w:tc>
          <w:tcPr/>
          <w:p>
            <w:pPr>
              <w:pStyle w:val="Compact"/>
              <w:jc w:val="center"/>
            </w:pPr>
            <w:r>
              <w:t xml:space="preserve">65</w:t>
            </w:r>
          </w:p>
        </w:tc>
        <w:tc>
          <w:tcPr/>
          <w:p>
            <w:pPr>
              <w:pStyle w:val="Compact"/>
              <w:jc w:val="center"/>
            </w:pPr>
            <w:r>
              <w:t xml:space="preserve">35</w:t>
            </w:r>
          </w:p>
        </w:tc>
      </w:tr>
      <w:tr>
        <w:tc>
          <w:tcPr/>
          <w:p>
            <w:pPr>
              <w:pStyle w:val="Compact"/>
              <w:jc w:val="left"/>
            </w:pPr>
            <w:r>
              <w:t xml:space="preserve">VIX</w:t>
            </w:r>
          </w:p>
        </w:tc>
        <w:tc>
          <w:tcPr/>
          <w:p>
            <w:pPr>
              <w:pStyle w:val="Compact"/>
              <w:jc w:val="center"/>
            </w:pPr>
            <w:r>
              <w:t xml:space="preserve">40</w:t>
            </w:r>
          </w:p>
        </w:tc>
        <w:tc>
          <w:tcPr/>
          <w:p>
            <w:pPr>
              <w:pStyle w:val="Compact"/>
              <w:jc w:val="center"/>
            </w:pPr>
            <w:r>
              <w:t xml:space="preserve">60</w:t>
            </w:r>
          </w:p>
        </w:tc>
      </w:tr>
      <w:tr>
        <w:tc>
          <w:tcPr/>
          <w:p>
            <w:pPr>
              <w:pStyle w:val="Compact"/>
              <w:jc w:val="left"/>
            </w:pPr>
            <w:r>
              <w:t xml:space="preserve">Gold</w:t>
            </w:r>
          </w:p>
        </w:tc>
        <w:tc>
          <w:tcPr/>
          <w:p>
            <w:pPr>
              <w:pStyle w:val="Compact"/>
              <w:jc w:val="center"/>
            </w:pPr>
            <w:r>
              <w:t xml:space="preserve">50</w:t>
            </w:r>
          </w:p>
        </w:tc>
        <w:tc>
          <w:tcPr/>
          <w:p>
            <w:pPr>
              <w:pStyle w:val="Compact"/>
              <w:jc w:val="center"/>
            </w:pPr>
            <w:r>
              <w:t xml:space="preserve">50</w:t>
            </w:r>
          </w:p>
        </w:tc>
      </w:tr>
    </w:tbl>
    <w:p>
      <w:pPr>
        <w:pStyle w:val="BodyText"/>
      </w:pPr>
      <w:r>
        <w:t xml:space="preserve">With Gaussian noise (</w:t>
      </w:r>
      <m:oMath>
        <m:r>
          <m:t>σ</m:t>
        </m:r>
        <m:r>
          <m:rPr>
            <m:sty m:val="p"/>
          </m:rPr>
          <m:t>=</m:t>
        </m:r>
        <m:r>
          <m:t>3</m:t>
        </m:r>
      </m:oMath>
      <w:r>
        <w:t xml:space="preserve">) added and renormalized to 100%. These are</w:t>
      </w:r>
      <w:r>
        <w:t xml:space="preserve"> </w:t>
      </w:r>
      <w:r>
        <w:rPr>
          <w:b/>
          <w:bCs/>
        </w:rPr>
        <w:t xml:space="preserve">illustrative</w:t>
      </w:r>
      <w:r>
        <w:t xml:space="preserve"> </w:t>
      </w:r>
      <w:r>
        <w:t xml:space="preserve">and will be replaced by actual regression-based decomposition once WRDS data is available.</w:t>
      </w:r>
    </w:p>
    <w:bookmarkEnd w:id="56"/>
    <w:bookmarkStart w:id="57" w:name="portfolio-rebalancing-simulation"/>
    <w:p>
      <w:pPr>
        <w:pStyle w:val="Heading3"/>
      </w:pPr>
      <w:r>
        <w:t xml:space="preserve">8.3 Portfolio Rebalancing Simulation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PortfolioEngine</w:t>
      </w:r>
      <w:r>
        <w:t xml:space="preserve">)</w:t>
      </w:r>
    </w:p>
    <w:p>
      <w:pPr>
        <w:pStyle w:val="BodyText"/>
      </w:pPr>
      <w:r>
        <w:t xml:space="preserve">5 investor types × 6 shock scenarios, with pre-specified allocation shifts:</w:t>
      </w:r>
    </w:p>
    <w:p>
      <w:pPr>
        <w:pStyle w:val="Compact"/>
        <w:numPr>
          <w:ilvl w:val="0"/>
          <w:numId w:val="1008"/>
        </w:numPr>
      </w:pPr>
      <w:r>
        <w:rPr>
          <w:b/>
          <w:bCs/>
        </w:rPr>
        <w:t xml:space="preserve">Base allocations</w:t>
      </w:r>
      <w:r>
        <w:t xml:space="preserve">: Mutual Funds, Hedge Funds, Pension Funds, Foreign Investors, Retail</w:t>
      </w:r>
    </w:p>
    <w:p>
      <w:pPr>
        <w:pStyle w:val="Compact"/>
        <w:numPr>
          <w:ilvl w:val="0"/>
          <w:numId w:val="1008"/>
        </w:numPr>
      </w:pPr>
      <w:r>
        <w:rPr>
          <w:b/>
          <w:bCs/>
        </w:rPr>
        <w:t xml:space="preserve">Shock scenarios</w:t>
      </w:r>
      <w:r>
        <w:t xml:space="preserve">: ±25bp, ±50bp rate surprise; strong/weak economy information shock</w:t>
      </w:r>
    </w:p>
    <w:p>
      <w:pPr>
        <w:pStyle w:val="Compact"/>
        <w:numPr>
          <w:ilvl w:val="0"/>
          <w:numId w:val="1008"/>
        </w:numPr>
      </w:pPr>
      <w:r>
        <w:rPr>
          <w:b/>
          <w:bCs/>
        </w:rPr>
        <w:t xml:space="preserve">Method</w:t>
      </w:r>
      <w:r>
        <w:t xml:space="preserve">: Add shock effect to base allocation, clip at 0, renormalize to 100%</w:t>
      </w:r>
    </w:p>
    <w:p>
      <w:pPr>
        <w:pStyle w:val="FirstParagraph"/>
      </w:pPr>
      <w:r>
        <w:t xml:space="preserve">This is a</w:t>
      </w:r>
      <w:r>
        <w:t xml:space="preserve"> </w:t>
      </w:r>
      <w:r>
        <w:rPr>
          <w:b/>
          <w:bCs/>
        </w:rPr>
        <w:t xml:space="preserve">heuristic simulation</w:t>
      </w:r>
      <w:r>
        <w:t xml:space="preserve">, not estimated from data. It serves as a pedagogical tool for understanding directional capital flow patterns.</w:t>
      </w:r>
    </w:p>
    <w:p>
      <w:r>
        <w:pict>
          <v:rect style="width:0;height:1.5pt" o:hralign="center" o:hrstd="t" o:hr="t"/>
        </w:pict>
      </w:r>
    </w:p>
    <w:bookmarkEnd w:id="57"/>
    <w:bookmarkEnd w:id="58"/>
    <w:bookmarkStart w:id="65" w:name="key-methodological-notes-limitations"/>
    <w:p>
      <w:pPr>
        <w:pStyle w:val="Heading2"/>
      </w:pPr>
      <w:r>
        <w:t xml:space="preserve">9. Key Methodological Notes &amp; Limitations</w:t>
      </w:r>
    </w:p>
    <w:bookmarkStart w:id="59" w:name="surprise-measurement"/>
    <w:p>
      <w:pPr>
        <w:pStyle w:val="Heading3"/>
      </w:pPr>
      <w:r>
        <w:t xml:space="preserve">9.1 Surprise Measurement</w:t>
      </w:r>
    </w:p>
    <w:tbl>
      <w:tblPr>
        <w:tblStyle w:val="Table"/>
        <w:tblW w:type="pct" w:w="5000"/>
        <w:jc w:val="left"/>
        <w:tblLayout w:type="fixed"/>
        <w:tblLook w:firstRow="1" w:lastRow="0" w:firstColumn="0" w:lastColumn="0" w:noHBand="0" w:noVBand="0" w:val="0020"/>
      </w:tblPr>
      <w:tblGrid>
        <w:gridCol w:w="1885"/>
        <w:gridCol w:w="2828"/>
        <w:gridCol w:w="1508"/>
        <w:gridCol w:w="1697"/>
      </w:tblGrid>
      <w:tr>
        <w:trPr>
          <w:tblHeader w:val="on"/>
        </w:trPr>
        <w:tc>
          <w:tcPr/>
          <w:p>
            <w:pPr>
              <w:pStyle w:val="Compact"/>
              <w:jc w:val="left"/>
            </w:pPr>
            <w:r>
              <w:t xml:space="preserve">Approach</w:t>
            </w:r>
          </w:p>
        </w:tc>
        <w:tc>
          <w:tcPr/>
          <w:p>
            <w:pPr>
              <w:pStyle w:val="Compact"/>
              <w:jc w:val="left"/>
            </w:pPr>
            <w:r>
              <w:t xml:space="preserve">Data Required</w:t>
            </w:r>
          </w:p>
        </w:tc>
        <w:tc>
          <w:tcPr/>
          <w:p>
            <w:pPr>
              <w:pStyle w:val="Compact"/>
              <w:jc w:val="left"/>
            </w:pPr>
            <w:r>
              <w:t xml:space="preserve">Status</w:t>
            </w:r>
          </w:p>
        </w:tc>
        <w:tc>
          <w:tcPr/>
          <w:p>
            <w:pPr>
              <w:pStyle w:val="Compact"/>
              <w:jc w:val="left"/>
            </w:pPr>
            <w:r>
              <w:t xml:space="preserve">Quality</w:t>
            </w:r>
          </w:p>
        </w:tc>
      </w:tr>
      <w:tr>
        <w:tc>
          <w:tcPr/>
          <w:p>
            <w:pPr>
              <w:pStyle w:val="Compact"/>
              <w:jc w:val="left"/>
            </w:pPr>
            <w:r>
              <w:t xml:space="preserve">Δr_t (rate change)</w:t>
            </w:r>
          </w:p>
        </w:tc>
        <w:tc>
          <w:tcPr/>
          <w:p>
            <w:pPr>
              <w:pStyle w:val="Compact"/>
              <w:jc w:val="left"/>
            </w:pPr>
            <w:r>
              <w:t xml:space="preserve">FOMC records</w:t>
            </w:r>
          </w:p>
        </w:tc>
        <w:tc>
          <w:tcPr/>
          <w:p>
            <w:pPr>
              <w:pStyle w:val="Compact"/>
              <w:jc w:val="left"/>
            </w:pPr>
            <w:r>
              <w:t xml:space="preserve">✅ Legacy (v1–v4)</w:t>
            </w:r>
          </w:p>
        </w:tc>
        <w:tc>
          <w:tcPr/>
          <w:p>
            <w:pPr>
              <w:pStyle w:val="Compact"/>
              <w:jc w:val="left"/>
            </w:pPr>
            <w:r>
              <w:t xml:space="preserve">Low — zero for unchanged meetings</w:t>
            </w:r>
          </w:p>
        </w:tc>
      </w:tr>
      <w:tr>
        <w:tc>
          <w:tcPr/>
          <w:p>
            <w:pPr>
              <w:pStyle w:val="Compact"/>
              <w:jc w:val="left"/>
            </w:pPr>
            <w:r>
              <w:t xml:space="preserve">Acosta et al. (2024) shocks</w:t>
            </w:r>
          </w:p>
        </w:tc>
        <w:tc>
          <w:tcPr/>
          <w:p>
            <w:pPr>
              <w:pStyle w:val="Compact"/>
              <w:jc w:val="left"/>
            </w:pPr>
            <w:r>
              <w:t xml:space="preserve">HF futures</w:t>
            </w:r>
          </w:p>
        </w:tc>
        <w:tc>
          <w:tcPr/>
          <w:p>
            <w:pPr>
              <w:pStyle w:val="Compact"/>
              <w:jc w:val="left"/>
            </w:pPr>
            <w:r>
              <w:t xml:space="preserve">✅ Active (v6+)</w:t>
            </w:r>
          </w:p>
        </w:tc>
        <w:tc>
          <w:tcPr/>
          <w:p>
            <w:pPr>
              <w:pStyle w:val="Compact"/>
              <w:jc w:val="left"/>
            </w:pPr>
            <w:r>
              <w:t xml:space="preserve">High — market-based, narrow-window</w:t>
            </w:r>
          </w:p>
        </w:tc>
      </w:tr>
      <w:tr>
        <w:tc>
          <w:tcPr/>
          <w:p>
            <w:pPr>
              <w:pStyle w:val="Compact"/>
              <w:jc w:val="left"/>
            </w:pPr>
            <w:r>
              <w:t xml:space="preserve">Kuttner (2001) target surprise</w:t>
            </w:r>
          </w:p>
        </w:tc>
        <w:tc>
          <w:tcPr/>
          <w:p>
            <w:pPr>
              <w:pStyle w:val="Compact"/>
              <w:jc w:val="left"/>
            </w:pPr>
            <w:r>
              <w:t xml:space="preserve">CME FF futures</w:t>
            </w:r>
          </w:p>
        </w:tc>
        <w:tc>
          <w:tcPr/>
          <w:p>
            <w:pPr>
              <w:pStyle w:val="Compact"/>
              <w:jc w:val="left"/>
            </w:pPr>
            <w:r>
              <w:t xml:space="preserve">⏳ WRDS pending</w:t>
            </w:r>
          </w:p>
        </w:tc>
        <w:tc>
          <w:tcPr/>
          <w:p>
            <w:pPr>
              <w:pStyle w:val="Compact"/>
              <w:jc w:val="left"/>
            </w:pPr>
            <w:r>
              <w:t xml:space="preserve">High — direct replication</w:t>
            </w:r>
          </w:p>
        </w:tc>
      </w:tr>
      <w:tr>
        <w:tc>
          <w:tcPr/>
          <w:p>
            <w:pPr>
              <w:pStyle w:val="Compact"/>
              <w:jc w:val="left"/>
            </w:pPr>
            <w:r>
              <w:t xml:space="preserve">Gürkaynak et al. (2005) path factor</w:t>
            </w:r>
          </w:p>
        </w:tc>
        <w:tc>
          <w:tcPr/>
          <w:p>
            <w:pPr>
              <w:pStyle w:val="Compact"/>
              <w:jc w:val="left"/>
            </w:pPr>
            <w:r>
              <w:t xml:space="preserve">CME ED futures</w:t>
            </w:r>
          </w:p>
        </w:tc>
        <w:tc>
          <w:tcPr/>
          <w:p>
            <w:pPr>
              <w:pStyle w:val="Compact"/>
              <w:jc w:val="left"/>
            </w:pPr>
            <w:r>
              <w:t xml:space="preserve">⏳ WRDS pending</w:t>
            </w:r>
          </w:p>
        </w:tc>
        <w:tc>
          <w:tcPr/>
          <w:p>
            <w:pPr>
              <w:pStyle w:val="Compact"/>
              <w:jc w:val="left"/>
            </w:pPr>
            <w:r>
              <w:t xml:space="preserve">High — captures forward guidance</w:t>
            </w:r>
          </w:p>
        </w:tc>
      </w:tr>
    </w:tbl>
    <w:p>
      <w:pPr>
        <w:pStyle w:val="BodyText"/>
      </w:pPr>
      <w:r>
        <w:rPr>
          <w:b/>
          <w:bCs/>
        </w:rPr>
        <w:t xml:space="preserve">Impact</w:t>
      </w:r>
      <w:r>
        <w:t xml:space="preserve">: The switch from naive proxy to Acosta shocks increased H1 R² from 0.39% to 4.06%, a 10× improvement. The path factor is now significant at 5% (was not detectable with Δr).</w:t>
      </w:r>
    </w:p>
    <w:bookmarkEnd w:id="59"/>
    <w:bookmarkStart w:id="60" w:name="sentiment-measurement"/>
    <w:p>
      <w:pPr>
        <w:pStyle w:val="Heading3"/>
      </w:pPr>
      <w:r>
        <w:t xml:space="preserve">9.2 Sentiment Measurement</w:t>
      </w:r>
    </w:p>
    <w:p>
      <w:pPr>
        <w:pStyle w:val="FirstParagraph"/>
      </w:pPr>
      <w:r>
        <w:t xml:space="preserve">The dictionary approach has known limitations (see §3.3). The most impactful upgrade path:</w:t>
      </w:r>
    </w:p>
    <w:p>
      <w:pPr>
        <w:pStyle w:val="Compact"/>
        <w:numPr>
          <w:ilvl w:val="0"/>
          <w:numId w:val="1009"/>
        </w:numPr>
      </w:pPr>
      <w:r>
        <w:rPr>
          <w:b/>
          <w:bCs/>
        </w:rPr>
        <w:t xml:space="preserve">Short-term</w:t>
      </w:r>
      <w:r>
        <w:t xml:space="preserve">: Use CB-only sentiment for H1 regression (has actual sign variation, 78% negative)</w:t>
      </w:r>
    </w:p>
    <w:p>
      <w:pPr>
        <w:pStyle w:val="Compact"/>
        <w:numPr>
          <w:ilvl w:val="0"/>
          <w:numId w:val="1009"/>
        </w:numPr>
      </w:pPr>
      <w:r>
        <w:rPr>
          <w:b/>
          <w:bCs/>
        </w:rPr>
        <w:t xml:space="preserve">Medium-term</w:t>
      </w:r>
      <w:r>
        <w:t xml:space="preserve">: Implement FinBERT for contextual sentiment (requires GPU)</w:t>
      </w:r>
    </w:p>
    <w:p>
      <w:pPr>
        <w:pStyle w:val="Compact"/>
        <w:numPr>
          <w:ilvl w:val="0"/>
          <w:numId w:val="1009"/>
        </w:numPr>
      </w:pPr>
      <w:r>
        <w:rPr>
          <w:b/>
          <w:bCs/>
        </w:rPr>
        <w:t xml:space="preserve">Long-term</w:t>
      </w:r>
      <w:r>
        <w:t xml:space="preserve">: Fine-tune a BERT model on FOMC statements with hawkish/dovish labels</w:t>
      </w:r>
    </w:p>
    <w:p>
      <w:pPr>
        <w:pStyle w:val="FirstParagraph"/>
      </w:pPr>
      <w:r>
        <w:rPr>
          <w:b/>
          <w:bCs/>
        </w:rPr>
        <w:t xml:space="preserve">LM positivity bias</w:t>
      </w:r>
      <w:r>
        <w:t xml:space="preserve">: The LM score is always positive for FOMC text (min = 0.006 across 140 statements). This is because FOMC statements use more positive than negative words regardless of policy stance —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combined = 0.5 × LM + 0.5 × CB dilutes the CB signal. Using CB-only sentiment should improve H1 R².</w:t>
      </w:r>
    </w:p>
    <w:bookmarkEnd w:id="60"/>
    <w:bookmarkStart w:id="61" w:name="standard-errors"/>
    <w:p>
      <w:pPr>
        <w:pStyle w:val="Heading3"/>
      </w:pPr>
      <w:r>
        <w:t xml:space="preserve">9.3 Standard Errors</w:t>
      </w:r>
    </w:p>
    <w:p>
      <w:pPr>
        <w:pStyle w:val="FirstParagraph"/>
      </w:pPr>
      <w:r>
        <w:t xml:space="preserve">Current implementation uses</w:t>
      </w:r>
      <w:r>
        <w:t xml:space="preserve"> </w:t>
      </w:r>
      <w:r>
        <w:rPr>
          <w:b/>
          <w:bCs/>
        </w:rPr>
        <w:t xml:space="preserve">Newey-West HAC</w:t>
      </w:r>
      <w:r>
        <w:t xml:space="preserve"> </w:t>
      </w:r>
      <w:r>
        <w:t xml:space="preserve">standard errors with lag = 1. This is appropriate for time-series data with potential heteroskedasticity and autocorrelation.</w:t>
      </w:r>
    </w:p>
    <w:p>
      <w:pPr>
        <w:pStyle w:val="BodyText"/>
      </w:pPr>
      <w:r>
        <w:rPr>
          <w:b/>
          <w:bCs/>
        </w:rPr>
        <w:t xml:space="preserve">Lag choice</w:t>
      </w:r>
      <w:r>
        <w:t xml:space="preserve">: Lag = 1 is conservative. The Bartlett formula suggests lag ≈ 4 for T = 117, but FOMC meetings are irregularly spaced (6–8 per year), making the autocorrelation structure different from daily data. Lag = 1 may understate standard errors (overstate significance). Sensitivity analysis with lag = 4 is recommended.</w:t>
      </w:r>
    </w:p>
    <w:p>
      <w:pPr>
        <w:pStyle w:val="BodyText"/>
      </w:pPr>
      <w:r>
        <w:rPr>
          <w:b/>
          <w:bCs/>
        </w:rPr>
        <w:t xml:space="preserve">Planned upgrades</w:t>
      </w:r>
      <w:r>
        <w:t xml:space="preserve">:</w:t>
      </w:r>
      <w:r>
        <w:t xml:space="preserve"> </w:t>
      </w:r>
      <w:r>
        <w:t xml:space="preserve">-</w:t>
      </w:r>
      <w:r>
        <w:t xml:space="preserve"> </w:t>
      </w:r>
      <w:r>
        <w:rPr>
          <w:b/>
          <w:bCs/>
        </w:rPr>
        <w:t xml:space="preserve">White (1980)</w:t>
      </w:r>
      <w:r>
        <w:t xml:space="preserve"> </w:t>
      </w:r>
      <w:r>
        <w:t xml:space="preserve">heteroskedasticity-robust SE for cross-sectional regressions</w:t>
      </w:r>
      <w:r>
        <w:t xml:space="preserve"> </w:t>
      </w:r>
      <w:r>
        <w:t xml:space="preserve">-</w:t>
      </w:r>
      <w:r>
        <w:t xml:space="preserve"> </w:t>
      </w:r>
      <w:r>
        <w:rPr>
          <w:b/>
          <w:bCs/>
        </w:rPr>
        <w:t xml:space="preserve">Thompson (2011)</w:t>
      </w:r>
      <w:r>
        <w:t xml:space="preserve"> </w:t>
      </w:r>
      <w:r>
        <w:t xml:space="preserve">double-clustered SE (by time and by asset) for panel regressions</w:t>
      </w:r>
      <w:r>
        <w:t xml:space="preserve"> </w:t>
      </w:r>
      <w:r>
        <w:t xml:space="preserve">-</w:t>
      </w:r>
      <w:r>
        <w:t xml:space="preserve"> </w:t>
      </w:r>
      <w:r>
        <w:rPr>
          <w:b/>
          <w:bCs/>
        </w:rPr>
        <w:t xml:space="preserve">Lag sensitivity analysis</w:t>
      </w:r>
      <w:r>
        <w:t xml:space="preserve">: Report results for lag ∈ {1, 2, 4, 6}</w:t>
      </w:r>
    </w:p>
    <w:bookmarkEnd w:id="61"/>
    <w:bookmarkStart w:id="62" w:name="multiple-testing"/>
    <w:p>
      <w:pPr>
        <w:pStyle w:val="Heading3"/>
      </w:pPr>
      <w:r>
        <w:t xml:space="preserve">9.4 Multiple Testing</w:t>
      </w:r>
    </w:p>
    <w:p>
      <w:pPr>
        <w:pStyle w:val="FirstParagraph"/>
      </w:pPr>
      <w:r>
        <w:t xml:space="preserve">H2 tests 3+ assets simultaneously. Without correction, the probability of at least one false positive at</w:t>
      </w:r>
      <w:r>
        <w:t xml:space="preserve"> </w:t>
      </w:r>
      <m:oMath>
        <m:r>
          <m:t>α</m:t>
        </m:r>
        <m:r>
          <m:rPr>
            <m:sty m:val="p"/>
          </m:rPr>
          <m:t>=</m:t>
        </m:r>
        <m:r>
          <m:t>0.10</m:t>
        </m:r>
      </m:oMath>
      <w:r>
        <w:t xml:space="preserve"> </w:t>
      </w:r>
      <w:r>
        <w:t xml:space="preserve">is</w:t>
      </w:r>
      <w:r>
        <w:t xml:space="preserve"> </w:t>
      </w:r>
      <m:oMath>
        <m:r>
          <m:t>1</m:t>
        </m:r>
        <m:r>
          <m:rPr>
            <m:sty m:val="p"/>
          </m:rPr>
          <m:t>−</m:t>
        </m:r>
        <m:sSup>
          <m:e>
            <m:r>
              <m:t>0.90</m:t>
            </m:r>
          </m:e>
          <m:sup>
            <m:r>
              <m:t>3</m:t>
            </m:r>
          </m:sup>
        </m:sSup>
        <m:r>
          <m:rPr>
            <m:sty m:val="p"/>
          </m:rPr>
          <m:t>=</m:t>
        </m:r>
        <m:r>
          <m:t>27</m:t>
        </m:r>
        <m:r>
          <m:rPr>
            <m:sty m:val="p"/>
          </m:rPr>
          <m:t>%</m:t>
        </m:r>
      </m:oMath>
      <w:r>
        <w:t xml:space="preserve">. Appropriate corrections:</w:t>
      </w:r>
      <w:r>
        <w:t xml:space="preserve"> </w:t>
      </w:r>
      <w:r>
        <w:t xml:space="preserve">-</w:t>
      </w:r>
      <w:r>
        <w:t xml:space="preserve"> </w:t>
      </w:r>
      <w:r>
        <w:rPr>
          <w:b/>
          <w:bCs/>
        </w:rPr>
        <w:t xml:space="preserve">Bonferroni</w:t>
      </w:r>
      <w:r>
        <w:t xml:space="preserve">:</w:t>
      </w:r>
      <w:r>
        <w:t xml:space="preserve"> </w:t>
      </w:r>
      <m:oMath>
        <m:sSup>
          <m:e>
            <m:r>
              <m:t>α</m:t>
            </m:r>
          </m:e>
          <m:sup>
            <m:r>
              <m:rPr>
                <m:sty m:val="p"/>
              </m:rPr>
              <m:t>*</m:t>
            </m:r>
          </m:sup>
        </m:sSup>
        <m:r>
          <m:rPr>
            <m:sty m:val="p"/>
          </m:rPr>
          <m:t>=</m:t>
        </m:r>
        <m:r>
          <m:t>0.10</m:t>
        </m:r>
        <m:r>
          <m:rPr>
            <m:sty m:val="p"/>
          </m:rPr>
          <m:t>/</m:t>
        </m:r>
        <m:r>
          <m:t>3</m:t>
        </m:r>
        <m:r>
          <m:rPr>
            <m:sty m:val="p"/>
          </m:rPr>
          <m:t>=</m:t>
        </m:r>
        <m:r>
          <m:t>0.033</m:t>
        </m:r>
      </m:oMath>
      <w:r>
        <w:t xml:space="preserve"> </w:t>
      </w:r>
      <w:r>
        <w:t xml:space="preserve">-</w:t>
      </w:r>
      <w:r>
        <w:t xml:space="preserve"> </w:t>
      </w:r>
      <w:r>
        <w:rPr>
          <w:b/>
          <w:bCs/>
        </w:rPr>
        <w:t xml:space="preserve">Holm-Bonferroni</w:t>
      </w:r>
      <w:r>
        <w:t xml:space="preserve">: Step-down procedure, less conservative</w:t>
      </w:r>
      <w:r>
        <w:t xml:space="preserve"> </w:t>
      </w:r>
      <w:r>
        <w:t xml:space="preserve">-</w:t>
      </w:r>
      <w:r>
        <w:t xml:space="preserve"> </w:t>
      </w:r>
      <w:r>
        <w:rPr>
          <w:b/>
          <w:bCs/>
        </w:rPr>
        <w:t xml:space="preserve">Benjamini-Hochberg</w:t>
      </w:r>
      <w:r>
        <w:t xml:space="preserve">: Controls FDR at 10%</w:t>
      </w:r>
    </w:p>
    <w:bookmarkEnd w:id="62"/>
    <w:bookmarkStart w:id="63" w:name="endogeneity"/>
    <w:p>
      <w:pPr>
        <w:pStyle w:val="Heading3"/>
      </w:pPr>
      <w:r>
        <w:t xml:space="preserve">9.5 Endogeneity</w:t>
      </w:r>
    </w:p>
    <w:p>
      <w:pPr>
        <w:pStyle w:val="FirstParagraph"/>
      </w:pPr>
      <w:r>
        <w:t xml:space="preserve">The OLS regression</w:t>
      </w:r>
      <w:r>
        <w:t xml:space="preserve"> </w:t>
      </w:r>
      <m:oMath>
        <m:sSub>
          <m:e>
            <m:r>
              <m:t>R</m:t>
            </m:r>
          </m:e>
          <m:sub>
            <m:r>
              <m:t>t</m:t>
            </m:r>
          </m:sub>
        </m:sSub>
        <m:r>
          <m:rPr>
            <m:sty m:val="p"/>
          </m:rPr>
          <m:t>=</m:t>
        </m:r>
        <m:r>
          <m:t>α</m:t>
        </m:r>
        <m:r>
          <m:rPr>
            <m:sty m:val="p"/>
          </m:rPr>
          <m:t>+</m:t>
        </m:r>
        <m:sSub>
          <m:e>
            <m:r>
              <m:t>β</m:t>
            </m:r>
          </m:e>
          <m:sub>
            <m:r>
              <m:t>1</m:t>
            </m:r>
          </m:sub>
        </m:sSub>
        <m:sSub>
          <m:e>
            <m:r>
              <m:rPr>
                <m:nor/>
                <m:sty m:val="p"/>
              </m:rPr>
              <m:t>Surprise</m:t>
            </m:r>
          </m:e>
          <m:sub>
            <m:r>
              <m:t>t</m:t>
            </m:r>
          </m:sub>
        </m:sSub>
        <m:r>
          <m:rPr>
            <m:sty m:val="p"/>
          </m:rPr>
          <m:t>+</m:t>
        </m:r>
        <m:sSub>
          <m:e>
            <m:r>
              <m:t>β</m:t>
            </m:r>
          </m:e>
          <m:sub>
            <m:r>
              <m:t>2</m:t>
            </m:r>
          </m:sub>
        </m:sSub>
        <m:sSub>
          <m:e>
            <m:r>
              <m:rPr>
                <m:nor/>
                <m:sty m:val="p"/>
              </m:rPr>
              <m:t>Sentiment</m:t>
            </m:r>
          </m:e>
          <m:sub>
            <m:r>
              <m:t>t</m:t>
            </m:r>
          </m:sub>
        </m:sSub>
        <m:r>
          <m:rPr>
            <m:sty m:val="p"/>
          </m:rPr>
          <m:t>+</m:t>
        </m:r>
        <m:sSub>
          <m:e>
            <m:r>
              <m:t>ε</m:t>
            </m:r>
          </m:e>
          <m:sub>
            <m:r>
              <m:t>t</m:t>
            </m:r>
          </m:sub>
        </m:sSub>
      </m:oMath>
      <w:r>
        <w:t xml:space="preserve"> </w:t>
      </w:r>
      <w:r>
        <w:t xml:space="preserve">may suffer from:</w:t>
      </w:r>
      <w:r>
        <w:t xml:space="preserve"> </w:t>
      </w:r>
      <w:r>
        <w:t xml:space="preserve">-</w:t>
      </w:r>
      <w:r>
        <w:t xml:space="preserve"> </w:t>
      </w:r>
      <w:r>
        <w:rPr>
          <w:b/>
          <w:bCs/>
        </w:rPr>
        <w:t xml:space="preserve">Reverse causality</w:t>
      </w:r>
      <w:r>
        <w:t xml:space="preserve">: Market reactions could feed back into statement drafting (unlikely for pre-written statements)</w:t>
      </w:r>
      <w:r>
        <w:t xml:space="preserve"> </w:t>
      </w:r>
      <w:r>
        <w:t xml:space="preserve">-</w:t>
      </w:r>
      <w:r>
        <w:t xml:space="preserve"> </w:t>
      </w:r>
      <w:r>
        <w:rPr>
          <w:b/>
          <w:bCs/>
        </w:rPr>
        <w:t xml:space="preserve">Omitted variables</w:t>
      </w:r>
      <w:r>
        <w:t xml:space="preserve">: Macro surprises (NFP, CPI releases) coinciding with FOMC meetings</w:t>
      </w:r>
      <w:r>
        <w:t xml:space="preserve"> </w:t>
      </w:r>
      <w:r>
        <w:t xml:space="preserve">-</w:t>
      </w:r>
      <w:r>
        <w:t xml:space="preserve"> </w:t>
      </w:r>
      <w:r>
        <w:rPr>
          <w:b/>
          <w:bCs/>
        </w:rPr>
        <w:t xml:space="preserve">Measurement error</w:t>
      </w:r>
      <w:r>
        <w:t xml:space="preserve">: Dictionary sentiment is a noisy proxy for true policy tone</w:t>
      </w:r>
    </w:p>
    <w:p>
      <w:pPr>
        <w:pStyle w:val="BodyText"/>
      </w:pPr>
      <w:r>
        <w:rPr>
          <w:b/>
          <w:bCs/>
        </w:rPr>
        <w:t xml:space="preserve">IV strategy</w:t>
      </w:r>
      <w:r>
        <w:t xml:space="preserve"> </w:t>
      </w:r>
      <w:r>
        <w:t xml:space="preserve">(planned): Use the previous meeting’s sentiment as an instrument for current sentiment, exploiting the autocorrelation in communication style while assuming past sentiment doesn’t directly affect current returns.</w:t>
      </w:r>
    </w:p>
    <w:bookmarkEnd w:id="63"/>
    <w:bookmarkStart w:id="64" w:name="sample-size"/>
    <w:p>
      <w:pPr>
        <w:pStyle w:val="Heading3"/>
      </w:pPr>
      <w:r>
        <w:t xml:space="preserve">9.6 Sample Size</w:t>
      </w:r>
    </w:p>
    <w:p>
      <w:pPr>
        <w:pStyle w:val="FirstParagraph"/>
      </w:pPr>
      <w:r>
        <w:t xml:space="preserve">The H1 regression uses N = 117 meetings (2006–2022). This is the intersection of:</w:t>
      </w:r>
      <w:r>
        <w:t xml:space="preserve"> </w:t>
      </w:r>
      <w:r>
        <w:t xml:space="preserve">- 140 FOMC meetings in the analysis dataset (2006–2025)</w:t>
      </w:r>
      <w:r>
        <w:t xml:space="preserve"> </w:t>
      </w:r>
      <w:r>
        <w:t xml:space="preserve">- 220 Acosta shock observations (1995–2022)</w:t>
      </w:r>
      <w:r>
        <w:t xml:space="preserve"> </w:t>
      </w:r>
      <w:r>
        <w:t xml:space="preserve">- 164 FOMC statements with enhanced sentiment (2006–2026)</w:t>
      </w:r>
    </w:p>
    <w:p>
      <w:pPr>
        <w:pStyle w:val="BodyText"/>
      </w:pPr>
      <w:r>
        <w:rPr>
          <w:b/>
          <w:bCs/>
        </w:rPr>
        <w:t xml:space="preserve">Data gaps</w:t>
      </w:r>
      <w:r>
        <w:t xml:space="preserve">:</w:t>
      </w:r>
      <w:r>
        <w:t xml:space="preserve"> </w:t>
      </w:r>
      <w:r>
        <w:t xml:space="preserve">- 15 Acosta shock meetings (2006–2022) are not in the analysis dataset but have statements available → could recover 13 obs</w:t>
      </w:r>
      <w:r>
        <w:t xml:space="preserve"> </w:t>
      </w:r>
      <w:r>
        <w:t xml:space="preserve">- 23 FOMC meetings (2022–2025) are post-Acosta coverage → could use DFF proxy for surprise</w:t>
      </w:r>
      <w:r>
        <w:t xml:space="preserve"> </w:t>
      </w:r>
      <w:r>
        <w:t xml:space="preserve">- Potential H1 sample with full recovery: ~130–140 meetings</w:t>
      </w:r>
    </w:p>
    <w:p>
      <w:r>
        <w:pict>
          <v:rect style="width:0;height:1.5pt" o:hralign="center" o:hrstd="t" o:hr="t"/>
        </w:pict>
      </w:r>
    </w:p>
    <w:bookmarkEnd w:id="64"/>
    <w:bookmarkEnd w:id="65"/>
    <w:bookmarkStart w:id="69" w:name="reproducibility"/>
    <w:p>
      <w:pPr>
        <w:pStyle w:val="Heading2"/>
      </w:pPr>
      <w:r>
        <w:t xml:space="preserve">10. Reproducibility</w:t>
      </w:r>
    </w:p>
    <w:bookmarkStart w:id="66" w:name="data-versioning"/>
    <w:p>
      <w:pPr>
        <w:pStyle w:val="Heading3"/>
      </w:pPr>
      <w:r>
        <w:t xml:space="preserve">10.1 Data Versioning</w:t>
      </w:r>
    </w:p>
    <w:p>
      <w:pPr>
        <w:pStyle w:val="Compact"/>
        <w:numPr>
          <w:ilvl w:val="0"/>
          <w:numId w:val="1010"/>
        </w:numPr>
      </w:pPr>
      <w:r>
        <w:t xml:space="preserve">FOMC meetings: Hard-coded in</w:t>
      </w:r>
      <w:r>
        <w:t xml:space="preserve"> </w:t>
      </w:r>
      <w:r>
        <w:rPr>
          <w:rStyle w:val="VerbatimChar"/>
        </w:rPr>
        <w:t xml:space="preserve">fomc_meetings.py</w:t>
      </w:r>
      <w:r>
        <w:t xml:space="preserve"> </w:t>
      </w:r>
      <w:r>
        <w:t xml:space="preserve">(164 observations, 1994–2025)</w:t>
      </w:r>
    </w:p>
    <w:p>
      <w:pPr>
        <w:pStyle w:val="Compact"/>
        <w:numPr>
          <w:ilvl w:val="0"/>
          <w:numId w:val="1010"/>
        </w:numPr>
      </w:pPr>
      <w:r>
        <w:t xml:space="preserve">FOMC statements: Cached as JSON in</w:t>
      </w:r>
      <w:r>
        <w:t xml:space="preserve"> </w:t>
      </w:r>
      <w:r>
        <w:rPr>
          <w:rStyle w:val="VerbatimChar"/>
        </w:rPr>
        <w:t xml:space="preserve">mp-research-platform/data/fomc_statements_all.json</w:t>
      </w:r>
    </w:p>
    <w:p>
      <w:pPr>
        <w:pStyle w:val="Compact"/>
        <w:numPr>
          <w:ilvl w:val="0"/>
          <w:numId w:val="1010"/>
        </w:numPr>
      </w:pPr>
      <w:r>
        <w:t xml:space="preserve">FRED data: Cached as JSON in</w:t>
      </w:r>
      <w:r>
        <w:t xml:space="preserve"> </w:t>
      </w:r>
      <w:r>
        <w:rPr>
          <w:rStyle w:val="VerbatimChar"/>
        </w:rPr>
        <w:t xml:space="preserve">data/cache/</w:t>
      </w:r>
      <w:r>
        <w:t xml:space="preserve"> </w:t>
      </w:r>
      <w:r>
        <w:t xml:space="preserve">with 6-hour TTL</w:t>
      </w:r>
    </w:p>
    <w:p>
      <w:pPr>
        <w:pStyle w:val="Compact"/>
        <w:numPr>
          <w:ilvl w:val="0"/>
          <w:numId w:val="1010"/>
        </w:numPr>
      </w:pPr>
      <w:r>
        <w:t xml:space="preserve">Acosta shocks:</w:t>
      </w:r>
      <w:r>
        <w:t xml:space="preserve"> </w:t>
      </w:r>
      <w:r>
        <w:rPr>
          <w:rStyle w:val="VerbatimChar"/>
        </w:rPr>
        <w:t xml:space="preserve">data/mp_shocks_acosta.xlsx</w:t>
      </w:r>
      <w:r>
        <w:t xml:space="preserve"> </w:t>
      </w:r>
      <w:r>
        <w:t xml:space="preserve">(220 observations, 1995–2022)</w:t>
      </w:r>
    </w:p>
    <w:p>
      <w:pPr>
        <w:pStyle w:val="Compact"/>
        <w:numPr>
          <w:ilvl w:val="0"/>
          <w:numId w:val="1010"/>
        </w:numPr>
      </w:pPr>
      <w:r>
        <w:t xml:space="preserve">Analysis results: Saved as CSV (</w:t>
      </w:r>
      <w:r>
        <w:rPr>
          <w:rStyle w:val="VerbatimChar"/>
        </w:rPr>
        <w:t xml:space="preserve">analysis_dataset_expanded.csv</w:t>
      </w:r>
      <w:r>
        <w:t xml:space="preserve">) and JSON (</w:t>
      </w:r>
      <w:r>
        <w:rPr>
          <w:rStyle w:val="VerbatimChar"/>
        </w:rPr>
        <w:t xml:space="preserve">regression_results_v6.json</w:t>
      </w:r>
      <w:r>
        <w:t xml:space="preserve">)</w:t>
      </w:r>
    </w:p>
    <w:bookmarkEnd w:id="66"/>
    <w:bookmarkStart w:id="67" w:name="randomness"/>
    <w:p>
      <w:pPr>
        <w:pStyle w:val="Heading3"/>
      </w:pPr>
      <w:r>
        <w:t xml:space="preserve">10.2 Randomness</w:t>
      </w:r>
    </w:p>
    <w:p>
      <w:pPr>
        <w:pStyle w:val="Compact"/>
        <w:numPr>
          <w:ilvl w:val="0"/>
          <w:numId w:val="1011"/>
        </w:numPr>
      </w:pPr>
      <w:r>
        <w:rPr>
          <w:rStyle w:val="VerbatimChar"/>
        </w:rPr>
        <w:t xml:space="preserve">TwoShocksEngine.variance_decomposition()</w:t>
      </w:r>
      <w:r>
        <w:t xml:space="preserve">: Uses</w:t>
      </w:r>
      <w:r>
        <w:t xml:space="preserve"> </w:t>
      </w:r>
      <w:r>
        <w:rPr>
          <w:rStyle w:val="VerbatimChar"/>
        </w:rPr>
        <w:t xml:space="preserve">np.random.normal(0, 3)</w:t>
      </w:r>
      <w:r>
        <w:t xml:space="preserve"> </w:t>
      </w:r>
      <w:r>
        <w:t xml:space="preserve">for simulation noise —</w:t>
      </w:r>
      <w:r>
        <w:t xml:space="preserve"> </w:t>
      </w:r>
      <w:r>
        <w:rPr>
          <w:b/>
          <w:bCs/>
        </w:rPr>
        <w:t xml:space="preserve">not seeded</w:t>
      </w:r>
      <w:r>
        <w:t xml:space="preserve">. Results vary across runs.</w:t>
      </w:r>
    </w:p>
    <w:p>
      <w:pPr>
        <w:pStyle w:val="Compact"/>
        <w:numPr>
          <w:ilvl w:val="0"/>
          <w:numId w:val="1011"/>
        </w:numPr>
      </w:pPr>
      <w:r>
        <w:t xml:space="preserve">All other modules are deterministic given the same input data.</w:t>
      </w:r>
    </w:p>
    <w:bookmarkEnd w:id="67"/>
    <w:bookmarkStart w:id="68" w:name="dependencies"/>
    <w:p>
      <w:pPr>
        <w:pStyle w:val="Heading3"/>
      </w:pPr>
      <w:r>
        <w:t xml:space="preserve">10.3 Dependencies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Use</w:t>
            </w:r>
          </w:p>
        </w:tc>
      </w:tr>
      <w:tr>
        <w:tc>
          <w:tcPr/>
          <w:p>
            <w:pPr>
              <w:pStyle w:val="Compact"/>
              <w:jc w:val="left"/>
            </w:pPr>
            <w:r>
              <w:t xml:space="preserve">streamlit</w:t>
            </w:r>
          </w:p>
        </w:tc>
        <w:tc>
          <w:tcPr/>
          <w:p>
            <w:pPr>
              <w:pStyle w:val="Compact"/>
              <w:jc w:val="left"/>
            </w:pPr>
            <w:r>
              <w:t xml:space="preserve">—</w:t>
            </w:r>
          </w:p>
        </w:tc>
        <w:tc>
          <w:tcPr/>
          <w:p>
            <w:pPr>
              <w:pStyle w:val="Compact"/>
              <w:jc w:val="left"/>
            </w:pPr>
            <w:r>
              <w:t xml:space="preserve">Dashboard</w:t>
            </w:r>
          </w:p>
        </w:tc>
      </w:tr>
      <w:tr>
        <w:tc>
          <w:tcPr/>
          <w:p>
            <w:pPr>
              <w:pStyle w:val="Compact"/>
              <w:jc w:val="left"/>
            </w:pPr>
            <w:r>
              <w:t xml:space="preserve">pandas, numpy</w:t>
            </w:r>
          </w:p>
        </w:tc>
        <w:tc>
          <w:tcPr/>
          <w:p>
            <w:pPr>
              <w:pStyle w:val="Compact"/>
              <w:jc w:val="left"/>
            </w:pPr>
            <w:r>
              <w:t xml:space="preserve">—</w:t>
            </w:r>
          </w:p>
        </w:tc>
        <w:tc>
          <w:tcPr/>
          <w:p>
            <w:pPr>
              <w:pStyle w:val="Compact"/>
              <w:jc w:val="left"/>
            </w:pPr>
            <w:r>
              <w:t xml:space="preserve">Data manipulation</w:t>
            </w:r>
          </w:p>
        </w:tc>
      </w:tr>
      <w:tr>
        <w:tc>
          <w:tcPr/>
          <w:p>
            <w:pPr>
              <w:pStyle w:val="Compact"/>
              <w:jc w:val="left"/>
            </w:pPr>
            <w:r>
              <w:t xml:space="preserve">scipy</w:t>
            </w:r>
          </w:p>
        </w:tc>
        <w:tc>
          <w:tcPr/>
          <w:p>
            <w:pPr>
              <w:pStyle w:val="Compact"/>
              <w:jc w:val="left"/>
            </w:pPr>
            <w:r>
              <w:t xml:space="preserve">—</w:t>
            </w:r>
          </w:p>
        </w:tc>
        <w:tc>
          <w:tcPr/>
          <w:p>
            <w:pPr>
              <w:pStyle w:val="Compact"/>
              <w:jc w:val="left"/>
            </w:pPr>
            <w:r>
              <w:t xml:space="preserve">Statistical tests</w:t>
            </w:r>
          </w:p>
        </w:tc>
      </w:tr>
      <w:tr>
        <w:tc>
          <w:tcPr/>
          <w:p>
            <w:pPr>
              <w:pStyle w:val="Compact"/>
              <w:jc w:val="left"/>
            </w:pPr>
            <w:r>
              <w:t xml:space="preserve">yfinance</w:t>
            </w:r>
          </w:p>
        </w:tc>
        <w:tc>
          <w:tcPr/>
          <w:p>
            <w:pPr>
              <w:pStyle w:val="Compact"/>
              <w:jc w:val="left"/>
            </w:pPr>
            <w:r>
              <w:t xml:space="preserve">—</w:t>
            </w:r>
          </w:p>
        </w:tc>
        <w:tc>
          <w:tcPr/>
          <w:p>
            <w:pPr>
              <w:pStyle w:val="Compact"/>
              <w:jc w:val="left"/>
            </w:pPr>
            <w:r>
              <w:t xml:space="preserve">Asset price download</w:t>
            </w:r>
          </w:p>
        </w:tc>
      </w:tr>
      <w:tr>
        <w:tc>
          <w:tcPr/>
          <w:p>
            <w:pPr>
              <w:pStyle w:val="Compact"/>
              <w:jc w:val="left"/>
            </w:pPr>
            <w:r>
              <w:t xml:space="preserve">requests</w:t>
            </w:r>
          </w:p>
        </w:tc>
        <w:tc>
          <w:tcPr/>
          <w:p>
            <w:pPr>
              <w:pStyle w:val="Compact"/>
              <w:jc w:val="left"/>
            </w:pPr>
            <w:r>
              <w:t xml:space="preserve">—</w:t>
            </w:r>
          </w:p>
        </w:tc>
        <w:tc>
          <w:tcPr/>
          <w:p>
            <w:pPr>
              <w:pStyle w:val="Compact"/>
              <w:jc w:val="left"/>
            </w:pPr>
            <w:r>
              <w:t xml:space="preserve">FRED API, FOMC scraping</w:t>
            </w:r>
          </w:p>
        </w:tc>
      </w:tr>
      <w:tr>
        <w:tc>
          <w:tcPr/>
          <w:p>
            <w:pPr>
              <w:pStyle w:val="Compact"/>
              <w:jc w:val="left"/>
            </w:pPr>
            <w:r>
              <w:t xml:space="preserve">beautifulsoup4</w:t>
            </w:r>
          </w:p>
        </w:tc>
        <w:tc>
          <w:tcPr/>
          <w:p>
            <w:pPr>
              <w:pStyle w:val="Compact"/>
              <w:jc w:val="left"/>
            </w:pPr>
            <w:r>
              <w:t xml:space="preserve">—</w:t>
            </w:r>
          </w:p>
        </w:tc>
        <w:tc>
          <w:tcPr/>
          <w:p>
            <w:pPr>
              <w:pStyle w:val="Compact"/>
              <w:jc w:val="left"/>
            </w:pPr>
            <w:r>
              <w:t xml:space="preserve">HTML parsing</w:t>
            </w:r>
          </w:p>
        </w:tc>
      </w:tr>
      <w:tr>
        <w:tc>
          <w:tcPr/>
          <w:p>
            <w:pPr>
              <w:pStyle w:val="Compact"/>
              <w:jc w:val="left"/>
            </w:pPr>
            <w:r>
              <w:t xml:space="preserve">plotly</w:t>
            </w:r>
          </w:p>
        </w:tc>
        <w:tc>
          <w:tcPr/>
          <w:p>
            <w:pPr>
              <w:pStyle w:val="Compact"/>
              <w:jc w:val="left"/>
            </w:pPr>
            <w:r>
              <w:t xml:space="preserve">—</w:t>
            </w:r>
          </w:p>
        </w:tc>
        <w:tc>
          <w:tcPr/>
          <w:p>
            <w:pPr>
              <w:pStyle w:val="Compact"/>
              <w:jc w:val="left"/>
            </w:pPr>
            <w:r>
              <w:t xml:space="preserve">Interactive charts</w:t>
            </w:r>
          </w:p>
        </w:tc>
      </w:tr>
      <w:tr>
        <w:tc>
          <w:tcPr/>
          <w:p>
            <w:pPr>
              <w:pStyle w:val="Compact"/>
              <w:jc w:val="left"/>
            </w:pPr>
            <w:r>
              <w:t xml:space="preserve">openpyxl</w:t>
            </w:r>
          </w:p>
        </w:tc>
        <w:tc>
          <w:tcPr/>
          <w:p>
            <w:pPr>
              <w:pStyle w:val="Compact"/>
              <w:jc w:val="left"/>
            </w:pPr>
            <w:r>
              <w:t xml:space="preserve">—</w:t>
            </w:r>
          </w:p>
        </w:tc>
        <w:tc>
          <w:tcPr/>
          <w:p>
            <w:pPr>
              <w:pStyle w:val="Compact"/>
              <w:jc w:val="left"/>
            </w:pPr>
            <w:r>
              <w:t xml:space="preserve">Excel reading (Acosta shocks)</w:t>
            </w:r>
          </w:p>
        </w:tc>
      </w:tr>
    </w:tbl>
    <w:p>
      <w:r>
        <w:pict>
          <v:rect style="width:0;height:1.5pt" o:hralign="center" o:hrstd="t" o:hr="t"/>
        </w:pict>
      </w:r>
    </w:p>
    <w:bookmarkEnd w:id="68"/>
    <w:bookmarkEnd w:id="69"/>
    <w:bookmarkStart w:id="70" w:name="upgrade-roadmap"/>
    <w:p>
      <w:pPr>
        <w:pStyle w:val="Heading2"/>
      </w:pPr>
      <w:r>
        <w:t xml:space="preserve">11. Upgrade Roadmap</w:t>
      </w:r>
    </w:p>
    <w:tbl>
      <w:tblPr>
        <w:tblStyle w:val="Table"/>
        <w:tblW w:type="pct" w:w="5000"/>
        <w:jc w:val="left"/>
        <w:tblLayout w:type="fixed"/>
        <w:tblLook w:firstRow="1" w:lastRow="0" w:firstColumn="0" w:lastColumn="0" w:noHBand="0" w:noVBand="0" w:val="0020"/>
      </w:tblPr>
      <w:tblGrid>
        <w:gridCol w:w="1155"/>
        <w:gridCol w:w="1815"/>
        <w:gridCol w:w="2145"/>
        <w:gridCol w:w="2805"/>
      </w:tblGrid>
      <w:tr>
        <w:trPr>
          <w:tblHeader w:val="on"/>
        </w:trPr>
        <w:tc>
          <w:tcPr/>
          <w:p>
            <w:pPr>
              <w:pStyle w:val="Compact"/>
              <w:jc w:val="left"/>
            </w:pPr>
            <w:r>
              <w:t xml:space="preserve">Phase</w:t>
            </w:r>
          </w:p>
        </w:tc>
        <w:tc>
          <w:tcPr/>
          <w:p>
            <w:pPr>
              <w:pStyle w:val="Compact"/>
              <w:jc w:val="left"/>
            </w:pPr>
            <w:r>
              <w:t xml:space="preserve">Component</w:t>
            </w:r>
          </w:p>
        </w:tc>
        <w:tc>
          <w:tcPr/>
          <w:p>
            <w:pPr>
              <w:pStyle w:val="Compact"/>
              <w:jc w:val="left"/>
            </w:pPr>
            <w:r>
              <w:t xml:space="preserve">Data Source</w:t>
            </w:r>
          </w:p>
        </w:tc>
        <w:tc>
          <w:tcPr/>
          <w:p>
            <w:pPr>
              <w:pStyle w:val="Compact"/>
              <w:jc w:val="left"/>
            </w:pPr>
            <w:r>
              <w:t xml:space="preserve">Expected Impact</w:t>
            </w:r>
          </w:p>
        </w:tc>
      </w:tr>
      <w:tr>
        <w:tc>
          <w:tcPr/>
          <w:p>
            <w:pPr>
              <w:pStyle w:val="Compact"/>
              <w:jc w:val="left"/>
            </w:pPr>
            <w:r>
              <w:rPr>
                <w:b/>
                <w:bCs/>
              </w:rPr>
              <w:t xml:space="preserve">Phase 2</w:t>
            </w:r>
          </w:p>
        </w:tc>
        <w:tc>
          <w:tcPr/>
          <w:p>
            <w:pPr>
              <w:pStyle w:val="Compact"/>
              <w:jc w:val="left"/>
            </w:pPr>
            <w:r>
              <w:t xml:space="preserve">CB-only sentiment</w:t>
            </w:r>
          </w:p>
        </w:tc>
        <w:tc>
          <w:tcPr/>
          <w:p>
            <w:pPr>
              <w:pStyle w:val="Compact"/>
              <w:jc w:val="left"/>
            </w:pPr>
            <w:r>
              <w:t xml:space="preserve">—</w:t>
            </w:r>
          </w:p>
        </w:tc>
        <w:tc>
          <w:tcPr/>
          <w:p>
            <w:pPr>
              <w:pStyle w:val="Compact"/>
              <w:jc w:val="left"/>
            </w:pPr>
            <w:r>
              <w:t xml:space="preserve">H1 R²: 4.06% → 5–8% (more sign variation)</w:t>
            </w:r>
          </w:p>
        </w:tc>
      </w:tr>
      <w:tr>
        <w:tc>
          <w:tcPr/>
          <w:p>
            <w:pPr>
              <w:pStyle w:val="Compact"/>
              <w:jc w:val="left"/>
            </w:pPr>
            <w:r>
              <w:rPr>
                <w:b/>
                <w:bCs/>
              </w:rPr>
              <w:t xml:space="preserve">Phase 2</w:t>
            </w:r>
          </w:p>
        </w:tc>
        <w:tc>
          <w:tcPr/>
          <w:p>
            <w:pPr>
              <w:pStyle w:val="Compact"/>
              <w:jc w:val="left"/>
            </w:pPr>
            <w:r>
              <w:t xml:space="preserve">Kuttner surprise (direct)</w:t>
            </w:r>
          </w:p>
        </w:tc>
        <w:tc>
          <w:tcPr/>
          <w:p>
            <w:pPr>
              <w:pStyle w:val="Compact"/>
              <w:jc w:val="left"/>
            </w:pPr>
            <w:r>
              <w:t xml:space="preserve">CME FF futures (WRDS)</w:t>
            </w:r>
          </w:p>
        </w:tc>
        <w:tc>
          <w:tcPr/>
          <w:p>
            <w:pPr>
              <w:pStyle w:val="Compact"/>
              <w:jc w:val="left"/>
            </w:pPr>
            <w:r>
              <w:t xml:space="preserve">Independent replication of Acosta</w:t>
            </w:r>
          </w:p>
        </w:tc>
      </w:tr>
      <w:tr>
        <w:tc>
          <w:tcPr/>
          <w:p>
            <w:pPr>
              <w:pStyle w:val="Compact"/>
              <w:jc w:val="left"/>
            </w:pPr>
            <w:r>
              <w:rPr>
                <w:b/>
                <w:bCs/>
              </w:rPr>
              <w:t xml:space="preserve">Phase 2</w:t>
            </w:r>
          </w:p>
        </w:tc>
        <w:tc>
          <w:tcPr/>
          <w:p>
            <w:pPr>
              <w:pStyle w:val="Compact"/>
              <w:jc w:val="left"/>
            </w:pPr>
            <w:r>
              <w:t xml:space="preserve">Path factor (direct)</w:t>
            </w:r>
          </w:p>
        </w:tc>
        <w:tc>
          <w:tcPr/>
          <w:p>
            <w:pPr>
              <w:pStyle w:val="Compact"/>
              <w:jc w:val="left"/>
            </w:pPr>
            <w:r>
              <w:t xml:space="preserve">CME ED futures (WRDS)</w:t>
            </w:r>
          </w:p>
        </w:tc>
        <w:tc>
          <w:tcPr/>
          <w:p>
            <w:pPr>
              <w:pStyle w:val="Compact"/>
              <w:jc w:val="left"/>
            </w:pPr>
            <w:r>
              <w:t xml:space="preserve">H3 decomposition validity</w:t>
            </w:r>
          </w:p>
        </w:tc>
      </w:tr>
      <w:tr>
        <w:tc>
          <w:tcPr/>
          <w:p>
            <w:pPr>
              <w:pStyle w:val="Compact"/>
              <w:jc w:val="left"/>
            </w:pPr>
            <w:r>
              <w:rPr>
                <w:b/>
                <w:bCs/>
              </w:rPr>
              <w:t xml:space="preserve">Phase 2</w:t>
            </w:r>
          </w:p>
        </w:tc>
        <w:tc>
          <w:tcPr/>
          <w:p>
            <w:pPr>
              <w:pStyle w:val="Compact"/>
              <w:jc w:val="left"/>
            </w:pPr>
            <w:r>
              <w:t xml:space="preserve">Lag sensitivity analysis</w:t>
            </w:r>
          </w:p>
        </w:tc>
        <w:tc>
          <w:tcPr/>
          <w:p>
            <w:pPr>
              <w:pStyle w:val="Compact"/>
              <w:jc w:val="left"/>
            </w:pPr>
            <w:r>
              <w:t xml:space="preserve">—</w:t>
            </w:r>
          </w:p>
        </w:tc>
        <w:tc>
          <w:tcPr/>
          <w:p>
            <w:pPr>
              <w:pStyle w:val="Compact"/>
              <w:jc w:val="left"/>
            </w:pPr>
            <w:r>
              <w:t xml:space="preserve">Robustness of inference</w:t>
            </w:r>
          </w:p>
        </w:tc>
      </w:tr>
      <w:tr>
        <w:tc>
          <w:tcPr/>
          <w:p>
            <w:pPr>
              <w:pStyle w:val="Compact"/>
              <w:jc w:val="left"/>
            </w:pPr>
            <w:r>
              <w:rPr>
                <w:b/>
                <w:bCs/>
              </w:rPr>
              <w:t xml:space="preserve">Phase 2</w:t>
            </w:r>
          </w:p>
        </w:tc>
        <w:tc>
          <w:tcPr/>
          <w:p>
            <w:pPr>
              <w:pStyle w:val="Compact"/>
              <w:jc w:val="left"/>
            </w:pPr>
            <w:r>
              <w:t xml:space="preserve">Recover 13 missing obs</w:t>
            </w:r>
          </w:p>
        </w:tc>
        <w:tc>
          <w:tcPr/>
          <w:p>
            <w:pPr>
              <w:pStyle w:val="Compact"/>
              <w:jc w:val="left"/>
            </w:pPr>
            <w:r>
              <w:t xml:space="preserve">Statement scraper</w:t>
            </w:r>
          </w:p>
        </w:tc>
        <w:tc>
          <w:tcPr/>
          <w:p>
            <w:pPr>
              <w:pStyle w:val="Compact"/>
              <w:jc w:val="left"/>
            </w:pPr>
            <w:r>
              <w:t xml:space="preserve">H1 N: 117 → 130</w:t>
            </w:r>
          </w:p>
        </w:tc>
      </w:tr>
      <w:tr>
        <w:tc>
          <w:tcPr/>
          <w:p>
            <w:pPr>
              <w:pStyle w:val="Compact"/>
              <w:jc w:val="left"/>
            </w:pPr>
            <w:r>
              <w:rPr>
                <w:b/>
                <w:bCs/>
              </w:rPr>
              <w:t xml:space="preserve">Phase 3</w:t>
            </w:r>
          </w:p>
        </w:tc>
        <w:tc>
          <w:tcPr/>
          <w:p>
            <w:pPr>
              <w:pStyle w:val="Compact"/>
              <w:jc w:val="left"/>
            </w:pPr>
            <w:r>
              <w:t xml:space="preserve">FinBERT sentiment</w:t>
            </w:r>
          </w:p>
        </w:tc>
        <w:tc>
          <w:tcPr/>
          <w:p>
            <w:pPr>
              <w:pStyle w:val="Compact"/>
              <w:jc w:val="left"/>
            </w:pPr>
            <w:r>
              <w:t xml:space="preserve">GPU compute</w:t>
            </w:r>
          </w:p>
        </w:tc>
        <w:tc>
          <w:tcPr/>
          <w:p>
            <w:pPr>
              <w:pStyle w:val="Compact"/>
              <w:jc w:val="left"/>
            </w:pPr>
            <w:r>
              <w:t xml:space="preserve">Sentiment std: 0.013 → 0.02+</w:t>
            </w:r>
          </w:p>
        </w:tc>
      </w:tr>
      <w:tr>
        <w:tc>
          <w:tcPr/>
          <w:p>
            <w:pPr>
              <w:pStyle w:val="Compact"/>
              <w:jc w:val="left"/>
            </w:pPr>
            <w:r>
              <w:rPr>
                <w:b/>
                <w:bCs/>
              </w:rPr>
              <w:t xml:space="preserve">Phase 3</w:t>
            </w:r>
          </w:p>
        </w:tc>
        <w:tc>
          <w:tcPr/>
          <w:p>
            <w:pPr>
              <w:pStyle w:val="Compact"/>
              <w:jc w:val="left"/>
            </w:pPr>
            <w:r>
              <w:t xml:space="preserve">High-frequency identification</w:t>
            </w:r>
          </w:p>
        </w:tc>
        <w:tc>
          <w:tcPr/>
          <w:p>
            <w:pPr>
              <w:pStyle w:val="Compact"/>
              <w:jc w:val="left"/>
            </w:pPr>
            <w:r>
              <w:t xml:space="preserve">TAQ (WRDS)</w:t>
            </w:r>
          </w:p>
        </w:tc>
        <w:tc>
          <w:tcPr/>
          <w:p>
            <w:pPr>
              <w:pStyle w:val="Compact"/>
              <w:jc w:val="left"/>
            </w:pPr>
            <w:r>
              <w:t xml:space="preserve">Intraday event windows</w:t>
            </w:r>
          </w:p>
        </w:tc>
      </w:tr>
      <w:tr>
        <w:tc>
          <w:tcPr/>
          <w:p>
            <w:pPr>
              <w:pStyle w:val="Compact"/>
              <w:jc w:val="left"/>
            </w:pPr>
            <w:r>
              <w:rPr>
                <w:b/>
                <w:bCs/>
              </w:rPr>
              <w:t xml:space="preserve">Phase 3</w:t>
            </w:r>
          </w:p>
        </w:tc>
        <w:tc>
          <w:tcPr/>
          <w:p>
            <w:pPr>
              <w:pStyle w:val="Compact"/>
              <w:jc w:val="left"/>
            </w:pPr>
            <w:r>
              <w:t xml:space="preserve">IV estimation</w:t>
            </w:r>
          </w:p>
        </w:tc>
        <w:tc>
          <w:tcPr/>
          <w:p>
            <w:pPr>
              <w:pStyle w:val="Compact"/>
              <w:jc w:val="left"/>
            </w:pPr>
            <w:r>
              <w:t xml:space="preserve">—</w:t>
            </w:r>
          </w:p>
        </w:tc>
        <w:tc>
          <w:tcPr/>
          <w:p>
            <w:pPr>
              <w:pStyle w:val="Compact"/>
              <w:jc w:val="left"/>
            </w:pPr>
            <w:r>
              <w:t xml:space="preserve">Address endogeneity</w:t>
            </w:r>
          </w:p>
        </w:tc>
      </w:tr>
      <w:tr>
        <w:tc>
          <w:tcPr/>
          <w:p>
            <w:pPr>
              <w:pStyle w:val="Compact"/>
              <w:jc w:val="left"/>
            </w:pPr>
            <w:r>
              <w:rPr>
                <w:b/>
                <w:bCs/>
              </w:rPr>
              <w:t xml:space="preserve">Phase 4</w:t>
            </w:r>
          </w:p>
        </w:tc>
        <w:tc>
          <w:tcPr/>
          <w:p>
            <w:pPr>
              <w:pStyle w:val="Compact"/>
              <w:jc w:val="left"/>
            </w:pPr>
            <w:r>
              <w:t xml:space="preserve">Sign restriction (JK style)</w:t>
            </w:r>
          </w:p>
        </w:tc>
        <w:tc>
          <w:tcPr/>
          <w:p>
            <w:pPr>
              <w:pStyle w:val="Compact"/>
              <w:jc w:val="left"/>
            </w:pPr>
            <w:r>
              <w:t xml:space="preserve">—</w:t>
            </w:r>
          </w:p>
        </w:tc>
        <w:tc>
          <w:tcPr/>
          <w:p>
            <w:pPr>
              <w:pStyle w:val="Compact"/>
              <w:jc w:val="left"/>
            </w:pPr>
            <w:r>
              <w:t xml:space="preserve">Structural shock identification</w:t>
            </w:r>
          </w:p>
        </w:tc>
      </w:tr>
      <w:tr>
        <w:tc>
          <w:tcPr/>
          <w:p>
            <w:pPr>
              <w:pStyle w:val="Compact"/>
              <w:jc w:val="left"/>
            </w:pPr>
            <w:r>
              <w:rPr>
                <w:b/>
                <w:bCs/>
              </w:rPr>
              <w:t xml:space="preserve">Phase 4</w:t>
            </w:r>
          </w:p>
        </w:tc>
        <w:tc>
          <w:tcPr/>
          <w:p>
            <w:pPr>
              <w:pStyle w:val="Compact"/>
              <w:jc w:val="left"/>
            </w:pPr>
            <w:r>
              <w:t xml:space="preserve">Panel regression with double-clustering</w:t>
            </w:r>
          </w:p>
        </w:tc>
        <w:tc>
          <w:tcPr/>
          <w:p>
            <w:pPr>
              <w:pStyle w:val="Compact"/>
              <w:jc w:val="left"/>
            </w:pPr>
            <w:r>
              <w:t xml:space="preserve">—</w:t>
            </w:r>
          </w:p>
        </w:tc>
        <w:tc>
          <w:tcPr/>
          <w:p>
            <w:pPr>
              <w:pStyle w:val="Compact"/>
              <w:jc w:val="left"/>
            </w:pPr>
            <w:r>
              <w:t xml:space="preserve">Efficient estimation</w:t>
            </w:r>
          </w:p>
        </w:tc>
      </w:tr>
    </w:tbl>
    <w:p>
      <w:r>
        <w:pict>
          <v:rect style="width:0;height:1.5pt" o:hralign="center" o:hrstd="t" o:hr="t"/>
        </w:pict>
      </w:r>
    </w:p>
    <w:p>
      <w:pPr>
        <w:pStyle w:val="FirstParagraph"/>
      </w:pPr>
      <w:r>
        <w:rPr>
          <w:i/>
          <w:iCs/>
        </w:rPr>
        <w:t xml:space="preserve">Document updated: 2026-05-28 (v1.1 — v6.1 analysis pipeline with fixed CB dictionary)</w:t>
      </w:r>
      <w:r>
        <w:br/>
      </w:r>
      <w:r>
        <w:rPr>
          <w:i/>
          <w:iCs/>
        </w:rPr>
        <w:t xml:space="preserve">Contact: dechang64 (GitHub) / 冬生</w:t>
      </w:r>
    </w:p>
    <w:bookmarkEnd w:id="70"/>
    <w:bookmarkEnd w:id="71"/>
    <w:sectPr w:rsidR="00FC693F" w:rsidRPr="0006063C" w:rsidSect="00034616">
      <w:pgSz w:h="16838" w:w="11906"/>
      <w:pgMar w:bottom="1440" w:footer="720" w:gutter="0" w:header="720" w:left="1701" w:right="1417"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12"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bCs/>
      <w:color w:val="0000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2026-05-28T00:43:47Z</dcterms:created>
  <dcterms:modified xsi:type="dcterms:W3CDTF">2026-05-28T00:43:47Z</dcterms:modified>
</cp:coreProperties>
</file>

<file path=docProps/custom.xml><?xml version="1.0" encoding="utf-8"?>
<Properties xmlns="http://schemas.openxmlformats.org/officeDocument/2006/custom-properties" xmlns:vt="http://schemas.openxmlformats.org/officeDocument/2006/docPropsVTypes"/>
</file>