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Glossary — What Moves Money: Rate News vs. Economy News</w:t>
      </w:r>
      <w:r>
        <w:rPr>
          <w:i/>
        </w:rPr>
        <w:br/>
        <w:t>One page. Plain-words definitions; source paper in parentheses. Keep beside you during the meeting.</w:t>
      </w:r>
      <w:r>
        <w:rPr>
          <w:sz w:val="4"/>
        </w:rPr>
        <w:t xml:space="preserve">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232"/>
          </w:tcPr>
          <w:p>
            <w:r>
              <w:rPr>
                <w:b/>
                <w:sz w:val="18"/>
              </w:rPr>
              <w:t>Announcement surprise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The part of the FOMC decision the market did NOT price in beforehand. Ex ante = what was expected; ex post = what actually happened. The difference is the surprise.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Target shock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Unexpected change in the current policy rate, measured in fed funds futures in a narrow window around the 2:00pm release. (Kuttner 2001; GSS 2005.)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Path shock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Unexpected change in expected FUTURE rates, measured in Eurodollar futures. A 'same decision, different future' surprise. (GSS 2005.)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MP shock (rate news)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A target-rate surprise on a day when stock prices move AGAINST the rate move. Reading: the Fed acted, markets repriced discount rates. Pure policy action. (Jarociński &amp; Karadi 2020.)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CBI shock (economy news)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A target-rate surprise on a day when stock prices move WITH the rate move. Reading: the Fed revealed what it knows about the economy; markets updated beliefs. Central-bank information. (Jarociński &amp; Karadi 2020.)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Tone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Hawkish words minus dovish words per 100 words in the statement text (Loughran-McDonald dictionaries). Descriptive language measure — NOT a shock, NOT a price. We use 'tone' throughout; never 'sentiment'.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Statement / body-only text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The FOMC statement itself with all website navigation removed. 161 meetings, Jan 2006 - Apr 2026.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Fund flow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Change in a fund's total net assets (TNA) minus the assets that came from returns: Flow = TNA(t) - TNA(t-1) x (1 + return). Positive = investors put money in. Measured per asset class, per month, as % of lagged TNA.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Risk ladder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An ORDINAL ranking 1-7 of the seven CRSP asset classes from safest to riskiest: 1 gov bonds, 2 corporate bonds, 3 real assets, 4 large-cap equity, 5 developed-market equity, 6 emerging-market equity, 7 small-cap equity. It is a ranking, not a beta.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Gap rule (flow measurement)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Most CRSP funds report TNA quarterly, not monthly. We only compute flows when two consecutive reports are at most 3 months apart, and drop |flow| &gt; 50% of lagged TNA. Without this, multi-month market drift is misread as investor money moving.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Forward guidance (FG) regime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Dec 16, 2008 - Dec 15, 2015: the period when the fed funds rate was at zero and the Fed steered expectations through words. Example sentence (Aug 9, 2011): 'likely to warrant exceptionally low levels for the federal funds rate at least through mid-2013.'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Zero-rate (ZLB) regime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Mar 15, 2020 - Jan 26, 2022: the COVID zero-rate period, kept separate from FG in the regressions.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Same / Post / Diff windows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Same = the calendar month containing the meeting. Post = the following month. Diff = Post minus Same. Separates immediate from delayed money movement.</w:t>
            </w:r>
          </w:p>
        </w:tc>
      </w:tr>
      <w:tr>
        <w:tc>
          <w:tcPr>
            <w:tcW w:type="dxa" w:w="2232"/>
          </w:tcPr>
          <w:p>
            <w:r>
              <w:rPr>
                <w:b/>
                <w:sz w:val="18"/>
              </w:rPr>
              <w:t>MP x ZLB</w:t>
            </w:r>
          </w:p>
        </w:tc>
        <w:tc>
          <w:tcPr>
            <w:tcW w:type="dxa" w:w="8280"/>
          </w:tcPr>
          <w:p>
            <w:r>
              <w:rPr>
                <w:sz w:val="18"/>
              </w:rPr>
              <w:t>Interaction test: does the flow response to rate news change during the zero-rate period? Found: yes, -1.51 (p=0.005) — rate news carried more (negative) flow response when rates could not move.</w:t>
            </w:r>
          </w:p>
        </w:tc>
      </w:tr>
    </w:tbl>
    <w:p/>
    <w:p>
      <w:r>
        <w:rPr>
          <w:b/>
          <w:sz w:val="19"/>
        </w:rPr>
        <w:t>Four headline numbers to remember:  161 meetings (2006-2026) · 91 MP / 60 CBI · gov bonds CBI flow +0.76% (p=0.037) · Risk×CBI = −0.066 (p=0.036, de-risking).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