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Preliminary Results (Corrected Data, October 19, 2026)</w:t>
      </w:r>
    </w:p>
    <w:p>
      <w:r>
        <w:rPr>
          <w:b w:val="0"/>
          <w:i/>
          <w:sz w:val="21"/>
        </w:rPr>
        <w:t>This section reports results from the corrected data pipeline described in the audit memorandum of October 18, 2026. All numbers below are freshly computed; nothing is carried over from earlier files.</w:t>
      </w:r>
    </w:p>
    <w:p>
      <w:pPr>
        <w:pStyle w:val="Heading1"/>
      </w:pPr>
      <w:r>
        <w:t>1. Data and corrections</w:t>
      </w:r>
    </w:p>
    <w:p>
      <w:r>
        <w:rPr>
          <w:b w:val="0"/>
          <w:i w:val="0"/>
          <w:sz w:val="21"/>
        </w:rPr>
        <w:t>Two changes matter for interpretation. First, the meeting-level sample is now driven by statements and surprises rather than minutes: 161 FOMC meetings from January 2006 to April 2026 (the previous sample was 117 minutes-tied meetings ending July 2022). Statement texts are body-only; the December 16, 2008 and January 26, 2022 statements were re-downloaded after the audit found a wrong document and a half-saved text. Second, returns are same-day (meeting close vs. previous close) in percent; the earlier next-day alignment was mislabelled as same-day and mechanically overstated the tone-return link.</w:t>
      </w:r>
    </w:p>
    <w:p>
      <w:pPr>
        <w:pStyle w:val="Heading1"/>
      </w:pPr>
      <w:r>
        <w:t>2. Part 1 — prices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2006–Jul 2022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Full sample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Regression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coef.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coef.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N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H1: tone ~ Target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+0.0784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0.358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131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+0.0580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0.435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161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H1: tone ~ Path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+0.0086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0.923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131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+0.0140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0.855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161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H1: Wald(Target=Path)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p=0.587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p=0.696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H2: CRSP VW ~ tone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-0.066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0.638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131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-0.145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0.260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150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H2: ΔR² from tone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+0.16 pp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+0.82 pp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H3: tone, FG period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-1.013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0.0046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-1.013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0.0046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56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H3: tone, outside FG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+0.145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0.353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+0.043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0.771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94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H3: model R², FG period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32.8%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32.8%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sz w:val="18"/>
              </w:rPr>
            </w:r>
          </w:p>
        </w:tc>
      </w:tr>
    </w:tbl>
    <w:p>
      <w:r>
        <w:rPr>
          <w:i/>
          <w:sz w:val="17"/>
        </w:rPr>
        <w:t>Note: tone is net (hawkish − dovish) LM-dictionary words per 100 words; returns and flows in percent; CRSP value-weighted index, same-day. OLS with classical standard errors. FG period = Dec 16, 2008 to Dec 15, 2015. Full sample ends Apr 2026 for tone and Dec 2024 for CRSP returns (WRDS refresh pending).</w:t>
      </w:r>
    </w:p>
    <w:p>
      <w:pPr>
        <w:pStyle w:val="Heading2"/>
      </w:pPr>
      <w:r>
        <w:t>Three findings, stated plainly</w:t>
      </w:r>
    </w:p>
    <w:p>
      <w:r>
        <w:rPr>
          <w:b w:val="0"/>
          <w:i w:val="0"/>
          <w:sz w:val="21"/>
        </w:rPr>
        <w:t>(i) The tone–Target link does not survive the corrected sample (p = 0.36 in 2006–2022; p = 0.44 full sample; earlier p = 0.017). The Wald test cannot separate Target from Path effects. Statement tone is coarser than the futures-based surprises and should be treated as a descriptive measure, not an independent shock series.</w:t>
      </w:r>
    </w:p>
    <w:p>
      <w:r>
        <w:rPr>
          <w:b w:val="0"/>
          <w:i w:val="0"/>
          <w:sz w:val="21"/>
        </w:rPr>
        <w:t>(ii) The forward-guidance result survives every correction and is the headline of Part 1: statement tone predicts same-day CRSP VW returns in the FG period (β = −1.01 per 100 net words, p = 0.005, model R² = 32.8%, N = 56) and not outside it (p = 0.35). When the rate instrument is constrained, language becomes the primary transmission channel.</w:t>
      </w:r>
    </w:p>
    <w:p>
      <w:r>
        <w:rPr>
          <w:b w:val="0"/>
          <w:i w:val="0"/>
          <w:sz w:val="21"/>
        </w:rPr>
        <w:t>(iii) Tone adds little incremental return explanatory power once shocks are controlled (+0.16 pp in 2006–2022, p = 0.64). The marginal significance reported earlier came from the next-day return alignment.</w:t>
      </w:r>
    </w:p>
    <w:p>
      <w:pPr>
        <w:pStyle w:val="Heading1"/>
      </w:pPr>
      <w:r>
        <w:t>3. Part 2 — flows</w:t>
      </w:r>
    </w:p>
    <w:p>
      <w:r>
        <w:rPr>
          <w:b w:val="0"/>
          <w:i w:val="0"/>
          <w:sz w:val="21"/>
        </w:rPr>
        <w:t>Flows are built from CRSP Survivor-Bias-Free Mutual Fund monthly data (2006-02 to 2026-06) with the audit fixes: point-in-time fund classification (no look-ahead), a hard |flow| ≤ lagged TNA cap in place of the ineffective outlier filter, and the pseudo Bauer–Swanson step removed. Shocks enter in their native futures-based form. Monthly flows are mapped to the calendar month of each meeting; windows: Same (meeting month), Post (following month), Diff (Post − Same).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8"/>
              </w:rPr>
              <w:t>Asset class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MP shock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CBI shock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Wald(MP=CBI)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N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government bonds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-0.087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0.845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+1.128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0.010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0.055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157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corporate bonds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+0.040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0.787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-0.177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0.222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0.301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157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real assets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+0.283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0.057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+0.084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0.550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0.336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157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large cap equity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-0.072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0.107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+0.011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0.807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0.188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157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developed market equity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+0.139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0.160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-0.112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0.244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0.072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157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emerging market equity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+0.042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0.784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-0.021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0.883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0.764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157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small cap equity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+0.017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0.715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+0.037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0.414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0.759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157</w:t>
            </w:r>
          </w:p>
        </w:tc>
      </w:tr>
    </w:tbl>
    <w:p>
      <w:r>
        <w:rPr>
          <w:i/>
          <w:sz w:val="17"/>
        </w:rPr>
        <w:t>Table 2. Same-month net fund flows (percent of lagged class TNA) on MP and CBI shocks, with fund-level controls (log lagged TNA, 12-month flow volatility). OLS, classical SEs. 7 asset classes, 157 meeting months.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Panel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Risk × MP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Risk × CBI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Same month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+0.003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0.944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-0.114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1099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Post month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+0.003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0.929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+0.037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0.268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1106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Zero-rate check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MP×ZLB -0.959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0.122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CBI×ZLB +0.995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0.765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1099</w:t>
            </w:r>
          </w:p>
        </w:tc>
      </w:tr>
    </w:tbl>
    <w:p>
      <w:r>
        <w:rPr>
          <w:i/>
          <w:sz w:val="17"/>
        </w:rPr>
        <w:t>Table 3. Pooled panel across the 7-class risk ladder (risk rank 1 = government bonds … 7 = small-cap equity). Fund-level winsorization is replaced by the |flow| ≤ TNA cap; coefficients on MP and CBI main effects and controls included but not shown.</w:t>
      </w:r>
    </w:p>
    <w:p>
      <w:pPr>
        <w:pStyle w:val="Heading2"/>
      </w:pPr>
      <w:r>
        <w:t>Findings</w:t>
      </w:r>
    </w:p>
    <w:p>
      <w:r>
        <w:rPr>
          <w:b w:val="0"/>
          <w:i w:val="0"/>
          <w:sz w:val="21"/>
        </w:rPr>
        <w:t>(i) H4 finds support in the safest class: government bonds receive significant inflows on CBI shocks (+1.13 %TNA per shock, p = 0.010) with no MP response (−0.09, p = 0.85); the Wald test of equal effects is marginal (p = 0.055). Developed-market equity shows the same pattern weakly (Wald p = 0.072).</w:t>
      </w:r>
    </w:p>
    <w:p>
      <w:r>
        <w:rPr>
          <w:b w:val="0"/>
          <w:i w:val="0"/>
          <w:sz w:val="21"/>
        </w:rPr>
        <w:t>(ii) H5 comes out significant with the opposite sign to the proposal’s prediction: Risk × CBI = −0.114 (p = 0.002). CBI shocks push portfolios down the risk ladder — consistent with information revelations raising perceived uncertainty and triggering de-risking, not the risk-seeking channel the proposal sketched. Risk × MP is flat (p = 0.94): policy-action shocks do not reorder portfolios along the ladder.</w:t>
      </w:r>
    </w:p>
    <w:p>
      <w:r>
        <w:rPr>
          <w:b w:val="0"/>
          <w:i w:val="0"/>
          <w:sz w:val="21"/>
        </w:rPr>
        <w:t>(iii) The zero-rate interaction is not significant for either shock type (MP×ZLB p = 0.12; CBI×ZLB p = 0.77), so the state-dependence claim for flows is not supported at monthly frequency with the corrected data.</w:t>
      </w:r>
    </w:p>
    <w:p>
      <w:r>
        <w:rPr>
          <w:b w:val="0"/>
          <w:i/>
          <w:sz w:val="21"/>
        </w:rPr>
        <w:t>We report the Risk × CBI sign reversal as found. Two readings are possible: the proposal’s prediction was wrong, or the monthly aggregation masks faster reallocation. Intraday flow data would discriminate, and is the natural next step before the dissertation locks this section.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