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Words Beyond the Rate: High-Frequency Monetary Policy Shocks and FOMC Language</w:t>
      </w:r>
    </w:p>
    <w:p>
      <w:pPr>
        <w:spacing w:after="40"/>
        <w:jc w:val="center"/>
      </w:pPr>
      <w:r>
        <w:rPr>
          <w:rFonts w:ascii="Times New Roman" w:hAnsi="Times New Roman"/>
          <w:sz w:val="24"/>
        </w:rPr>
        <w:t>Eileen Zhang</w:t>
      </w:r>
    </w:p>
    <w:p>
      <w:pPr>
        <w:spacing w:after="240"/>
        <w:jc w:val="center"/>
      </w:pPr>
      <w:r>
        <w:rPr>
          <w:rFonts w:ascii="Times New Roman" w:hAnsi="Times New Roman"/>
          <w:i/>
          <w:sz w:val="22"/>
        </w:rPr>
        <w:t>Academy of AI, Xi'an Jiaotong-Liverpool University, Suzhou, China</w:t>
      </w:r>
    </w:p>
    <w:p>
      <w:pPr>
        <w:spacing w:before="0" w:after="120"/>
      </w:pPr>
    </w:p>
    <w:p>
      <w:pPr>
        <w:spacing w:before="240" w:after="120" w:line="276" w:lineRule="auto"/>
      </w:pPr>
      <w:r>
        <w:rPr>
          <w:rFonts w:ascii="Times New Roman" w:hAnsi="Times New Roman"/>
          <w:b/>
          <w:sz w:val="26"/>
        </w:rPr>
        <w:t>Abstract</w:t>
      </w:r>
    </w:p>
    <w:p>
      <w:pPr>
        <w:spacing w:before="0" w:after="0" w:line="276" w:lineRule="auto"/>
        <w:ind w:firstLine="720"/>
      </w:pPr>
      <w:r>
        <w:rPr>
          <w:rFonts w:ascii="Times New Roman" w:hAnsi="Times New Roman"/>
          <w:sz w:val="24"/>
        </w:rPr>
        <w:t>Does FOMC statement language primarily reflect current policy implementation or informational revelation about future conditions? We investigate this question using a central bank sentiment dictionary and high-frequency monetary policy shocks from Gürkaynak, Sack, and Swanson (2005), decomposing FOMC communication into a target surprise and a forward guidance path factor across 117 meetings (2006–2022). The target shock significantly predicts sentiment (</w:t>
      </w:r>
      <w:r>
        <w:rPr>
          <w:rFonts w:ascii="Times New Roman" w:hAnsi="Times New Roman"/>
          <w:i/>
          <w:sz w:val="24"/>
        </w:rPr>
        <w:t>β</w:t>
      </w:r>
      <w:r>
        <w:rPr>
          <w:rFonts w:ascii="Times New Roman" w:hAnsi="Times New Roman"/>
          <w:sz w:val="24"/>
        </w:rPr>
        <w:t xml:space="preserve"> = 0.000577, p = 0.017), while the path shock does not (p = 0.152), though a Wald test cannot reject equal effects (p = 0.90). Baseline evidence thus favors the policy-implementation interpretation, but cannot statistically rule out equal effects. In asset return regressions, the target shock significantly predicts equity and gold returns, with small-cap stocks responding more strongly — consistent with a financing-constraint mechanism. The forward guidance interaction is not robustly significant, but a regime analysis reveals that the path shock is highly significant during rate cut meetings (p &lt; 0.001, R² = 43.1%), suggesting that forward guidance language is most responsive when the Fed is easing. Using rate changes instead of high-frequency shocks renders the sentiment relationship undetectable (p = 0.726), underscoring the importance of data quality.</w:t>
      </w:r>
    </w:p>
    <w:p>
      <w:pPr>
        <w:spacing w:before="0" w:after="0" w:line="276" w:lineRule="auto"/>
        <w:ind w:firstLine="720"/>
      </w:pPr>
      <w:r>
        <w:rPr>
          <w:rFonts w:ascii="Times New Roman" w:hAnsi="Times New Roman"/>
          <w:sz w:val="24"/>
        </w:rPr>
        <w:t>Keywords: Monetary policy; FOMC; Forward guidance; Sentiment analysis; High-frequency identification</w:t>
      </w:r>
    </w:p>
    <w:p>
      <w:pPr>
        <w:spacing w:before="0" w:after="0" w:line="276" w:lineRule="auto"/>
        <w:ind w:firstLine="720"/>
      </w:pPr>
      <w:r>
        <w:rPr>
          <w:rFonts w:ascii="Times New Roman" w:hAnsi="Times New Roman"/>
          <w:sz w:val="24"/>
        </w:rPr>
        <w:t>JEL Classification: C80, D83, E43, E52, E58, G12, G14</w:t>
      </w:r>
    </w:p>
    <w:p>
      <w:pPr>
        <w:spacing w:before="60" w:after="60" w:line="276" w:lineRule="auto"/>
        <w:ind w:left="720" w:right="720"/>
      </w:pPr>
      <w:r>
        <w:rPr>
          <w:rFonts w:ascii="Times New Roman" w:hAnsi="Times New Roman"/>
          <w:i/>
          <w:sz w:val="22"/>
        </w:rPr>
      </w:r>
      <w:r>
        <w:rPr>
          <w:rFonts w:ascii="Times New Roman" w:hAnsi="Times New Roman"/>
          <w:b/>
          <w:sz w:val="22"/>
        </w:rPr>
        <w:t>Terminology note.</w:t>
      </w:r>
      <w:r>
        <w:rPr>
          <w:rFonts w:ascii="Times New Roman" w:hAnsi="Times New Roman"/>
          <w:i/>
          <w:sz w:val="22"/>
        </w:rPr>
        <w:t xml:space="preserve"> Throughout this paper, we use "path shock" to refer to the GSS forward guidance factor, which captures revisions to expected future policy rates. This is distinct from the "information shock" identified by Jarociński and Karadi (2020) through sign restrictions. The GSS path factor may reflect both information revelation and forward-guidance commitment effects; it is not a pure information shock in the JK sense. We discuss this distinction in Section 2.3 and return to it in Section 7.2.</w:t>
      </w:r>
    </w:p>
    <w:p>
      <w:pPr>
        <w:spacing w:before="0" w:after="0" w:line="276" w:lineRule="auto"/>
        <w:ind w:firstLine="720"/>
      </w:pPr>
      <w:r>
        <w:rPr>
          <w:rFonts w:ascii="Times New Roman" w:hAnsi="Times New Roman"/>
          <w:sz w:val="24"/>
        </w:rPr>
      </w:r>
      <w:r>
        <w:rPr>
          <w:rFonts w:ascii="Times New Roman" w:hAnsi="Times New Roman"/>
          <w:b/>
          <w:sz w:val="24"/>
        </w:rPr>
        <w:t>Acknowledgments</w:t>
      </w:r>
      <w:r>
        <w:rPr>
          <w:rFonts w:ascii="Times New Roman" w:hAnsi="Times New Roman"/>
          <w:sz w:val="24"/>
        </w:rPr>
        <w:t>: We thank [to be added] for helpful comments. All errors are our own.</w:t>
      </w:r>
    </w:p>
    <w:p>
      <w:pPr>
        <w:spacing w:before="0" w:after="0" w:line="276" w:lineRule="auto"/>
        <w:ind w:firstLine="720"/>
      </w:pPr>
      <w:r>
        <w:rPr>
          <w:rFonts w:ascii="Times New Roman" w:hAnsi="Times New Roman"/>
          <w:sz w:val="24"/>
        </w:rPr>
      </w:r>
      <w:r>
        <w:rPr>
          <w:rFonts w:ascii="Times New Roman" w:hAnsi="Times New Roman"/>
          <w:b/>
          <w:sz w:val="24"/>
        </w:rPr>
        <w:t>Declarations</w:t>
      </w:r>
      <w:r>
        <w:rPr>
          <w:rFonts w:ascii="Times New Roman" w:hAnsi="Times New Roman"/>
          <w:sz w:val="24"/>
        </w:rPr>
        <w:t>: The authors have no relevant financial or non-financial interests to disclose. No funding was received for this research. Data and code for replication are available at [GitHub repository to be added].</w:t>
      </w:r>
    </w:p>
    <w:p>
      <w:pPr>
        <w:spacing w:before="240" w:after="120" w:line="276" w:lineRule="auto"/>
      </w:pPr>
      <w:r>
        <w:rPr>
          <w:rFonts w:ascii="Times New Roman" w:hAnsi="Times New Roman"/>
          <w:b/>
          <w:sz w:val="26"/>
        </w:rPr>
        <w:t>1. Introduction</w:t>
      </w:r>
    </w:p>
    <w:p>
      <w:pPr>
        <w:spacing w:before="0" w:after="0" w:line="276" w:lineRule="auto"/>
        <w:ind w:firstLine="720"/>
      </w:pPr>
      <w:r>
        <w:rPr>
          <w:rFonts w:ascii="Times New Roman" w:hAnsi="Times New Roman"/>
          <w:sz w:val="24"/>
        </w:rPr>
        <w:t xml:space="preserve">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t>
      </w:r>
      <w:r>
        <w:rPr>
          <w:rFonts w:ascii="Times New Roman" w:hAnsi="Times New Roman"/>
          <w:b/>
          <w:sz w:val="24"/>
        </w:rPr>
        <w:t>does FOMC statement language primarily reflect current policy implementation or informational revelation about future conditions?</w:t>
      </w:r>
      <w:r>
        <w:rPr>
          <w:rFonts w:ascii="Times New Roman" w:hAnsi="Times New Roman"/>
          <w:sz w:val="24"/>
        </w:rPr>
      </w:r>
    </w:p>
    <w:p>
      <w:pPr>
        <w:spacing w:before="0" w:after="0" w:line="276" w:lineRule="auto"/>
        <w:ind w:firstLine="720"/>
      </w:pPr>
      <w:r>
        <w:rPr>
          <w:rFonts w:ascii="Times New Roman" w:hAnsi="Times New Roman"/>
          <w:sz w:val="24"/>
        </w:rPr>
        <w:t>We address this question by examining the relationship between high-frequency monetary policy shocks and the sentiment of FOMC statement language (Figure 1).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 If FOMC language primarily reflects policy implementation — the justification of the current rate action — the target shock should be the more empirically relevant predictor (H1). If, instead, FOMC language primarily reveals information about future conditions, the path shock should be more relevant (H2).</w:t>
      </w:r>
    </w:p>
    <w:p>
      <w:pPr>
        <w:spacing w:before="0" w:after="0" w:line="276" w:lineRule="auto"/>
        <w:ind w:firstLine="720"/>
      </w:pPr>
      <w:r>
        <w:rPr>
          <w:rFonts w:ascii="Times New Roman" w:hAnsi="Times New Roman"/>
          <w:sz w:val="24"/>
        </w:rPr>
        <w:t>Our main finding is that the target shock is a statistically significant predictor of FOMC statement sentiment (p = 0.017), while the path shock is not (p = 0.152). Baseline evidence thus favors the policy-implementation interpretation, though the overall explanatory power is modest (R² = 1.57%), and a formal Wald test cannot reject the null that the target and path effects are equal (p = 0.90). We therefore interpret our results as providing suggestive, but not conclusive, evidence that FOMC statement language is more closely associated with current policy implementation than with forward-looking informational revelation.</w:t>
      </w:r>
    </w:p>
    <w:p>
      <w:pPr>
        <w:spacing w:before="0" w:after="0" w:line="276" w:lineRule="auto"/>
        <w:ind w:firstLine="720"/>
      </w:pPr>
      <w:r>
        <w:rPr>
          <w:rFonts w:ascii="Times New Roman" w:hAnsi="Times New Roman"/>
          <w:sz w:val="24"/>
        </w:rP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financing-constraint mechanism documented by Gertler and Gilchrist (1994). The path shock does not significantly affect any asset class at the 5% level, although coefficients are consistently in the expected (negative) direction for equities.</w:t>
      </w:r>
    </w:p>
    <w:p>
      <w:pPr>
        <w:spacing w:before="0" w:after="0" w:line="276" w:lineRule="auto"/>
        <w:ind w:firstLine="720"/>
      </w:pPr>
      <w:r>
        <w:rPr>
          <w:rFonts w:ascii="Times New Roman" w:hAnsi="Times New Roman"/>
          <w:sz w:val="24"/>
        </w:rP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and while statistically significant for NASDAQ (p = 0.041), the coefficient is economically implausibly large, suggesting outlier influence. Statement sentiment alone does not appear to systematically strengthen during the ZLB period.</w:t>
      </w:r>
    </w:p>
    <w:p>
      <w:pPr>
        <w:spacing w:before="0" w:after="0" w:line="276" w:lineRule="auto"/>
        <w:ind w:firstLine="720"/>
      </w:pPr>
      <w:r>
        <w:rPr>
          <w:rFonts w:ascii="Times New Roman" w:hAnsi="Times New Roman"/>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This finding has immediate practical implications: any study that uses rate changes as a proxy for monetary policy surprises will substantially underestimate the relationship between policy and communication.</w:t>
      </w:r>
    </w:p>
    <w:p>
      <w:pPr>
        <w:spacing w:before="0" w:after="0" w:line="276" w:lineRule="auto"/>
        <w:ind w:firstLine="720"/>
      </w:pPr>
      <w:r>
        <w:rPr>
          <w:rFonts w:ascii="Times New Roman" w:hAnsi="Times New Roman"/>
          <w:sz w:val="24"/>
        </w:rPr>
        <w:t>This paper makes one main contribution and two supporting contributions. The main contribution is to treat FOMC statement language itself as the object of analysis, asking what drives the language rather than what the language drives. By linking high-frequency shocks, sentiment, and asset returns in a unified framework, we provide evidence that FOMC statement sentiment appears more diagnostic of current policy implementation than of forward-looking informational revelation. The first supporting contribution is to the literature on monetary policy transmission: the cross-asset results provide evidence consistent with several transmission mechanisms — discount-rate (equities), financing-constraint (small-cap), monetary-hedge (gold), and forward-guidance expectations (Treasuries) — though the daily frequency limits power for fixed income and volatility. The second supporting contribution is methodological: we quantify the sensitivity of results to the choice of surprise measure, demonstrating that this choice has first-order implications for inference.</w:t>
      </w:r>
    </w:p>
    <w:p>
      <w:pPr>
        <w:spacing w:before="0" w:after="0" w:line="276" w:lineRule="auto"/>
        <w:ind w:firstLine="720"/>
      </w:pPr>
      <w:r>
        <w:rPr>
          <w:rFonts w:ascii="Times New Roman" w:hAnsi="Times New Roman"/>
          <w:sz w:val="24"/>
        </w:rP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spacing w:before="240" w:after="120" w:line="276" w:lineRule="auto"/>
      </w:pPr>
      <w:r>
        <w:rPr>
          <w:rFonts w:ascii="Times New Roman" w:hAnsi="Times New Roman"/>
          <w:b/>
          <w:sz w:val="26"/>
        </w:rPr>
        <w:t>2. Literature Review</w:t>
      </w:r>
    </w:p>
    <w:p>
      <w:pPr>
        <w:spacing w:before="240" w:after="120" w:line="276" w:lineRule="auto"/>
      </w:pPr>
      <w:r>
        <w:rPr>
          <w:rFonts w:ascii="Times New Roman" w:hAnsi="Times New Roman"/>
          <w:b/>
          <w:i/>
          <w:sz w:val="24"/>
        </w:rPr>
        <w:t>2.1 Monetary Policy Surprises and High-Frequency Identification</w:t>
      </w:r>
    </w:p>
    <w:p>
      <w:pPr>
        <w:spacing w:before="0" w:after="0" w:line="276" w:lineRule="auto"/>
        <w:ind w:firstLine="720"/>
      </w:pPr>
      <w:r>
        <w:rPr>
          <w:rFonts w:ascii="Times New Roman" w:hAnsi="Times New Roman"/>
          <w:sz w:val="24"/>
        </w:rPr>
        <w:t>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spacing w:before="0" w:after="0" w:line="276" w:lineRule="auto"/>
        <w:ind w:firstLine="720"/>
      </w:pPr>
      <w:r>
        <w:rPr>
          <w:rFonts w:ascii="Times New Roman" w:hAnsi="Times New Roman"/>
          <w:sz w:val="24"/>
        </w:rPr>
        <w:t>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spacing w:before="0" w:after="0" w:line="276" w:lineRule="auto"/>
        <w:ind w:firstLine="720"/>
      </w:pPr>
      <w:r>
        <w:rPr>
          <w:rFonts w:ascii="Times New Roman" w:hAnsi="Times New Roman"/>
          <w:sz w:val="24"/>
        </w:rP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spacing w:before="0" w:after="0" w:line="276" w:lineRule="auto"/>
        <w:ind w:firstLine="720"/>
      </w:pPr>
      <w:r>
        <w:rPr>
          <w:rFonts w:ascii="Times New Roman" w:hAnsi="Times New Roman"/>
          <w:sz w:val="24"/>
        </w:rPr>
        <w:t>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spacing w:before="0" w:after="0" w:line="276" w:lineRule="auto"/>
        <w:ind w:firstLine="720"/>
      </w:pPr>
      <w:r>
        <w:rPr>
          <w:rFonts w:ascii="Times New Roman" w:hAnsi="Times New Roman"/>
          <w:sz w:val="24"/>
        </w:rPr>
        <w:t>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 "surprises" are not fully exogenous. This critique has implications for the interpretation of our results, and we discuss it in detail in Section 6.</w:t>
      </w:r>
    </w:p>
    <w:p>
      <w:pPr>
        <w:spacing w:before="240" w:after="120" w:line="276" w:lineRule="auto"/>
      </w:pPr>
      <w:r>
        <w:rPr>
          <w:rFonts w:ascii="Times New Roman" w:hAnsi="Times New Roman"/>
          <w:b/>
          <w:i/>
          <w:sz w:val="24"/>
        </w:rPr>
        <w:t>2.2 Central Bank Communication and Language</w:t>
      </w:r>
    </w:p>
    <w:p>
      <w:pPr>
        <w:spacing w:before="0" w:after="0" w:line="276" w:lineRule="auto"/>
        <w:ind w:firstLine="720"/>
      </w:pPr>
      <w:r>
        <w:rPr>
          <w:rFonts w:ascii="Times New Roman" w:hAnsi="Times New Roman"/>
          <w:sz w:val="24"/>
        </w:rPr>
        <w:t>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spacing w:before="0" w:after="0" w:line="276" w:lineRule="auto"/>
        <w:ind w:firstLine="720"/>
      </w:pPr>
      <w:r>
        <w:rPr>
          <w:rFonts w:ascii="Times New Roman" w:hAnsi="Times New Roman"/>
          <w:sz w:val="24"/>
        </w:rPr>
        <w:t>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spacing w:before="0" w:after="0" w:line="276" w:lineRule="auto"/>
        <w:ind w:firstLine="720"/>
      </w:pPr>
      <w:r>
        <w:rPr>
          <w:rFonts w:ascii="Times New Roman" w:hAnsi="Times New Roman"/>
          <w:sz w:val="24"/>
        </w:rPr>
        <w:t>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spacing w:before="0" w:after="0" w:line="276" w:lineRule="auto"/>
        <w:ind w:firstLine="720"/>
      </w:pPr>
      <w:r>
        <w:rPr>
          <w:rFonts w:ascii="Times New Roman" w:hAnsi="Times New Roman"/>
          <w:sz w:val="24"/>
        </w:rPr>
        <w:t>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spacing w:before="0" w:after="0" w:line="276" w:lineRule="auto"/>
        <w:ind w:firstLine="720"/>
      </w:pPr>
      <w:r>
        <w:rPr>
          <w:rFonts w:ascii="Times New Roman" w:hAnsi="Times New Roman"/>
          <w:sz w:val="24"/>
        </w:rPr>
        <w:t>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p>
      <w:pPr>
        <w:spacing w:before="240" w:after="120" w:line="276" w:lineRule="auto"/>
      </w:pPr>
      <w:r>
        <w:rPr>
          <w:rFonts w:ascii="Times New Roman" w:hAnsi="Times New Roman"/>
          <w:b/>
          <w:i/>
          <w:sz w:val="24"/>
        </w:rPr>
        <w:t>2.3 The Information Channel of Monetary Policy</w:t>
      </w:r>
    </w:p>
    <w:p>
      <w:pPr>
        <w:spacing w:before="0" w:after="0" w:line="276" w:lineRule="auto"/>
        <w:ind w:firstLine="720"/>
      </w:pPr>
      <w:r>
        <w:rPr>
          <w:rFonts w:ascii="Times New Roman" w:hAnsi="Times New Roman"/>
          <w:sz w:val="24"/>
        </w:rPr>
        <w:t>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spacing w:before="0" w:after="0" w:line="276" w:lineRule="auto"/>
        <w:ind w:firstLine="720"/>
      </w:pPr>
      <w:r>
        <w:rPr>
          <w:rFonts w:ascii="Times New Roman" w:hAnsi="Times New Roman"/>
          <w:sz w:val="24"/>
        </w:rPr>
        <w:t>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spacing w:before="0" w:after="0" w:line="276" w:lineRule="auto"/>
        <w:ind w:firstLine="720"/>
      </w:pPr>
      <w:r>
        <w:rPr>
          <w:rFonts w:ascii="Times New Roman" w:hAnsi="Times New Roman"/>
          <w:sz w:val="24"/>
        </w:rPr>
        <w:t>Campbell et al. (2012) distinguish between "delphic" forward guidance (revealing the Fed's forecast) and "Odyssean" 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spacing w:before="0" w:after="0" w:line="276" w:lineRule="auto"/>
        <w:ind w:firstLine="720"/>
      </w:pPr>
      <w:r>
        <w:rPr>
          <w:rFonts w:ascii="Times New Roman" w:hAnsi="Times New Roman"/>
          <w:sz w:val="24"/>
        </w:rPr>
        <w:t>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spacing w:before="0" w:after="0" w:line="276" w:lineRule="auto"/>
        <w:ind w:firstLine="720"/>
      </w:pPr>
      <w:r>
        <w:rPr>
          <w:rFonts w:ascii="Times New Roman" w:hAnsi="Times New Roman"/>
          <w:sz w:val="24"/>
        </w:rPr>
        <w:t>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spacing w:before="0" w:after="0" w:line="276" w:lineRule="auto"/>
        <w:ind w:firstLine="720"/>
      </w:pPr>
      <w:r>
        <w:rPr>
          <w:rFonts w:ascii="Times New Roman" w:hAnsi="Times New Roman"/>
          <w:sz w:val="24"/>
        </w:rPr>
        <w:t>Our paper examines the information-channel implications of the GSS decomposition by testing whether path shocks — which capture revisions to expected future policy rates, and are often associated with forward-guidance and information-channel effects — have a larger effect on FOMC language than target shocks. If FOMC language is primarily about revealing information about the future, the path shock should be the more empirically relevant predictor. If, instead, the language primarily reflects the current rate decision and its immediate context, the target shock should be more relevant. This test is complementary to the Jarociński-Karadi approach: while they use sign restrictions to identify information shocks, we use the GSS decomposition to test whether the two dimensions of monetary policy surprises have differential effects on language. We emphasize that the GSS path factor is not a pure information shock in the JK sense; it captures revisions to expected future policy rates, which may reflect both information revelation and forward-guidance commitment effects.</w:t>
      </w:r>
    </w:p>
    <w:p>
      <w:pPr>
        <w:spacing w:before="240" w:after="120" w:line="276" w:lineRule="auto"/>
      </w:pPr>
      <w:r>
        <w:rPr>
          <w:rFonts w:ascii="Times New Roman" w:hAnsi="Times New Roman"/>
          <w:b/>
          <w:i/>
          <w:sz w:val="24"/>
        </w:rPr>
        <w:t>2.4 Sentiment Analysis in Finance</w:t>
      </w:r>
    </w:p>
    <w:p>
      <w:pPr>
        <w:spacing w:before="0" w:after="0" w:line="276" w:lineRule="auto"/>
        <w:ind w:firstLine="720"/>
      </w:pPr>
      <w:r>
        <w:rPr>
          <w:rFonts w:ascii="Times New Roman" w:hAnsi="Times New Roman"/>
          <w:sz w:val="24"/>
        </w:rPr>
        <w:t>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 "tax," "cost," "liability"). The LM dictionary contains 354 positive and 2,329 negative terms, and has been shown to outperform the Harvard dictionary in predicting stock returns and other financial outcomes.</w:t>
      </w:r>
    </w:p>
    <w:p>
      <w:pPr>
        <w:spacing w:before="0" w:after="0" w:line="276" w:lineRule="auto"/>
        <w:ind w:firstLine="720"/>
      </w:pPr>
      <w:r>
        <w:rPr>
          <w:rFonts w:ascii="Times New Roman" w:hAnsi="Times New Roman"/>
          <w:sz w:val="24"/>
        </w:rPr>
        <w:t>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spacing w:before="0" w:after="0" w:line="276" w:lineRule="auto"/>
        <w:ind w:firstLine="720"/>
      </w:pPr>
      <w:r>
        <w:rPr>
          <w:rFonts w:ascii="Times New Roman" w:hAnsi="Times New Roman"/>
          <w:sz w:val="24"/>
        </w:rPr>
        <w:t>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spacing w:before="0" w:after="0" w:line="276" w:lineRule="auto"/>
        <w:ind w:firstLine="720"/>
      </w:pPr>
      <w:r>
        <w:rPr>
          <w:rFonts w:ascii="Times New Roman" w:hAnsi="Times New Roman"/>
          <w:sz w:val="24"/>
        </w:rPr>
        <w:t>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spacing w:before="0" w:after="0" w:line="276" w:lineRule="auto"/>
        <w:ind w:firstLine="720"/>
      </w:pPr>
      <w:r>
        <w:rPr>
          <w:rFonts w:ascii="Times New Roman" w:hAnsi="Times New Roman"/>
          <w:sz w:val="24"/>
        </w:rPr>
        <w:t>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spacing w:before="0" w:after="0" w:line="276" w:lineRule="auto"/>
        <w:ind w:firstLine="720"/>
      </w:pPr>
      <w:r>
        <w:rPr>
          <w:rFonts w:ascii="Times New Roman" w:hAnsi="Times New Roman"/>
          <w:sz w:val="24"/>
        </w:rPr>
        <w:t>Chen, Granville, and Matousek (2025) use GPT-4 to construct "Procedural Linguistic Minutes Information Shocks" (PLMIS),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 "recent economy" and "forward guidance" 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p>
      <w:pPr>
        <w:spacing w:before="240" w:after="120" w:line="276" w:lineRule="auto"/>
      </w:pPr>
      <w:r>
        <w:rPr>
          <w:rFonts w:ascii="Times New Roman" w:hAnsi="Times New Roman"/>
          <w:b/>
          <w:i/>
          <w:sz w:val="24"/>
        </w:rPr>
        <w:t>2.5 The Forward Guidance Period and the Zero Lower Bound</w:t>
      </w:r>
    </w:p>
    <w:p>
      <w:pPr>
        <w:spacing w:before="0" w:after="0" w:line="276" w:lineRule="auto"/>
        <w:ind w:firstLine="720"/>
      </w:pPr>
      <w:r>
        <w:rPr>
          <w:rFonts w:ascii="Times New Roman" w:hAnsi="Times New Roman"/>
          <w:sz w:val="24"/>
        </w:rPr>
        <w:t>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("the Committee currently anticipates that economic conditions...are likely to warrant exceptionally low levels for the federal funds rate at least through mid-2013") and state-contingent forward guidance in December 2012 ("the Committee...anticipates that this exceptionally low range for the federal funds rate will be appropriate at least as long as the unemployment rate remains above 6-1/2 percent").</w:t>
      </w:r>
    </w:p>
    <w:p>
      <w:pPr>
        <w:spacing w:before="0" w:after="0" w:line="276" w:lineRule="auto"/>
        <w:ind w:firstLine="720"/>
      </w:pPr>
      <w:r>
        <w:rPr>
          <w:rFonts w:ascii="Times New Roman" w:hAnsi="Times New Roman"/>
          <w:sz w:val="24"/>
        </w:rPr>
        <w:t>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p>
      <w:pPr>
        <w:spacing w:before="240" w:after="120" w:line="276" w:lineRule="auto"/>
      </w:pPr>
      <w:r>
        <w:rPr>
          <w:rFonts w:ascii="Times New Roman" w:hAnsi="Times New Roman"/>
          <w:b/>
          <w:i/>
          <w:sz w:val="24"/>
        </w:rPr>
        <w:t>2.6 Heterogeneous Effects of Monetary Policy Across Firm Sizes</w:t>
      </w:r>
    </w:p>
    <w:p>
      <w:pPr>
        <w:spacing w:before="0" w:after="0" w:line="276" w:lineRule="auto"/>
        <w:ind w:firstLine="720"/>
      </w:pPr>
      <w:r>
        <w:rPr>
          <w:rFonts w:ascii="Times New Roman" w:hAnsi="Times New Roman"/>
          <w:sz w:val="24"/>
        </w:rPr>
        <w:t>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 "credit channel" of monetary policy transmission implies that the equal-weighted stock index — which gives more weight to small firms — should respond more strongly to monetary policy shocks than the value-weighted index.</w:t>
      </w:r>
    </w:p>
    <w:p>
      <w:pPr>
        <w:spacing w:before="0" w:after="0" w:line="276" w:lineRule="auto"/>
        <w:ind w:firstLine="720"/>
      </w:pPr>
      <w:r>
        <w:rPr>
          <w:rFonts w:ascii="Times New Roman" w:hAnsi="Times New Roman"/>
          <w:sz w:val="24"/>
        </w:rPr>
        <w:t>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spacing w:before="0" w:after="0" w:line="276" w:lineRule="auto"/>
        <w:ind w:firstLine="720"/>
      </w:pPr>
      <w:r>
        <w:rPr>
          <w:rFonts w:ascii="Times New Roman" w:hAnsi="Times New Roman"/>
          <w:sz w:val="24"/>
        </w:rPr>
        <w:t>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p>
      <w:pPr>
        <w:spacing w:before="240" w:after="120" w:line="276" w:lineRule="auto"/>
      </w:pPr>
      <w:r>
        <w:rPr>
          <w:rFonts w:ascii="Times New Roman" w:hAnsi="Times New Roman"/>
          <w:b/>
          <w:i/>
          <w:sz w:val="24"/>
        </w:rPr>
        <w:t>2.7 Methodological Considerations in Monetary Policy Event Studies</w:t>
      </w:r>
    </w:p>
    <w:p>
      <w:pPr>
        <w:spacing w:before="0" w:after="0" w:line="276" w:lineRule="auto"/>
        <w:ind w:firstLine="720"/>
      </w:pPr>
      <w:r>
        <w:rPr>
          <w:rFonts w:ascii="Times New Roman" w:hAnsi="Times New Roman"/>
          <w:sz w:val="24"/>
        </w:rPr>
        <w:t>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spacing w:before="0" w:after="0" w:line="276" w:lineRule="auto"/>
        <w:ind w:firstLine="720"/>
      </w:pPr>
      <w:r>
        <w:rPr>
          <w:rFonts w:ascii="Times New Roman" w:hAnsi="Times New Roman"/>
          <w:sz w:val="24"/>
        </w:rPr>
        <w:t>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spacing w:before="0" w:after="0" w:line="276" w:lineRule="auto"/>
        <w:ind w:firstLine="720"/>
      </w:pPr>
      <w:r>
        <w:rPr>
          <w:rFonts w:ascii="Times New Roman" w:hAnsi="Times New Roman"/>
          <w:sz w:val="24"/>
        </w:rPr>
        <w:t>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pPr>
        <w:spacing w:before="240" w:after="120" w:line="276" w:lineRule="auto"/>
      </w:pPr>
      <w:r>
        <w:rPr>
          <w:rFonts w:ascii="Times New Roman" w:hAnsi="Times New Roman"/>
          <w:b/>
          <w:sz w:val="26"/>
        </w:rPr>
        <w:t>3. Data and Variable Construction</w:t>
      </w:r>
    </w:p>
    <w:p>
      <w:pPr>
        <w:spacing w:before="240" w:after="120" w:line="276" w:lineRule="auto"/>
      </w:pPr>
      <w:r>
        <w:rPr>
          <w:rFonts w:ascii="Times New Roman" w:hAnsi="Times New Roman"/>
          <w:b/>
          <w:i/>
          <w:sz w:val="24"/>
        </w:rPr>
        <w:t>3.1 Monetary Policy Shocks</w:t>
      </w:r>
    </w:p>
    <w:p>
      <w:pPr>
        <w:spacing w:before="0" w:after="0" w:line="276" w:lineRule="auto"/>
        <w:ind w:firstLine="720"/>
      </w:pPr>
      <w:r>
        <w:rPr>
          <w:rFonts w:ascii="Times New Roman" w:hAnsi="Times New Roman"/>
          <w:sz w:val="24"/>
        </w:rPr>
        <w:t>We use the high-frequency monetary policy shocks from Acosta (2022), who extends the GSS decomposition through July 2022. The Acosta data provide two standardized shock series:</w:t>
      </w:r>
    </w:p>
    <w:p>
      <w:pPr>
        <w:spacing w:before="0" w:after="0" w:line="276" w:lineRule="auto"/>
        <w:ind w:firstLine="720"/>
      </w:pPr>
      <w:r>
        <w:rPr>
          <w:rFonts w:ascii="Times New Roman" w:hAnsi="Times New Roman"/>
          <w:sz w:val="24"/>
        </w:rPr>
        <w:t xml:space="preserve">- </w:t>
      </w:r>
      <w:r>
        <w:rPr>
          <w:rFonts w:ascii="Times New Roman" w:hAnsi="Times New Roman"/>
          <w:b/>
          <w:sz w:val="24"/>
        </w:rPr>
        <w:t>Target shock</w:t>
      </w:r>
      <w:r>
        <w:rPr>
          <w:rFonts w:ascii="Times New Roman" w:hAnsi="Times New Roman"/>
          <w:sz w:val="24"/>
        </w:rPr>
        <w:t>: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spacing w:before="0" w:after="0" w:line="276" w:lineRule="auto"/>
        <w:ind w:firstLine="720"/>
      </w:pPr>
      <w:r>
        <w:rPr>
          <w:rFonts w:ascii="Times New Roman" w:hAnsi="Times New Roman"/>
          <w:sz w:val="24"/>
        </w:rPr>
        <w:t xml:space="preserve">- </w:t>
      </w:r>
      <w:r>
        <w:rPr>
          <w:rFonts w:ascii="Times New Roman" w:hAnsi="Times New Roman"/>
          <w:b/>
          <w:sz w:val="24"/>
        </w:rPr>
        <w:t>Path shock</w:t>
      </w:r>
      <w:r>
        <w:rPr>
          <w:rFonts w:ascii="Times New Roman" w:hAnsi="Times New Roman"/>
          <w:sz w:val="24"/>
        </w:rPr>
        <w:t>: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spacing w:before="0" w:after="0" w:line="276" w:lineRule="auto"/>
        <w:ind w:firstLine="720"/>
      </w:pPr>
      <w:r>
        <w:rPr>
          <w:rFonts w:ascii="Times New Roman" w:hAnsi="Times New Roman"/>
          <w:sz w:val="24"/>
        </w:rPr>
        <w:t>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spacing w:before="0" w:after="0" w:line="276" w:lineRule="auto"/>
        <w:ind w:firstLine="720"/>
      </w:pPr>
      <w:r>
        <w:rPr>
          <w:rFonts w:ascii="Times New Roman" w:hAnsi="Times New Roman"/>
          <w:sz w:val="24"/>
        </w:rPr>
        <w:t>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p>
      <w:pPr>
        <w:spacing w:before="240" w:after="120" w:line="276" w:lineRule="auto"/>
      </w:pPr>
      <w:r>
        <w:rPr>
          <w:rFonts w:ascii="Times New Roman" w:hAnsi="Times New Roman"/>
          <w:b/>
          <w:i/>
          <w:sz w:val="24"/>
        </w:rPr>
        <w:t>3.2 FOMC Statement Corpus</w:t>
      </w:r>
    </w:p>
    <w:p>
      <w:pPr>
        <w:spacing w:before="0" w:after="0" w:line="276" w:lineRule="auto"/>
        <w:ind w:firstLine="720"/>
      </w:pPr>
      <w:r>
        <w:rPr>
          <w:rFonts w:ascii="Times New Roman" w:hAnsi="Times New Roman"/>
          <w:sz w:val="24"/>
        </w:rPr>
        <w:t>We collect 140 FOMC statements from January 2006 to March 2025, scraped from the Federal Reserve's official website using the URL format `https://www.federalreserve.gov/newsevents/pressreleases/monetary{YYYYMMDD}a.htm`. Of these, 117 overlap with the Acosta shock data (January 2006 to July 2022). The corpus covers three Fed chairs: Bernanke (2006–2014), Yellen (2014–2018), and Powell (2018–2022).</w:t>
      </w:r>
    </w:p>
    <w:p>
      <w:pPr>
        <w:spacing w:before="0" w:after="0" w:line="276" w:lineRule="auto"/>
        <w:ind w:firstLine="720"/>
      </w:pPr>
      <w:r>
        <w:rPr>
          <w:rFonts w:ascii="Times New Roman" w:hAnsi="Times New Roman"/>
          <w:sz w:val="24"/>
        </w:rPr>
        <w:t>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spacing w:before="0" w:after="0" w:line="276" w:lineRule="auto"/>
        <w:ind w:firstLine="720"/>
      </w:pPr>
      <w:r>
        <w:rPr>
          <w:rFonts w:ascii="Times New Roman" w:hAnsi="Times New Roman"/>
          <w:sz w:val="24"/>
        </w:rPr>
        <w:t>We extract the statement text using the `div#article` selector, which captures the main body of the statement while excluding boilerplate elements such as the voting record and the list of FOMC members. We then clean the text by removing HTML tags, normalizing whitespace, and converting to lowercase for dictionary matching.</w:t>
      </w:r>
    </w:p>
    <w:p>
      <w:pPr>
        <w:spacing w:before="240" w:after="120" w:line="276" w:lineRule="auto"/>
      </w:pPr>
      <w:r>
        <w:rPr>
          <w:rFonts w:ascii="Times New Roman" w:hAnsi="Times New Roman"/>
          <w:b/>
          <w:i/>
          <w:sz w:val="24"/>
        </w:rPr>
        <w:t>3.3 Sentiment Analysis</w:t>
      </w:r>
    </w:p>
    <w:p>
      <w:pPr>
        <w:spacing w:before="0" w:after="0" w:line="276" w:lineRule="auto"/>
        <w:ind w:firstLine="720"/>
      </w:pPr>
      <w:r>
        <w:rPr>
          <w:rFonts w:ascii="Times New Roman" w:hAnsi="Times New Roman"/>
          <w:sz w:val="24"/>
        </w:rPr>
        <w:t>We compute two sentiment scores for each FOMC statement:</w:t>
      </w:r>
    </w:p>
    <w:p>
      <w:pPr>
        <w:spacing w:before="0" w:after="0" w:line="276" w:lineRule="auto"/>
        <w:ind w:firstLine="720"/>
      </w:pPr>
      <w:r>
        <w:rPr>
          <w:rFonts w:ascii="Times New Roman" w:hAnsi="Times New Roman"/>
          <w:sz w:val="24"/>
        </w:rPr>
      </w:r>
      <w:r>
        <w:rPr>
          <w:rFonts w:ascii="Times New Roman" w:hAnsi="Times New Roman"/>
          <w:b/>
          <w:sz w:val="24"/>
        </w:rPr>
        <w:t>Loughran-McDonald (LM) score</w:t>
      </w:r>
      <w:r>
        <w:rPr>
          <w:rFonts w:ascii="Times New Roman" w:hAnsi="Times New Roman"/>
          <w:sz w:val="24"/>
        </w:rPr>
        <w:t>: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spacing w:before="120" w:after="120" w:line="276" w:lineRule="auto"/>
        <w:jc w:val="center"/>
      </w:pPr>
      <w:r>
        <w:rPr>
          <w:rFonts w:ascii="Times New Roman" w:hAnsi="Times New Roman"/>
          <w:sz w:val="24"/>
        </w:rPr>
        <w:t>LMₜ = (Positive wordsₜ − Negative wordsₜ) / Total wordsₜ    (1)</w:t>
      </w:r>
    </w:p>
    <w:p>
      <w:pPr>
        <w:spacing w:before="0" w:after="0" w:line="276" w:lineRule="auto"/>
        <w:ind w:firstLine="720"/>
      </w:pPr>
      <w:r>
        <w:rPr>
          <w:rFonts w:ascii="Times New Roman" w:hAnsi="Times New Roman"/>
          <w:sz w:val="24"/>
        </w:rPr>
      </w:r>
      <w:r>
        <w:rPr>
          <w:rFonts w:ascii="Times New Roman" w:hAnsi="Times New Roman"/>
          <w:b/>
          <w:sz w:val="24"/>
        </w:rPr>
        <w:t>Central Bank (CB) score</w:t>
      </w:r>
      <w:r>
        <w:rPr>
          <w:rFonts w:ascii="Times New Roman" w:hAnsi="Times New Roman"/>
          <w:sz w:val="24"/>
        </w:rPr>
        <w:t>: A hawkish-dovish score computed using an expanded central bank-specific dictionary comprising 591 hawkish terms (e.g., "tightening," "inflationary pressures," "vigilant") and 222 dovish terms (e.g., "accommodative," "downside risks," "labor market slack"). The CB score is computed as:</w:t>
      </w:r>
    </w:p>
    <w:p>
      <w:pPr>
        <w:spacing w:before="120" w:after="120" w:line="276" w:lineRule="auto"/>
        <w:jc w:val="center"/>
      </w:pPr>
      <w:r>
        <w:rPr>
          <w:rFonts w:ascii="Times New Roman" w:hAnsi="Times New Roman"/>
          <w:sz w:val="24"/>
        </w:rPr>
        <w:t>CBₜ = (Hawkish wordsₜ − Dovish wordsₜ) / Total wordsₜ    (2)</w:t>
      </w:r>
    </w:p>
    <w:p>
      <w:pPr>
        <w:spacing w:before="0" w:after="0" w:line="276" w:lineRule="auto"/>
        <w:ind w:firstLine="720"/>
      </w:pPr>
      <w:r>
        <w:rPr>
          <w:rFonts w:ascii="Times New Roman" w:hAnsi="Times New Roman"/>
          <w:sz w:val="24"/>
        </w:rPr>
        <w:t>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spacing w:before="0" w:after="0" w:line="276" w:lineRule="auto"/>
        <w:ind w:firstLine="720"/>
      </w:pPr>
      <w:r>
        <w:rPr>
          <w:rFonts w:ascii="Times New Roman" w:hAnsi="Times New Roman"/>
          <w:sz w:val="24"/>
        </w:rPr>
      </w:r>
      <w:r>
        <w:rPr>
          <w:rFonts w:ascii="Times New Roman" w:hAnsi="Times New Roman"/>
          <w:b/>
          <w:sz w:val="24"/>
        </w:rPr>
        <w:t>Combined score</w:t>
      </w:r>
      <w:r>
        <w:rPr>
          <w:rFonts w:ascii="Times New Roman" w:hAnsi="Times New Roman"/>
          <w:sz w:val="24"/>
        </w:rPr>
        <w:t>: We use the equal-weighted average of the LM and CB scores as our primary sentiment measure:</w:t>
      </w:r>
    </w:p>
    <w:p>
      <w:pPr>
        <w:spacing w:before="120" w:after="120" w:line="276" w:lineRule="auto"/>
        <w:jc w:val="center"/>
      </w:pPr>
      <w:r>
        <w:rPr>
          <w:rFonts w:ascii="Times New Roman" w:hAnsi="Times New Roman"/>
          <w:sz w:val="24"/>
        </w:rPr>
        <w:t>Sₜ = 0.5 × LMₜ + 0.5 × CBₜ    (3)</w:t>
      </w:r>
    </w:p>
    <w:p>
      <w:pPr>
        <w:spacing w:before="0" w:after="0" w:line="276" w:lineRule="auto"/>
        <w:ind w:firstLine="720"/>
      </w:pPr>
      <w:r>
        <w:rPr>
          <w:rFonts w:ascii="Times New Roman" w:hAnsi="Times New Roman"/>
          <w:sz w:val="24"/>
        </w:rPr>
        <w:t>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spacing w:before="240" w:after="120" w:line="276" w:lineRule="auto"/>
      </w:pPr>
      <w:r>
        <w:rPr>
          <w:rFonts w:ascii="Times New Roman" w:hAnsi="Times New Roman"/>
          <w:b/>
          <w:i/>
          <w:sz w:val="24"/>
        </w:rPr>
        <w:t>3.4 Market Returns</w:t>
      </w:r>
    </w:p>
    <w:p>
      <w:pPr>
        <w:spacing w:before="0" w:after="0" w:line="276" w:lineRule="auto"/>
        <w:ind w:firstLine="720"/>
      </w:pPr>
      <w:r>
        <w:rPr>
          <w:rFonts w:ascii="Times New Roman" w:hAnsi="Times New Roman"/>
          <w:sz w:val="24"/>
        </w:rPr>
        <w:t>We use CRSP daily market data obtained through WRDS as our primary return data source. Specifically:</w:t>
      </w:r>
    </w:p>
    <w:p>
      <w:pPr>
        <w:spacing w:before="0" w:after="0" w:line="276" w:lineRule="auto"/>
        <w:ind w:firstLine="720"/>
      </w:pPr>
      <w:r>
        <w:rPr>
          <w:rFonts w:ascii="Times New Roman" w:hAnsi="Times New Roman"/>
          <w:sz w:val="24"/>
        </w:rPr>
        <w:t xml:space="preserve">- </w:t>
      </w:r>
      <w:r>
        <w:rPr>
          <w:rFonts w:ascii="Times New Roman" w:hAnsi="Times New Roman"/>
          <w:b/>
          <w:sz w:val="24"/>
        </w:rPr>
        <w:t>CRSP value-weighted return</w:t>
      </w:r>
      <w:r>
        <w:rPr>
          <w:rFonts w:ascii="Times New Roman" w:hAnsi="Times New Roman"/>
          <w:sz w:val="24"/>
        </w:rPr>
        <w:t xml:space="preserve"> (vwretd): The value-weighted return on all NYSE/AMEX/NASDAQ stocks, obtained from the CRSP daily index file (crsp.dsi). This measure weights each stock by its market capitalization, so it reflects the performance of large-cap stocks more heavily.</w:t>
      </w:r>
    </w:p>
    <w:p>
      <w:pPr>
        <w:spacing w:before="0" w:after="0" w:line="276" w:lineRule="auto"/>
        <w:ind w:firstLine="720"/>
      </w:pPr>
      <w:r>
        <w:rPr>
          <w:rFonts w:ascii="Times New Roman" w:hAnsi="Times New Roman"/>
          <w:sz w:val="24"/>
        </w:rPr>
        <w:t xml:space="preserve">- </w:t>
      </w:r>
      <w:r>
        <w:rPr>
          <w:rFonts w:ascii="Times New Roman" w:hAnsi="Times New Roman"/>
          <w:b/>
          <w:sz w:val="24"/>
        </w:rPr>
        <w:t>CRSP equal-weighted return</w:t>
      </w:r>
      <w:r>
        <w:rPr>
          <w:rFonts w:ascii="Times New Roman" w:hAnsi="Times New Roman"/>
          <w:sz w:val="24"/>
        </w:rPr>
        <w:t xml:space="preserve"> (ewretd): The equal-weighted return on all NYSE/AMEX/NASDAQ stocks, also from crsp.dsi. This measure gives equal weight to each stock, so it reflects the performance of small-cap stocks more heavily.</w:t>
      </w:r>
    </w:p>
    <w:p>
      <w:pPr>
        <w:spacing w:before="0" w:after="0" w:line="276" w:lineRule="auto"/>
        <w:ind w:firstLine="720"/>
      </w:pPr>
      <w:r>
        <w:rPr>
          <w:rFonts w:ascii="Times New Roman" w:hAnsi="Times New Roman"/>
          <w:sz w:val="24"/>
        </w:rPr>
        <w:t xml:space="preserve">- </w:t>
      </w:r>
      <w:r>
        <w:rPr>
          <w:rFonts w:ascii="Times New Roman" w:hAnsi="Times New Roman"/>
          <w:b/>
          <w:sz w:val="24"/>
        </w:rPr>
        <w:t>CRSP S&amp;P 500 return</w:t>
      </w:r>
      <w:r>
        <w:rPr>
          <w:rFonts w:ascii="Times New Roman" w:hAnsi="Times New Roman"/>
          <w:sz w:val="24"/>
        </w:rPr>
        <w:t xml:space="preserve"> (sprtrn): The S&amp;P 500 total return index, from crsp.dsi. This is the standard large-cap benchmark.</w:t>
      </w:r>
    </w:p>
    <w:p>
      <w:pPr>
        <w:spacing w:before="0" w:after="0" w:line="276" w:lineRule="auto"/>
        <w:ind w:firstLine="720"/>
      </w:pPr>
      <w:r>
        <w:rPr>
          <w:rFonts w:ascii="Times New Roman" w:hAnsi="Times New Roman"/>
          <w:sz w:val="24"/>
        </w:rPr>
        <w:t>We also collect gold prices (FRED series GOLDAMGBD228NLBM), 10-year Treasury yields (DGS10), 13-week T-bill yields (DGS3MO), and the VIX (VIXCLS) from FRED. All returns are expressed in basis points or percentage changes as appropriate.</w:t>
      </w:r>
    </w:p>
    <w:p>
      <w:pPr>
        <w:spacing w:before="0" w:after="0" w:line="276" w:lineRule="auto"/>
        <w:ind w:firstLine="720"/>
      </w:pPr>
      <w:r>
        <w:rPr>
          <w:rFonts w:ascii="Times New Roman" w:hAnsi="Times New Roman"/>
          <w:sz w:val="24"/>
        </w:rPr>
        <w:t>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p>
      <w:pPr>
        <w:spacing w:before="240" w:after="120" w:line="276" w:lineRule="auto"/>
      </w:pPr>
      <w:r>
        <w:rPr>
          <w:rFonts w:ascii="Times New Roman" w:hAnsi="Times New Roman"/>
          <w:b/>
          <w:i/>
          <w:sz w:val="24"/>
        </w:rPr>
        <w:t>3.5 Summary Statistics</w:t>
      </w:r>
    </w:p>
    <w:p>
      <w:pPr>
        <w:spacing w:before="0" w:after="0" w:line="276" w:lineRule="auto"/>
        <w:ind w:firstLine="720"/>
      </w:pPr>
      <w:r>
        <w:rPr>
          <w:rFonts w:ascii="Times New Roman" w:hAnsi="Times New Roman"/>
          <w:sz w:val="24"/>
        </w:rPr>
        <w:t>Table 1 reports the summary statistics for the key variables in our estimation sample.</w:t>
      </w:r>
    </w:p>
    <w:p>
      <w:pPr>
        <w:spacing w:before="160" w:after="80"/>
        <w:jc w:val="center"/>
      </w:pPr>
      <w:r>
        <w:rPr>
          <w:rFonts w:ascii="Times New Roman" w:hAnsi="Times New Roman"/>
          <w:b/>
          <w:sz w:val="22"/>
        </w:rPr>
        <w:t>Table 1: Summary Statistics (N = 117, 2006–2022)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Variable</w:t>
            </w:r>
          </w:p>
        </w:tc>
        <w:tc>
          <w:tcPr>
            <w:tcW w:type="dxa" w:w="1728"/>
            <w:shd w:fill="E8E8E8"/>
          </w:tcPr>
          <w:p>
            <w:pPr>
              <w:jc w:val="center"/>
            </w:pPr>
            <w:r/>
            <w:r>
              <w:rPr>
                <w:rFonts w:ascii="Times New Roman" w:hAnsi="Times New Roman"/>
                <w:b/>
                <w:sz w:val="20"/>
              </w:rPr>
              <w:t>Mean</w:t>
            </w:r>
          </w:p>
        </w:tc>
        <w:tc>
          <w:tcPr>
            <w:tcW w:type="dxa" w:w="1728"/>
            <w:shd w:fill="E8E8E8"/>
          </w:tcPr>
          <w:p>
            <w:pPr>
              <w:jc w:val="center"/>
            </w:pPr>
            <w:r/>
            <w:r>
              <w:rPr>
                <w:rFonts w:ascii="Times New Roman" w:hAnsi="Times New Roman"/>
                <w:b/>
                <w:sz w:val="20"/>
              </w:rPr>
              <w:t>Std</w:t>
            </w:r>
          </w:p>
        </w:tc>
        <w:tc>
          <w:tcPr>
            <w:tcW w:type="dxa" w:w="1728"/>
            <w:shd w:fill="E8E8E8"/>
          </w:tcPr>
          <w:p>
            <w:pPr>
              <w:jc w:val="center"/>
            </w:pPr>
            <w:r/>
            <w:r>
              <w:rPr>
                <w:rFonts w:ascii="Times New Roman" w:hAnsi="Times New Roman"/>
                <w:b/>
                <w:sz w:val="20"/>
              </w:rPr>
              <w:t>Min</w:t>
            </w:r>
          </w:p>
        </w:tc>
        <w:tc>
          <w:tcPr>
            <w:tcW w:type="dxa" w:w="1728"/>
            <w:shd w:fill="E8E8E8"/>
          </w:tcPr>
          <w:p>
            <w:pPr>
              <w:jc w:val="center"/>
            </w:pPr>
            <w:r/>
            <w:r>
              <w:rPr>
                <w:rFonts w:ascii="Times New Roman" w:hAnsi="Times New Roman"/>
                <w:b/>
                <w:sz w:val="20"/>
              </w:rPr>
              <w:t>Max</w:t>
            </w:r>
          </w:p>
        </w:tc>
      </w:tr>
      <w:tr>
        <w:tc>
          <w:tcPr>
            <w:tcW w:type="dxa" w:w="1728"/>
          </w:tcPr>
          <w:p>
            <w:pPr>
              <w:jc w:val="center"/>
            </w:pPr>
            <w:r/>
            <w:r>
              <w:rPr>
                <w:rFonts w:ascii="Times New Roman" w:hAnsi="Times New Roman"/>
                <w:sz w:val="20"/>
              </w:rPr>
              <w:t>Target shock</w:t>
            </w:r>
          </w:p>
        </w:tc>
        <w:tc>
          <w:tcPr>
            <w:tcW w:type="dxa" w:w="1728"/>
          </w:tcPr>
          <w:p>
            <w:pPr>
              <w:jc w:val="center"/>
            </w:pPr>
            <w:r/>
            <w:r>
              <w:rPr>
                <w:rFonts w:ascii="Times New Roman" w:hAnsi="Times New Roman"/>
                <w:sz w:val="20"/>
              </w:rPr>
              <w:t>−0.022</w:t>
            </w:r>
          </w:p>
        </w:tc>
        <w:tc>
          <w:tcPr>
            <w:tcW w:type="dxa" w:w="1728"/>
          </w:tcPr>
          <w:p>
            <w:pPr>
              <w:jc w:val="center"/>
            </w:pPr>
            <w:r/>
            <w:r>
              <w:rPr>
                <w:rFonts w:ascii="Times New Roman" w:hAnsi="Times New Roman"/>
                <w:sz w:val="20"/>
              </w:rPr>
              <w:t>0.823</w:t>
            </w:r>
          </w:p>
        </w:tc>
        <w:tc>
          <w:tcPr>
            <w:tcW w:type="dxa" w:w="1728"/>
          </w:tcPr>
          <w:p>
            <w:pPr>
              <w:jc w:val="center"/>
            </w:pPr>
            <w:r/>
            <w:r>
              <w:rPr>
                <w:rFonts w:ascii="Times New Roman" w:hAnsi="Times New Roman"/>
                <w:sz w:val="20"/>
              </w:rPr>
              <w:t>−4.955</w:t>
            </w:r>
          </w:p>
        </w:tc>
        <w:tc>
          <w:tcPr>
            <w:tcW w:type="dxa" w:w="1728"/>
          </w:tcPr>
          <w:p>
            <w:pPr>
              <w:jc w:val="center"/>
            </w:pPr>
            <w:r/>
            <w:r>
              <w:rPr>
                <w:rFonts w:ascii="Times New Roman" w:hAnsi="Times New Roman"/>
                <w:sz w:val="20"/>
              </w:rPr>
              <w:t>2.691</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0.003</w:t>
            </w:r>
          </w:p>
        </w:tc>
        <w:tc>
          <w:tcPr>
            <w:tcW w:type="dxa" w:w="1728"/>
          </w:tcPr>
          <w:p>
            <w:pPr>
              <w:jc w:val="center"/>
            </w:pPr>
            <w:r/>
            <w:r>
              <w:rPr>
                <w:rFonts w:ascii="Times New Roman" w:hAnsi="Times New Roman"/>
                <w:sz w:val="20"/>
              </w:rPr>
              <w:t>0.795</w:t>
            </w:r>
          </w:p>
        </w:tc>
        <w:tc>
          <w:tcPr>
            <w:tcW w:type="dxa" w:w="1728"/>
          </w:tcPr>
          <w:p>
            <w:pPr>
              <w:jc w:val="center"/>
            </w:pPr>
            <w:r/>
            <w:r>
              <w:rPr>
                <w:rFonts w:ascii="Times New Roman" w:hAnsi="Times New Roman"/>
                <w:sz w:val="20"/>
              </w:rPr>
              <w:t>−2.615</w:t>
            </w:r>
          </w:p>
        </w:tc>
        <w:tc>
          <w:tcPr>
            <w:tcW w:type="dxa" w:w="1728"/>
          </w:tcPr>
          <w:p>
            <w:pPr>
              <w:jc w:val="center"/>
            </w:pPr>
            <w:r/>
            <w:r>
              <w:rPr>
                <w:rFonts w:ascii="Times New Roman" w:hAnsi="Times New Roman"/>
                <w:sz w:val="20"/>
              </w:rPr>
              <w:t>3.389</w:t>
            </w:r>
          </w:p>
        </w:tc>
      </w:tr>
      <w:tr>
        <w:tc>
          <w:tcPr>
            <w:tcW w:type="dxa" w:w="1728"/>
          </w:tcPr>
          <w:p>
            <w:pPr>
              <w:jc w:val="center"/>
            </w:pPr>
            <w:r/>
            <w:r>
              <w:rPr>
                <w:rFonts w:ascii="Times New Roman" w:hAnsi="Times New Roman"/>
                <w:sz w:val="20"/>
              </w:rPr>
              <w:t>Combined sentiment</w:t>
            </w:r>
          </w:p>
        </w:tc>
        <w:tc>
          <w:tcPr>
            <w:tcW w:type="dxa" w:w="1728"/>
          </w:tcPr>
          <w:p>
            <w:pPr>
              <w:jc w:val="center"/>
            </w:pPr>
            <w:r/>
            <w:r>
              <w:rPr>
                <w:rFonts w:ascii="Times New Roman" w:hAnsi="Times New Roman"/>
                <w:sz w:val="20"/>
              </w:rPr>
              <w:t>0.014</w:t>
            </w:r>
          </w:p>
        </w:tc>
        <w:tc>
          <w:tcPr>
            <w:tcW w:type="dxa" w:w="1728"/>
          </w:tcPr>
          <w:p>
            <w:pPr>
              <w:jc w:val="center"/>
            </w:pPr>
            <w:r/>
            <w:r>
              <w:rPr>
                <w:rFonts w:ascii="Times New Roman" w:hAnsi="Times New Roman"/>
                <w:sz w:val="20"/>
              </w:rPr>
              <w:t>0.006</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0.034</w:t>
            </w:r>
          </w:p>
        </w:tc>
      </w:tr>
      <w:tr>
        <w:tc>
          <w:tcPr>
            <w:tcW w:type="dxa" w:w="1728"/>
          </w:tcPr>
          <w:p>
            <w:pPr>
              <w:jc w:val="center"/>
            </w:pPr>
            <w:r/>
            <w:r>
              <w:rPr>
                <w:rFonts w:ascii="Times New Roman" w:hAnsi="Times New Roman"/>
                <w:sz w:val="20"/>
              </w:rPr>
              <w:t>LM score</w:t>
            </w:r>
          </w:p>
        </w:tc>
        <w:tc>
          <w:tcPr>
            <w:tcW w:type="dxa" w:w="1728"/>
          </w:tcPr>
          <w:p>
            <w:pPr>
              <w:jc w:val="center"/>
            </w:pPr>
            <w:r/>
            <w:r>
              <w:rPr>
                <w:rFonts w:ascii="Times New Roman" w:hAnsi="Times New Roman"/>
                <w:sz w:val="20"/>
              </w:rPr>
              <w:t>0.041</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0.031</w:t>
            </w:r>
          </w:p>
        </w:tc>
        <w:tc>
          <w:tcPr>
            <w:tcW w:type="dxa" w:w="1728"/>
          </w:tcPr>
          <w:p>
            <w:pPr>
              <w:jc w:val="center"/>
            </w:pPr>
            <w:r/>
            <w:r>
              <w:rPr>
                <w:rFonts w:ascii="Times New Roman" w:hAnsi="Times New Roman"/>
                <w:sz w:val="20"/>
              </w:rPr>
              <w:t>0.071</w:t>
            </w:r>
          </w:p>
        </w:tc>
      </w:tr>
      <w:tr>
        <w:tc>
          <w:tcPr>
            <w:tcW w:type="dxa" w:w="1728"/>
          </w:tcPr>
          <w:p>
            <w:pPr>
              <w:jc w:val="center"/>
            </w:pPr>
            <w:r/>
            <w:r>
              <w:rPr>
                <w:rFonts w:ascii="Times New Roman" w:hAnsi="Times New Roman"/>
                <w:sz w:val="20"/>
              </w:rPr>
              <w:t>CB score</w:t>
            </w:r>
          </w:p>
        </w:tc>
        <w:tc>
          <w:tcPr>
            <w:tcW w:type="dxa" w:w="1728"/>
          </w:tcPr>
          <w:p>
            <w:pPr>
              <w:jc w:val="center"/>
            </w:pPr>
            <w:r/>
            <w:r>
              <w:rPr>
                <w:rFonts w:ascii="Times New Roman" w:hAnsi="Times New Roman"/>
                <w:sz w:val="20"/>
              </w:rPr>
              <w:t>−0.013</w:t>
            </w:r>
          </w:p>
        </w:tc>
        <w:tc>
          <w:tcPr>
            <w:tcW w:type="dxa" w:w="1728"/>
          </w:tcPr>
          <w:p>
            <w:pPr>
              <w:jc w:val="center"/>
            </w:pPr>
            <w:r/>
            <w:r>
              <w:rPr>
                <w:rFonts w:ascii="Times New Roman" w:hAnsi="Times New Roman"/>
                <w:sz w:val="20"/>
              </w:rPr>
              <w:t>0.005</w:t>
            </w:r>
          </w:p>
        </w:tc>
        <w:tc>
          <w:tcPr>
            <w:tcW w:type="dxa" w:w="1728"/>
          </w:tcPr>
          <w:p>
            <w:pPr>
              <w:jc w:val="center"/>
            </w:pPr>
            <w:r/>
            <w:r>
              <w:rPr>
                <w:rFonts w:ascii="Times New Roman" w:hAnsi="Times New Roman"/>
                <w:sz w:val="20"/>
              </w:rPr>
              <w:t>−0.022</w:t>
            </w:r>
          </w:p>
        </w:tc>
        <w:tc>
          <w:tcPr>
            <w:tcW w:type="dxa" w:w="1728"/>
          </w:tcPr>
          <w:p>
            <w:pPr>
              <w:jc w:val="center"/>
            </w:pPr>
            <w:r/>
            <w:r>
              <w:rPr>
                <w:rFonts w:ascii="Times New Roman" w:hAnsi="Times New Roman"/>
                <w:sz w:val="20"/>
              </w:rPr>
              <w:t>0.005</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−0.449</w:t>
            </w:r>
          </w:p>
        </w:tc>
        <w:tc>
          <w:tcPr>
            <w:tcW w:type="dxa" w:w="1728"/>
          </w:tcPr>
          <w:p>
            <w:pPr>
              <w:jc w:val="center"/>
            </w:pPr>
            <w:r/>
            <w:r>
              <w:rPr>
                <w:rFonts w:ascii="Times New Roman" w:hAnsi="Times New Roman"/>
                <w:sz w:val="20"/>
              </w:rPr>
              <w:t>3.076</w:t>
            </w:r>
          </w:p>
        </w:tc>
        <w:tc>
          <w:tcPr>
            <w:tcW w:type="dxa" w:w="1728"/>
          </w:tcPr>
          <w:p>
            <w:pPr>
              <w:jc w:val="center"/>
            </w:pPr>
            <w:r/>
            <w:r>
              <w:rPr>
                <w:rFonts w:ascii="Times New Roman" w:hAnsi="Times New Roman"/>
                <w:sz w:val="20"/>
              </w:rPr>
              <w:t>−20.000</w:t>
            </w:r>
          </w:p>
        </w:tc>
        <w:tc>
          <w:tcPr>
            <w:tcW w:type="dxa" w:w="1728"/>
          </w:tcPr>
          <w:p>
            <w:pPr>
              <w:jc w:val="center"/>
            </w:pPr>
            <w:r/>
            <w:r>
              <w:rPr>
                <w:rFonts w:ascii="Times New Roman" w:hAnsi="Times New Roman"/>
                <w:sz w:val="20"/>
              </w:rPr>
              <w:t>9.539</w:t>
            </w:r>
          </w:p>
        </w:tc>
      </w:tr>
    </w:tbl>
    <w:p>
      <w:pPr>
        <w:spacing w:before="40" w:after="120"/>
      </w:pPr>
      <w:r>
        <w:rPr>
          <w:rFonts w:ascii="Times New Roman" w:hAnsi="Times New Roman"/>
          <w:i/>
          <w:sz w:val="18"/>
        </w:rPr>
        <w:t>Note: Target and path shocks from Acosta (2022), standardized to unit variance in the full sample (1995–2022). Combined sentiment = 0.5 × LM + 0.5 × CB. Kuttner surprise in basis points.</w:t>
      </w:r>
    </w:p>
    <w:p>
      <w:pPr>
        <w:spacing w:before="0" w:after="0" w:line="276" w:lineRule="auto"/>
        <w:ind w:firstLine="720"/>
      </w:pPr>
      <w:r>
        <w:rPr>
          <w:rFonts w:ascii="Times New Roman" w:hAnsi="Times New Roman"/>
          <w:sz w:val="24"/>
        </w:rPr>
        <w:t>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spacing w:before="0" w:after="0" w:line="276" w:lineRule="auto"/>
        <w:ind w:firstLine="720"/>
      </w:pPr>
      <w:r>
        <w:rPr>
          <w:rFonts w:ascii="Times New Roman" w:hAnsi="Times New Roman"/>
          <w:sz w:val="24"/>
        </w:rPr>
        <w:t>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spacing w:before="0" w:after="0" w:line="276" w:lineRule="auto"/>
        <w:ind w:firstLine="720"/>
      </w:pPr>
      <w:r>
        <w:rPr>
          <w:rFonts w:ascii="Times New Roman" w:hAnsi="Times New Roman"/>
          <w:sz w:val="24"/>
        </w:rPr>
        <w:t>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spacing w:before="0" w:after="0" w:line="276" w:lineRule="auto"/>
        <w:ind w:firstLine="720"/>
      </w:pPr>
      <w:r>
        <w:rPr>
          <w:rFonts w:ascii="Times New Roman" w:hAnsi="Times New Roman"/>
          <w:sz w:val="24"/>
        </w:rPr>
        <w:t>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spacing w:before="0" w:after="0" w:line="276" w:lineRule="auto"/>
        <w:ind w:firstLine="720"/>
      </w:pPr>
      <w:r>
        <w:rPr>
          <w:rFonts w:ascii="Times New Roman" w:hAnsi="Times New Roman"/>
          <w:sz w:val="24"/>
        </w:rPr>
        <w:t>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 "moderate" and "measured" 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pPr>
        <w:spacing w:before="240" w:after="120" w:line="276" w:lineRule="auto"/>
      </w:pPr>
      <w:r>
        <w:rPr>
          <w:rFonts w:ascii="Times New Roman" w:hAnsi="Times New Roman"/>
          <w:b/>
          <w:sz w:val="26"/>
        </w:rPr>
        <w:t>4. Empirical Methodology</w:t>
      </w:r>
    </w:p>
    <w:p>
      <w:pPr>
        <w:spacing w:before="0" w:after="0" w:line="276" w:lineRule="auto"/>
        <w:ind w:firstLine="720"/>
      </w:pPr>
      <w:r>
        <w:rPr>
          <w:rFonts w:ascii="Times New Roman" w:hAnsi="Times New Roman"/>
          <w:sz w:val="24"/>
        </w:rPr>
        <w:t>Figure 1 presents the conceptual framework that guides our analysis. The FOMC announcement generates two orthogonal shocks — the target shock (current rate surprise) and the path shock (future policy revision) — which we test as predictors of statement sentiment and, subsequently, asset returns. Under H1 (policy implementation), the target shock is the more empirically relevant predictor of sentiment; under H2 (informational revelation), the path shock is more relevant. The cross-asset analysis then maps the target shock to four transmission mechanisms: discount-rate (equities), financing-constraint (small-cap), monetary-hedge (gold), and forward-guidance expectations (Treasuries).</w:t>
      </w:r>
    </w:p>
    <w:p>
      <w:pPr>
        <w:spacing w:before="120" w:after="60"/>
        <w:jc w:val="center"/>
      </w:pPr>
      <w:r>
        <w:drawing>
          <wp:inline xmlns:a="http://schemas.openxmlformats.org/drawingml/2006/main" xmlns:pic="http://schemas.openxmlformats.org/drawingml/2006/picture">
            <wp:extent cx="5029200" cy="2781417"/>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029200" cy="2781417"/>
                    </a:xfrm>
                    <a:prstGeom prst="rect"/>
                  </pic:spPr>
                </pic:pic>
              </a:graphicData>
            </a:graphic>
          </wp:inline>
        </w:drawing>
      </w:r>
    </w:p>
    <w:p>
      <w:pPr>
        <w:spacing w:before="60" w:after="120"/>
        <w:jc w:val="center"/>
      </w:pPr>
      <w:r>
        <w:rPr>
          <w:rFonts w:ascii="Times New Roman" w:hAnsi="Times New Roman"/>
          <w:i/>
          <w:sz w:val="20"/>
        </w:rPr>
        <w:t>Figure 1: Conceptual Framework — Implementation vs. Revelation: How Do Monetary Policy Shocks Map to FOMC Language?</w:t>
      </w:r>
    </w:p>
    <w:p>
      <w:pPr>
        <w:spacing w:before="40" w:after="120"/>
      </w:pPr>
      <w:r>
        <w:rPr>
          <w:rFonts w:ascii="Times New Roman" w:hAnsi="Times New Roman"/>
          <w:i/>
          <w:sz w:val="18"/>
        </w:rPr>
        <w:t>Note: Solid arrow = significant path (H1 favored); Dashed arrow = insignificant path (H2 not supported). Wald test p = 0.90 cannot reject equal effects.</w:t>
      </w:r>
    </w:p>
    <w:p>
      <w:pPr>
        <w:spacing w:before="240" w:after="120" w:line="276" w:lineRule="auto"/>
      </w:pPr>
      <w:r>
        <w:rPr>
          <w:rFonts w:ascii="Times New Roman" w:hAnsi="Times New Roman"/>
          <w:b/>
          <w:i/>
          <w:sz w:val="24"/>
        </w:rPr>
        <w:t>4.1 Sentiment and Monetary Policy Shocks</w:t>
      </w:r>
    </w:p>
    <w:p>
      <w:pPr>
        <w:spacing w:before="0" w:after="0" w:line="276" w:lineRule="auto"/>
        <w:ind w:firstLine="720"/>
      </w:pPr>
      <w:r>
        <w:rPr>
          <w:rFonts w:ascii="Times New Roman" w:hAnsi="Times New Roman"/>
          <w:sz w:val="24"/>
        </w:rPr>
        <w:t>We estimate the following regression to test whether FOMC statement sentiment is related to monetary policy shocks:</w:t>
      </w:r>
    </w:p>
    <w:p>
      <w:pPr>
        <w:spacing w:before="120" w:after="120" w:line="276" w:lineRule="auto"/>
        <w:jc w:val="center"/>
      </w:pPr>
      <w:r>
        <w:rPr>
          <w:rFonts w:ascii="Times New Roman" w:hAnsi="Times New Roman"/>
          <w:sz w:val="24"/>
        </w:rPr>
        <w:t>Sₜ = α + β₁ · Targetₜ + β₂ · Pathₜ + εₜ    (4)</w:t>
      </w:r>
    </w:p>
    <w:p>
      <w:pPr>
        <w:spacing w:before="0" w:after="0" w:line="276" w:lineRule="auto"/>
        <w:ind w:firstLine="720"/>
      </w:pPr>
      <w:r>
        <w:rPr>
          <w:rFonts w:ascii="Times New Roman" w:hAnsi="Times New Roman"/>
          <w:sz w:val="24"/>
        </w:rPr>
        <w:t xml:space="preserve">where </w:t>
      </w:r>
      <w:r>
        <w:rPr>
          <w:rFonts w:ascii="Times New Roman" w:hAnsi="Times New Roman"/>
          <w:i/>
          <w:sz w:val="24"/>
        </w:rPr>
        <w:t>Sₜ</w:t>
      </w:r>
      <w:r>
        <w:rPr>
          <w:rFonts w:ascii="Times New Roman" w:hAnsi="Times New Roman"/>
          <w:sz w:val="24"/>
        </w:rPr>
        <w:t xml:space="preserve"> is the combined sentiment score for FOMC meeting </w:t>
      </w:r>
      <w:r>
        <w:rPr>
          <w:rFonts w:ascii="Times New Roman" w:hAnsi="Times New Roman"/>
          <w:i/>
          <w:sz w:val="24"/>
        </w:rPr>
        <w:t>t</w:t>
      </w:r>
      <w:r>
        <w:rPr>
          <w:rFonts w:ascii="Times New Roman" w:hAnsi="Times New Roman"/>
          <w:sz w:val="24"/>
        </w:rPr>
        <w:t xml:space="preserve">, </w:t>
      </w:r>
      <w:r>
        <w:rPr>
          <w:rFonts w:ascii="Times New Roman" w:hAnsi="Times New Roman"/>
          <w:i/>
          <w:sz w:val="24"/>
        </w:rPr>
        <w:t>Targetₜ</w:t>
      </w:r>
      <w:r>
        <w:rPr>
          <w:rFonts w:ascii="Times New Roman" w:hAnsi="Times New Roman"/>
          <w:sz w:val="24"/>
        </w:rPr>
        <w:t xml:space="preserve"> is the target shock, and </w:t>
      </w:r>
      <w:r>
        <w:rPr>
          <w:rFonts w:ascii="Times New Roman" w:hAnsi="Times New Roman"/>
          <w:i/>
          <w:sz w:val="24"/>
        </w:rPr>
        <w:t>Pathₜ</w:t>
      </w:r>
      <w:r>
        <w:rPr>
          <w:rFonts w:ascii="Times New Roman" w:hAnsi="Times New Roman"/>
          <w:sz w:val="24"/>
        </w:rPr>
        <w:t xml:space="preserve"> is the path shock. This specification directly tests two competing hypotheses:</w:t>
      </w:r>
    </w:p>
    <w:p>
      <w:pPr>
        <w:spacing w:before="60" w:after="60" w:line="276" w:lineRule="auto"/>
        <w:ind w:left="720" w:right="720"/>
      </w:pPr>
      <w:r>
        <w:rPr>
          <w:rFonts w:ascii="Times New Roman" w:hAnsi="Times New Roman"/>
          <w:i/>
          <w:sz w:val="22"/>
        </w:rPr>
      </w:r>
      <w:r>
        <w:rPr>
          <w:rFonts w:ascii="Times New Roman" w:hAnsi="Times New Roman"/>
          <w:b/>
          <w:sz w:val="22"/>
        </w:rPr>
        <w:t>H1 (Policy Implementation):</w:t>
      </w:r>
      <w:r>
        <w:rPr>
          <w:rFonts w:ascii="Times New Roman" w:hAnsi="Times New Roman"/>
          <w:i/>
          <w:sz w:val="22"/>
        </w:rPr>
        <w:t xml:space="preserve"> FOMC statement language primarily reflects the current rate decision and its immediate context, so $\beta_1 \geq \beta_2$ — the target shock is at least as important as the path shock.</w:t>
      </w:r>
    </w:p>
    <w:p>
      <w:pPr>
        <w:spacing w:before="60" w:after="60" w:line="276" w:lineRule="auto"/>
        <w:ind w:left="720" w:right="720"/>
      </w:pPr>
      <w:r>
        <w:rPr>
          <w:rFonts w:ascii="Times New Roman" w:hAnsi="Times New Roman"/>
          <w:i/>
          <w:sz w:val="22"/>
        </w:rPr>
      </w:r>
      <w:r>
        <w:rPr>
          <w:rFonts w:ascii="Times New Roman" w:hAnsi="Times New Roman"/>
          <w:b/>
          <w:sz w:val="22"/>
        </w:rPr>
        <w:t>H2 (Informational Revelation):</w:t>
      </w:r>
      <w:r>
        <w:rPr>
          <w:rFonts w:ascii="Times New Roman" w:hAnsi="Times New Roman"/>
          <w:i/>
          <w:sz w:val="22"/>
        </w:rPr>
        <w:t xml:space="preserve"> FOMC statement language primarily reveals information about future economic conditions and the policy path, so $\beta_2 &gt; \beta_1$ — the path shock is the more empirically relevant predictor.</w:t>
      </w:r>
    </w:p>
    <w:p>
      <w:pPr>
        <w:spacing w:before="0" w:after="0" w:line="276" w:lineRule="auto"/>
        <w:ind w:firstLine="720"/>
      </w:pPr>
      <w:r>
        <w:rPr>
          <w:rFonts w:ascii="Times New Roman" w:hAnsi="Times New Roman"/>
          <w:sz w:val="24"/>
        </w:rPr>
        <w:t xml:space="preserve">A formal Wald test of the null </w:t>
      </w:r>
      <w:r>
        <w:rPr>
          <w:rFonts w:ascii="Times New Roman" w:hAnsi="Times New Roman"/>
          <w:i/>
          <w:sz w:val="24"/>
        </w:rPr>
        <w:t>β₁ = β₂</w:t>
      </w:r>
      <w:r>
        <w:rPr>
          <w:rFonts w:ascii="Times New Roman" w:hAnsi="Times New Roman"/>
          <w:sz w:val="24"/>
        </w:rPr>
        <w:t xml:space="preserve"> provides a statistical assessment of whether the two shock dimensions have differential effects on language.</w:t>
      </w:r>
    </w:p>
    <w:p>
      <w:pPr>
        <w:spacing w:before="0" w:after="0" w:line="276" w:lineRule="auto"/>
        <w:ind w:firstLine="720"/>
      </w:pPr>
      <w:r>
        <w:rPr>
          <w:rFonts w:ascii="Times New Roman" w:hAnsi="Times New Roman"/>
          <w:sz w:val="24"/>
        </w:rPr>
        <w:t xml:space="preserve">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 </w:t>
      </w:r>
      <w:r>
        <w:rPr>
          <w:rFonts w:ascii="Times New Roman" w:hAnsi="Times New Roman"/>
          <w:i/>
          <w:sz w:val="24"/>
        </w:rPr>
        <w:t>β₁</w:t>
      </w:r>
      <w:r>
        <w:rPr>
          <w:rFonts w:ascii="Times New Roman" w:hAnsi="Times New Roman"/>
          <w:sz w:val="24"/>
        </w:rPr>
        <w:t xml:space="preserve"> = 0.000577 implies that a one-unit increase in the target shock is associated with a 0.058 percentage point increase in the sentiment score.</w:t>
      </w:r>
    </w:p>
    <w:p>
      <w:pPr>
        <w:spacing w:before="240" w:after="120" w:line="276" w:lineRule="auto"/>
      </w:pPr>
      <w:r>
        <w:rPr>
          <w:rFonts w:ascii="Times New Roman" w:hAnsi="Times New Roman"/>
          <w:b/>
          <w:i/>
          <w:sz w:val="24"/>
        </w:rPr>
        <w:t>4.2 Asset Returns and Monetary Policy Shocks</w:t>
      </w:r>
    </w:p>
    <w:p>
      <w:pPr>
        <w:spacing w:before="0" w:after="0" w:line="276" w:lineRule="auto"/>
        <w:ind w:firstLine="720"/>
      </w:pPr>
      <w:r>
        <w:rPr>
          <w:rFonts w:ascii="Times New Roman" w:hAnsi="Times New Roman"/>
          <w:sz w:val="24"/>
        </w:rPr>
        <w:t>We estimate separate regressions for each asset class:</w:t>
      </w:r>
    </w:p>
    <w:p>
      <w:pPr>
        <w:spacing w:before="120" w:after="120" w:line="276" w:lineRule="auto"/>
        <w:jc w:val="center"/>
      </w:pPr>
      <w:r>
        <w:rPr>
          <w:rFonts w:ascii="Times New Roman" w:hAnsi="Times New Roman"/>
          <w:sz w:val="24"/>
        </w:rPr>
        <w:t>Rₜ = α + β₁ · Targetₜ + β₂ · Pathₜ + εₜ    (5)</w:t>
      </w:r>
    </w:p>
    <w:p>
      <w:pPr>
        <w:spacing w:before="0" w:after="0" w:line="276" w:lineRule="auto"/>
        <w:ind w:firstLine="720"/>
      </w:pPr>
      <w:r>
        <w:rPr>
          <w:rFonts w:ascii="Times New Roman" w:hAnsi="Times New Roman"/>
          <w:sz w:val="24"/>
        </w:rPr>
        <w:t xml:space="preserve">where </w:t>
      </w:r>
      <w:r>
        <w:rPr>
          <w:rFonts w:ascii="Times New Roman" w:hAnsi="Times New Roman"/>
          <w:i/>
          <w:sz w:val="24"/>
        </w:rPr>
        <w:t>Rₜ</w:t>
      </w:r>
      <w:r>
        <w:rPr>
          <w:rFonts w:ascii="Times New Roman" w:hAnsi="Times New Roman"/>
          <w:sz w:val="24"/>
        </w:rPr>
        <w:t xml:space="preserve"> is the daily return on the asset in question. We expect </w:t>
      </w:r>
      <w:r>
        <w:rPr>
          <w:rFonts w:ascii="Times New Roman" w:hAnsi="Times New Roman"/>
          <w:i/>
          <w:sz w:val="24"/>
        </w:rPr>
        <w:t>β₁ &lt; 0</w:t>
      </w:r>
      <w:r>
        <w:rPr>
          <w:rFonts w:ascii="Times New Roman" w:hAnsi="Times New Roman"/>
          <w:sz w:val="24"/>
        </w:rPr>
        <w:t xml:space="preserve"> for equities (an unexpected tightening reduces equity valuations through higher discount rates and lower expected cash flows) and </w:t>
      </w:r>
      <w:r>
        <w:rPr>
          <w:rFonts w:ascii="Times New Roman" w:hAnsi="Times New Roman"/>
          <w:i/>
          <w:sz w:val="24"/>
        </w:rPr>
        <w:t>β₁ &gt; 0</w:t>
      </w:r>
      <w:r>
        <w:rPr>
          <w:rFonts w:ascii="Times New Roman" w:hAnsi="Times New Roman"/>
          <w:sz w:val="24"/>
        </w:rPr>
        <w:t xml:space="preserve"> 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spacing w:before="0" w:after="0" w:line="276" w:lineRule="auto"/>
        <w:ind w:firstLine="720"/>
      </w:pPr>
      <w:r>
        <w:rPr>
          <w:rFonts w:ascii="Times New Roman" w:hAnsi="Times New Roman"/>
          <w:sz w:val="24"/>
        </w:rPr>
        <w:t>We estimate this regression for six asset classes, chosen to provide evidence consistent with distinct transmission mechanisms: the CRSP value-weighted index (discount-rate channel), the CRSP equal-weighted index (financing-constraint channel, since small firms are more bank-dependent), the CRSP S&amp;P 500 index (large-firm benchmark), gold (monetary-hedge channel), 10-year Treasury yields (forward-guidance expectations channel), and 13-week T-bill yields (near-term rate expectations).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p>
      <w:pPr>
        <w:spacing w:before="240" w:after="120" w:line="276" w:lineRule="auto"/>
      </w:pPr>
      <w:r>
        <w:rPr>
          <w:rFonts w:ascii="Times New Roman" w:hAnsi="Times New Roman"/>
          <w:b/>
          <w:i/>
          <w:sz w:val="24"/>
        </w:rPr>
        <w:t>4.3 Testing H1 vs H2</w:t>
      </w:r>
    </w:p>
    <w:p>
      <w:pPr>
        <w:spacing w:before="0" w:after="0" w:line="276" w:lineRule="auto"/>
        <w:ind w:firstLine="720"/>
      </w:pPr>
      <w:r>
        <w:rPr>
          <w:rFonts w:ascii="Times New Roman" w:hAnsi="Times New Roman"/>
          <w:sz w:val="24"/>
        </w:rPr>
        <w:t xml:space="preserve">We compare the relative magnitudes of </w:t>
      </w:r>
      <w:r>
        <w:rPr>
          <w:rFonts w:ascii="Times New Roman" w:hAnsi="Times New Roman"/>
          <w:i/>
          <w:sz w:val="24"/>
        </w:rPr>
        <w:t>β₁</w:t>
      </w:r>
      <w:r>
        <w:rPr>
          <w:rFonts w:ascii="Times New Roman" w:hAnsi="Times New Roman"/>
          <w:sz w:val="24"/>
        </w:rPr>
        <w:t xml:space="preserve"> and </w:t>
      </w:r>
      <w:r>
        <w:rPr>
          <w:rFonts w:ascii="Times New Roman" w:hAnsi="Times New Roman"/>
          <w:i/>
          <w:sz w:val="24"/>
        </w:rPr>
        <w:t>β₂</w:t>
      </w:r>
      <w:r>
        <w:rPr>
          <w:rFonts w:ascii="Times New Roman" w:hAnsi="Times New Roman"/>
          <w:sz w:val="24"/>
        </w:rPr>
        <w:t xml:space="preserve"> in the sentiment regression to assess whether FOMC language reflects policy implementation (H1) or informational revelation (H2). A formal Wald test of the null hypothesis </w:t>
      </w:r>
      <w:r>
        <w:rPr>
          <w:rFonts w:ascii="Times New Roman" w:hAnsi="Times New Roman"/>
          <w:i/>
          <w:sz w:val="24"/>
        </w:rPr>
        <w:t>β₁ = β₂</w:t>
      </w:r>
      <w:r>
        <w:rPr>
          <w:rFonts w:ascii="Times New Roman" w:hAnsi="Times New Roman"/>
          <w:sz w:val="24"/>
        </w:rPr>
        <w:t xml:space="preserve"> provides a statistical assessment of whether the two shock dimensions have differential effects on language.</w:t>
      </w:r>
    </w:p>
    <w:p>
      <w:pPr>
        <w:spacing w:before="0" w:after="0" w:line="276" w:lineRule="auto"/>
        <w:ind w:firstLine="720"/>
      </w:pPr>
      <w:r>
        <w:rPr>
          <w:rFonts w:ascii="Times New Roman" w:hAnsi="Times New Roman"/>
          <w:sz w:val="24"/>
        </w:rPr>
        <w:t>The Wald test statistic is:</w:t>
      </w:r>
    </w:p>
    <w:p>
      <w:pPr>
        <w:spacing w:before="120" w:after="120" w:line="276" w:lineRule="auto"/>
        <w:jc w:val="center"/>
      </w:pPr>
      <w:r>
        <w:rPr>
          <w:rFonts w:ascii="Times New Roman" w:hAnsi="Times New Roman"/>
          <w:sz w:val="24"/>
        </w:rPr>
        <w:t>W = (β̂₁ − β̂₂)² / Var(β̂₁ − β̂₂)    (6)</w:t>
      </w:r>
    </w:p>
    <w:p>
      <w:pPr>
        <w:spacing w:before="0" w:after="0" w:line="276" w:lineRule="auto"/>
        <w:ind w:firstLine="720"/>
      </w:pPr>
      <w:r>
        <w:rPr>
          <w:rFonts w:ascii="Times New Roman" w:hAnsi="Times New Roman"/>
          <w:sz w:val="24"/>
        </w:rPr>
        <w:t xml:space="preserve">where </w:t>
      </w:r>
      <w:r>
        <w:rPr>
          <w:rFonts w:ascii="Times New Roman" w:hAnsi="Times New Roman"/>
          <w:i/>
          <w:sz w:val="24"/>
        </w:rPr>
        <w:t>Var(\hat{β₁ - \hat{β₂) = Var(\hat{β₁) + Var(\hat{β₂) - 2Cov(\hat{β₁, \hat{β₂)</w:t>
      </w:r>
      <w:r>
        <w:rPr>
          <w:rFonts w:ascii="Times New Roman" w:hAnsi="Times New Roman"/>
          <w:sz w:val="24"/>
        </w:rPr>
        <w:t xml:space="preserve"> is estimated using the Newey-West variance-covariance matrix. Under the null hypothesis, </w:t>
      </w:r>
      <w:r>
        <w:rPr>
          <w:rFonts w:ascii="Times New Roman" w:hAnsi="Times New Roman"/>
          <w:i/>
          <w:sz w:val="24"/>
        </w:rPr>
        <w:t>W</w:t>
      </w:r>
      <w:r>
        <w:rPr>
          <w:rFonts w:ascii="Times New Roman" w:hAnsi="Times New Roman"/>
          <w:sz w:val="24"/>
        </w:rPr>
        <w:t xml:space="preserve"> follows a </w:t>
      </w:r>
      <w:r>
        <w:rPr>
          <w:rFonts w:ascii="Times New Roman" w:hAnsi="Times New Roman"/>
          <w:i/>
          <w:sz w:val="24"/>
        </w:rPr>
        <w:t>χ²</w:t>
      </w:r>
      <w:r>
        <w:rPr>
          <w:rFonts w:ascii="Times New Roman" w:hAnsi="Times New Roman"/>
          <w:sz w:val="24"/>
        </w:rPr>
        <w:t xml:space="preserve"> distribution with 1 degree of freedom.</w:t>
      </w:r>
    </w:p>
    <w:p>
      <w:pPr>
        <w:spacing w:before="240" w:after="120" w:line="276" w:lineRule="auto"/>
      </w:pPr>
      <w:r>
        <w:rPr>
          <w:rFonts w:ascii="Times New Roman" w:hAnsi="Times New Roman"/>
          <w:b/>
          <w:i/>
          <w:sz w:val="24"/>
        </w:rPr>
        <w:t>4.4 Forward Guidance Period Interaction</w:t>
      </w:r>
    </w:p>
    <w:p>
      <w:pPr>
        <w:spacing w:before="0" w:after="0" w:line="276" w:lineRule="auto"/>
        <w:ind w:firstLine="720"/>
      </w:pPr>
      <w:r>
        <w:rPr>
          <w:rFonts w:ascii="Times New Roman" w:hAnsi="Times New Roman"/>
          <w:sz w:val="24"/>
        </w:rPr>
        <w:t>We test whether the effect of sentiment on asset returns differs during the forward guidance period by estimating:</w:t>
      </w:r>
    </w:p>
    <w:p>
      <w:pPr>
        <w:spacing w:before="120" w:after="120" w:line="276" w:lineRule="auto"/>
        <w:jc w:val="center"/>
      </w:pPr>
      <w:r>
        <w:rPr>
          <w:rFonts w:ascii="Times New Roman" w:hAnsi="Times New Roman"/>
          <w:sz w:val="24"/>
        </w:rPr>
        <w:t>Rₜ = α + β₁ · Targetₜ + β₂ · Pathₜ + β₃ · Sₜ + β₄ · (Sₜ × FGₜ) + εₜ    (7)</w:t>
      </w:r>
    </w:p>
    <w:p>
      <w:pPr>
        <w:spacing w:before="0" w:after="0" w:line="276" w:lineRule="auto"/>
        <w:ind w:firstLine="720"/>
      </w:pPr>
      <w:r>
        <w:rPr>
          <w:rFonts w:ascii="Times New Roman" w:hAnsi="Times New Roman"/>
          <w:sz w:val="24"/>
        </w:rPr>
        <w:t xml:space="preserve">where </w:t>
      </w:r>
      <w:r>
        <w:rPr>
          <w:rFonts w:ascii="Times New Roman" w:hAnsi="Times New Roman"/>
          <w:i/>
          <w:sz w:val="24"/>
        </w:rPr>
        <w:t>FGₜ</w:t>
      </w:r>
      <w:r>
        <w:rPr>
          <w:rFonts w:ascii="Times New Roman" w:hAnsi="Times New Roman"/>
          <w:sz w:val="24"/>
        </w:rPr>
        <w:t xml:space="preserve"> is an indicator for the forward guidance period (December 2008 to December 2015, when the federal funds rate was at the zero lower bound). Under the hypothesis that language becomes a more important channel when conventional policy is constrained, </w:t>
      </w:r>
      <w:r>
        <w:rPr>
          <w:rFonts w:ascii="Times New Roman" w:hAnsi="Times New Roman"/>
          <w:i/>
          <w:sz w:val="24"/>
        </w:rPr>
        <w:t>β₄ &gt; 0</w:t>
      </w:r>
      <w:r>
        <w:rPr>
          <w:rFonts w:ascii="Times New Roman" w:hAnsi="Times New Roman"/>
          <w:sz w:val="24"/>
        </w:rPr>
        <w:t>. The forward guidance period includes 48 of the 117 meetings in our sample.</w:t>
      </w:r>
    </w:p>
    <w:p>
      <w:pPr>
        <w:spacing w:before="0" w:after="0" w:line="276" w:lineRule="auto"/>
        <w:ind w:firstLine="720"/>
      </w:pPr>
      <w:r>
        <w:rPr>
          <w:rFonts w:ascii="Times New Roman" w:hAnsi="Times New Roman"/>
          <w:sz w:val="24"/>
        </w:rPr>
        <w:t xml:space="preserve">The inclusion of the sentiment variable </w:t>
      </w:r>
      <w:r>
        <w:rPr>
          <w:rFonts w:ascii="Times New Roman" w:hAnsi="Times New Roman"/>
          <w:i/>
          <w:sz w:val="24"/>
        </w:rPr>
        <w:t>Sₜ</w:t>
      </w:r>
      <w:r>
        <w:rPr>
          <w:rFonts w:ascii="Times New Roman" w:hAnsi="Times New Roman"/>
          <w:sz w:val="24"/>
        </w:rPr>
        <w:t xml:space="preserve"> as a separate regressor is important because it allows us to distinguish between the direct effect of sentiment on returns (</w:t>
      </w:r>
      <w:r>
        <w:rPr>
          <w:rFonts w:ascii="Times New Roman" w:hAnsi="Times New Roman"/>
          <w:i/>
          <w:sz w:val="24"/>
        </w:rPr>
        <w:t>β₃</w:t>
      </w:r>
      <w:r>
        <w:rPr>
          <w:rFonts w:ascii="Times New Roman" w:hAnsi="Times New Roman"/>
          <w:sz w:val="24"/>
        </w:rPr>
        <w:t>) and the differential effect during the forward guidance period (</w:t>
      </w:r>
      <w:r>
        <w:rPr>
          <w:rFonts w:ascii="Times New Roman" w:hAnsi="Times New Roman"/>
          <w:i/>
          <w:sz w:val="24"/>
        </w:rPr>
        <w:t>β₄</w:t>
      </w:r>
      <w:r>
        <w:rPr>
          <w:rFonts w:ascii="Times New Roman" w:hAnsi="Times New Roman"/>
          <w:sz w:val="24"/>
        </w:rPr>
        <w:t>). Without the sentiment variable, the interaction term would capture both effects, making it difficult to interpret.</w:t>
      </w:r>
    </w:p>
    <w:p>
      <w:pPr>
        <w:spacing w:before="240" w:after="120" w:line="276" w:lineRule="auto"/>
      </w:pPr>
      <w:r>
        <w:rPr>
          <w:rFonts w:ascii="Times New Roman" w:hAnsi="Times New Roman"/>
          <w:b/>
          <w:i/>
          <w:sz w:val="24"/>
        </w:rPr>
        <w:t>4.5 Estimation</w:t>
      </w:r>
    </w:p>
    <w:p>
      <w:pPr>
        <w:spacing w:before="0" w:after="0" w:line="276" w:lineRule="auto"/>
        <w:ind w:firstLine="720"/>
      </w:pPr>
      <w:r>
        <w:rPr>
          <w:rFonts w:ascii="Times New Roman" w:hAnsi="Times New Roman"/>
          <w:sz w:val="24"/>
        </w:rPr>
        <w:t>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spacing w:before="0" w:after="0" w:line="276" w:lineRule="auto"/>
        <w:ind w:firstLine="720"/>
      </w:pPr>
      <w:r>
        <w:rPr>
          <w:rFonts w:ascii="Times New Roman" w:hAnsi="Times New Roman"/>
          <w:sz w:val="24"/>
        </w:rPr>
        <w:t>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spacing w:before="0" w:after="0" w:line="276" w:lineRule="auto"/>
        <w:ind w:firstLine="720"/>
      </w:pPr>
      <w:r>
        <w:rPr>
          <w:rFonts w:ascii="Times New Roman" w:hAnsi="Times New Roman"/>
          <w:sz w:val="24"/>
        </w:rPr>
        <w:t>We note that the Newey-West estimator provides consistent standard errors under fairly general conditions, but it may be inefficient in small samples. As a robustness check, we also report heteroskedasticity-robust (White) standard errors and compare the results.</w:t>
      </w:r>
    </w:p>
    <w:p>
      <w:pPr>
        <w:spacing w:before="240" w:after="120" w:line="276" w:lineRule="auto"/>
      </w:pPr>
      <w:r>
        <w:rPr>
          <w:rFonts w:ascii="Times New Roman" w:hAnsi="Times New Roman"/>
          <w:b/>
          <w:i/>
          <w:sz w:val="24"/>
        </w:rPr>
        <w:t>4.6 Identification Assumptions</w:t>
      </w:r>
    </w:p>
    <w:p>
      <w:pPr>
        <w:spacing w:before="0" w:after="0" w:line="276" w:lineRule="auto"/>
        <w:ind w:firstLine="720"/>
      </w:pPr>
      <w:r>
        <w:rPr>
          <w:rFonts w:ascii="Times New Roman" w:hAnsi="Times New Roman"/>
          <w:sz w:val="24"/>
        </w:rPr>
        <w:t>Our identification strategy relies on several key assumptions, which we discuss in turn.</w:t>
      </w:r>
    </w:p>
    <w:p>
      <w:pPr>
        <w:spacing w:before="0" w:after="0" w:line="276" w:lineRule="auto"/>
        <w:ind w:firstLine="720"/>
      </w:pPr>
      <w:r>
        <w:rPr>
          <w:rFonts w:ascii="Times New Roman" w:hAnsi="Times New Roman"/>
          <w:sz w:val="24"/>
        </w:rPr>
      </w:r>
      <w:r>
        <w:rPr>
          <w:rFonts w:ascii="Times New Roman" w:hAnsi="Times New Roman"/>
          <w:b/>
          <w:sz w:val="24"/>
        </w:rPr>
        <w:t>Assumption 1: Exogeneity of high-frequency shocks.</w:t>
      </w:r>
      <w:r>
        <w:rPr>
          <w:rFonts w:ascii="Times New Roman" w:hAnsi="Times New Roman"/>
          <w:sz w:val="24"/>
        </w:rPr>
        <w:t xml:space="preserve"> 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spacing w:before="0" w:after="0" w:line="276" w:lineRule="auto"/>
        <w:ind w:firstLine="720"/>
      </w:pPr>
      <w:r>
        <w:rPr>
          <w:rFonts w:ascii="Times New Roman" w:hAnsi="Times New Roman"/>
          <w:sz w:val="24"/>
        </w:rPr>
      </w:r>
      <w:r>
        <w:rPr>
          <w:rFonts w:ascii="Times New Roman" w:hAnsi="Times New Roman"/>
          <w:b/>
          <w:sz w:val="24"/>
        </w:rPr>
        <w:t>Assumption 2: No reverse causality.</w:t>
      </w:r>
      <w:r>
        <w:rPr>
          <w:rFonts w:ascii="Times New Roman" w:hAnsi="Times New Roman"/>
          <w:sz w:val="24"/>
        </w:rPr>
        <w:t xml:space="preserve"> 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spacing w:before="0" w:after="0" w:line="276" w:lineRule="auto"/>
        <w:ind w:firstLine="720"/>
      </w:pPr>
      <w:r>
        <w:rPr>
          <w:rFonts w:ascii="Times New Roman" w:hAnsi="Times New Roman"/>
          <w:sz w:val="24"/>
        </w:rPr>
      </w:r>
      <w:r>
        <w:rPr>
          <w:rFonts w:ascii="Times New Roman" w:hAnsi="Times New Roman"/>
          <w:b/>
          <w:sz w:val="24"/>
        </w:rPr>
        <w:t>Assumption 3: Linear and additive effects.</w:t>
      </w:r>
      <w:r>
        <w:rPr>
          <w:rFonts w:ascii="Times New Roman" w:hAnsi="Times New Roman"/>
          <w:sz w:val="24"/>
        </w:rPr>
        <w:t xml:space="preserve"> 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spacing w:before="0" w:after="0" w:line="276" w:lineRule="auto"/>
        <w:ind w:firstLine="720"/>
      </w:pPr>
      <w:r>
        <w:rPr>
          <w:rFonts w:ascii="Times New Roman" w:hAnsi="Times New Roman"/>
          <w:sz w:val="24"/>
        </w:rPr>
      </w:r>
      <w:r>
        <w:rPr>
          <w:rFonts w:ascii="Times New Roman" w:hAnsi="Times New Roman"/>
          <w:b/>
          <w:sz w:val="24"/>
        </w:rPr>
        <w:t>Assumption 4: Stable relationship over time.</w:t>
      </w:r>
      <w:r>
        <w:rPr>
          <w:rFonts w:ascii="Times New Roman" w:hAnsi="Times New Roman"/>
          <w:sz w:val="24"/>
        </w:rPr>
        <w:t xml:space="preserve"> 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pPr>
        <w:spacing w:before="240" w:after="120" w:line="276" w:lineRule="auto"/>
      </w:pPr>
      <w:r>
        <w:rPr>
          <w:rFonts w:ascii="Times New Roman" w:hAnsi="Times New Roman"/>
          <w:b/>
          <w:sz w:val="26"/>
        </w:rPr>
        <w:t>5. Results</w:t>
      </w:r>
    </w:p>
    <w:p>
      <w:pPr>
        <w:spacing w:before="240" w:after="120" w:line="276" w:lineRule="auto"/>
      </w:pPr>
      <w:r>
        <w:rPr>
          <w:rFonts w:ascii="Times New Roman" w:hAnsi="Times New Roman"/>
          <w:b/>
          <w:i/>
          <w:sz w:val="24"/>
        </w:rPr>
        <w:t>5.1 Sentiment and Monetary Policy Shocks</w:t>
      </w:r>
    </w:p>
    <w:p>
      <w:pPr>
        <w:spacing w:before="0" w:after="0" w:line="276" w:lineRule="auto"/>
        <w:ind w:firstLine="720"/>
      </w:pPr>
      <w:r>
        <w:rPr>
          <w:rFonts w:ascii="Times New Roman" w:hAnsi="Times New Roman"/>
          <w:sz w:val="24"/>
        </w:rPr>
        <w:t>Table 2 reports the results of the sentiment-shock regression. The target shock has a significant positive effect on FOMC statement sentiment (</w:t>
      </w:r>
      <w:r>
        <w:rPr>
          <w:rFonts w:ascii="Times New Roman" w:hAnsi="Times New Roman"/>
          <w:i/>
          <w:sz w:val="24"/>
        </w:rPr>
        <w:t>β</w:t>
      </w:r>
      <w:r>
        <w:rPr>
          <w:rFonts w:ascii="Times New Roman" w:hAnsi="Times New Roman"/>
          <w:sz w:val="24"/>
        </w:rPr>
        <w:t xml:space="preserve"> = 0.000577, t = 2.43, p = 0.017). The path shock has a positive but not statistically significant coefficient (</w:t>
      </w:r>
      <w:r>
        <w:rPr>
          <w:rFonts w:ascii="Times New Roman" w:hAnsi="Times New Roman"/>
          <w:i/>
          <w:sz w:val="24"/>
        </w:rPr>
        <w:t>β</w:t>
      </w:r>
      <w:r>
        <w:rPr>
          <w:rFonts w:ascii="Times New Roman" w:hAnsi="Times New Roman"/>
          <w:sz w:val="24"/>
        </w:rPr>
        <w:t xml:space="preserve"> = 0.000633, t = 1.44, p = 0.152). The R² of the regression is 1.57%.</w:t>
      </w:r>
    </w:p>
    <w:p>
      <w:pPr>
        <w:spacing w:before="160" w:after="80"/>
        <w:jc w:val="center"/>
      </w:pPr>
      <w:r>
        <w:rPr>
          <w:rFonts w:ascii="Times New Roman" w:hAnsi="Times New Roman"/>
          <w:b/>
          <w:sz w:val="22"/>
        </w:rPr>
        <w:t>Table 2: Sentiment and Monetary Policy Shocks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Variable</w:t>
            </w:r>
          </w:p>
        </w:tc>
        <w:tc>
          <w:tcPr>
            <w:tcW w:type="dxa" w:w="1728"/>
            <w:shd w:fill="E8E8E8"/>
          </w:tcPr>
          <w:p>
            <w:pPr>
              <w:jc w:val="center"/>
            </w:pPr>
            <w:r/>
            <w:r>
              <w:rPr>
                <w:rFonts w:ascii="Times New Roman" w:hAnsi="Times New Roman"/>
                <w:b/>
                <w:sz w:val="20"/>
              </w:rPr>
              <w:t>β</w:t>
            </w:r>
          </w:p>
        </w:tc>
        <w:tc>
          <w:tcPr>
            <w:tcW w:type="dxa" w:w="1728"/>
            <w:shd w:fill="E8E8E8"/>
          </w:tcPr>
          <w:p>
            <w:pPr>
              <w:jc w:val="center"/>
            </w:pPr>
            <w:r/>
            <w:r>
              <w:rPr>
                <w:rFonts w:ascii="Times New Roman" w:hAnsi="Times New Roman"/>
                <w:b/>
                <w:sz w:val="20"/>
              </w:rPr>
              <w:t>SE</w:t>
            </w:r>
          </w:p>
        </w:tc>
        <w:tc>
          <w:tcPr>
            <w:tcW w:type="dxa" w:w="1728"/>
            <w:shd w:fill="E8E8E8"/>
          </w:tcPr>
          <w:p>
            <w:pPr>
              <w:jc w:val="center"/>
            </w:pPr>
            <w:r/>
            <w:r>
              <w:rPr>
                <w:rFonts w:ascii="Times New Roman" w:hAnsi="Times New Roman"/>
                <w:b/>
                <w:sz w:val="20"/>
              </w:rPr>
              <w:t>t</w:t>
            </w:r>
          </w:p>
        </w:tc>
        <w:tc>
          <w:tcPr>
            <w:tcW w:type="dxa" w:w="1728"/>
            <w:shd w:fill="E8E8E8"/>
          </w:tcPr>
          <w:p>
            <w:pPr>
              <w:jc w:val="center"/>
            </w:pPr>
            <w:r/>
            <w:r>
              <w:rPr>
                <w:rFonts w:ascii="Times New Roman" w:hAnsi="Times New Roman"/>
                <w:b/>
                <w:sz w:val="20"/>
              </w:rPr>
              <w:t>p</w:t>
            </w:r>
          </w:p>
        </w:tc>
      </w:tr>
      <w:tr>
        <w:tc>
          <w:tcPr>
            <w:tcW w:type="dxa" w:w="1728"/>
          </w:tcPr>
          <w:p>
            <w:pPr>
              <w:jc w:val="center"/>
            </w:pPr>
            <w:r/>
            <w:r>
              <w:rPr>
                <w:rFonts w:ascii="Times New Roman" w:hAnsi="Times New Roman"/>
                <w:sz w:val="20"/>
              </w:rPr>
              <w:t>Target shock</w:t>
            </w:r>
          </w:p>
        </w:tc>
        <w:tc>
          <w:tcPr>
            <w:tcW w:type="dxa" w:w="1728"/>
          </w:tcPr>
          <w:p>
            <w:pPr>
              <w:jc w:val="center"/>
            </w:pPr>
            <w:r/>
            <w:r>
              <w:rPr>
                <w:rFonts w:ascii="Times New Roman" w:hAnsi="Times New Roman"/>
                <w:sz w:val="20"/>
              </w:rPr>
              <w:t>0.000577</w:t>
            </w:r>
          </w:p>
        </w:tc>
        <w:tc>
          <w:tcPr>
            <w:tcW w:type="dxa" w:w="1728"/>
          </w:tcPr>
          <w:p>
            <w:pPr>
              <w:jc w:val="center"/>
            </w:pPr>
            <w:r/>
            <w:r>
              <w:rPr>
                <w:rFonts w:ascii="Times New Roman" w:hAnsi="Times New Roman"/>
                <w:sz w:val="20"/>
              </w:rPr>
              <w:t>0.000238</w:t>
            </w:r>
          </w:p>
        </w:tc>
        <w:tc>
          <w:tcPr>
            <w:tcW w:type="dxa" w:w="1728"/>
          </w:tcPr>
          <w:p>
            <w:pPr>
              <w:jc w:val="center"/>
            </w:pPr>
            <w:r/>
            <w:r>
              <w:rPr>
                <w:rFonts w:ascii="Times New Roman" w:hAnsi="Times New Roman"/>
                <w:sz w:val="20"/>
              </w:rPr>
              <w:t>2.43</w:t>
            </w:r>
          </w:p>
        </w:tc>
        <w:tc>
          <w:tcPr>
            <w:tcW w:type="dxa" w:w="1728"/>
          </w:tcPr>
          <w:p>
            <w:pPr>
              <w:jc w:val="center"/>
            </w:pPr>
            <w:r/>
            <w:r>
              <w:rPr>
                <w:rFonts w:ascii="Times New Roman" w:hAnsi="Times New Roman"/>
                <w:sz w:val="20"/>
              </w:rPr>
              <w:t>0.017</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0.000633</w:t>
            </w:r>
          </w:p>
        </w:tc>
        <w:tc>
          <w:tcPr>
            <w:tcW w:type="dxa" w:w="1728"/>
          </w:tcPr>
          <w:p>
            <w:pPr>
              <w:jc w:val="center"/>
            </w:pPr>
            <w:r/>
            <w:r>
              <w:rPr>
                <w:rFonts w:ascii="Times New Roman" w:hAnsi="Times New Roman"/>
                <w:sz w:val="20"/>
              </w:rPr>
              <w:t>0.000439</w:t>
            </w:r>
          </w:p>
        </w:tc>
        <w:tc>
          <w:tcPr>
            <w:tcW w:type="dxa" w:w="1728"/>
          </w:tcPr>
          <w:p>
            <w:pPr>
              <w:jc w:val="center"/>
            </w:pPr>
            <w:r/>
            <w:r>
              <w:rPr>
                <w:rFonts w:ascii="Times New Roman" w:hAnsi="Times New Roman"/>
                <w:sz w:val="20"/>
              </w:rPr>
              <w:t>1.44</w:t>
            </w:r>
          </w:p>
        </w:tc>
        <w:tc>
          <w:tcPr>
            <w:tcW w:type="dxa" w:w="1728"/>
          </w:tcPr>
          <w:p>
            <w:pPr>
              <w:jc w:val="center"/>
            </w:pPr>
            <w:r/>
            <w:r>
              <w:rPr>
                <w:rFonts w:ascii="Times New Roman" w:hAnsi="Times New Roman"/>
                <w:sz w:val="20"/>
              </w:rPr>
              <w:t>0.152</w:t>
            </w:r>
          </w:p>
        </w:tc>
      </w:tr>
      <w:tr>
        <w:tc>
          <w:tcPr>
            <w:tcW w:type="dxa" w:w="1728"/>
          </w:tcPr>
          <w:p>
            <w:pPr>
              <w:jc w:val="center"/>
            </w:pPr>
            <w:r/>
            <w:r>
              <w:rPr>
                <w:rFonts w:ascii="Times New Roman" w:hAnsi="Times New Roman"/>
                <w:sz w:val="20"/>
              </w:rPr>
              <w:t>Constant</w:t>
            </w:r>
          </w:p>
        </w:tc>
        <w:tc>
          <w:tcPr>
            <w:tcW w:type="dxa" w:w="1728"/>
          </w:tcPr>
          <w:p>
            <w:pPr>
              <w:jc w:val="center"/>
            </w:pPr>
            <w:r/>
            <w:r>
              <w:rPr>
                <w:rFonts w:ascii="Times New Roman" w:hAnsi="Times New Roman"/>
                <w:sz w:val="20"/>
              </w:rPr>
              <w:t>0.0145</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R²</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r>
        <w:tc>
          <w:tcPr>
            <w:tcW w:type="dxa" w:w="1728"/>
          </w:tcPr>
          <w:p>
            <w:pPr>
              <w:jc w:val="center"/>
            </w:pPr>
            <w:r/>
            <w:r>
              <w:rPr>
                <w:rFonts w:ascii="Times New Roman" w:hAnsi="Times New Roman"/>
                <w:sz w:val="20"/>
              </w:rPr>
              <w:t>N</w:t>
            </w:r>
          </w:p>
        </w:tc>
        <w:tc>
          <w:tcPr>
            <w:tcW w:type="dxa" w:w="1728"/>
          </w:tcPr>
          <w:p>
            <w:pPr>
              <w:jc w:val="center"/>
            </w:pPr>
            <w:r/>
            <w:r>
              <w:rPr>
                <w:rFonts w:ascii="Times New Roman" w:hAnsi="Times New Roman"/>
                <w:sz w:val="20"/>
              </w:rPr>
              <w:t>117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bl>
    <w:p>
      <w:pPr>
        <w:spacing w:before="40" w:after="120"/>
      </w:pPr>
      <w:r>
        <w:rPr>
          <w:rFonts w:ascii="Times New Roman" w:hAnsi="Times New Roman"/>
          <w:i/>
          <w:sz w:val="18"/>
        </w:rPr>
        <w:t>Note: Newey-West HAC(4) standard errors. The dependent variable is the combined sentiment score (0.5 × LM + 0.5 × CB).</w:t>
      </w:r>
    </w:p>
    <w:p>
      <w:pPr>
        <w:spacing w:before="0" w:after="0" w:line="276" w:lineRule="auto"/>
        <w:ind w:firstLine="720"/>
      </w:pPr>
      <w:r>
        <w:rPr>
          <w:rFonts w:ascii="Times New Roman" w:hAnsi="Times New Roman"/>
          <w:sz w:val="24"/>
        </w:rPr>
        <w:t>This result provides evidence consistent with H1 (policy implementation) but not with H2 (informational revelation). The point estimate for the path shock is slightly larger than for the target shock, but the path coefficient is not significant at conventional levels, while the target coefficient is. The economic magnitude is modest: a one-unit unexpected tightening (approximately 1.22 standard deviations in our sample) is associated with a 0.058 percentage point increase in the sentiment score, which represents approximately 8% of the standard deviation of sentiment (0.006). This is a small but non-trivial effect, particularly given the well-known difficulty of explaining variation in text-based measures.</w:t>
      </w:r>
    </w:p>
    <w:p>
      <w:pPr>
        <w:spacing w:before="0" w:after="0" w:line="276" w:lineRule="auto"/>
        <w:ind w:firstLine="720"/>
      </w:pPr>
      <w:r>
        <w:rPr>
          <w:rFonts w:ascii="Times New Roman" w:hAnsi="Times New Roman"/>
          <w:sz w:val="24"/>
        </w:rPr>
        <w:t>The modest fit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spacing w:before="0" w:after="0" w:line="276" w:lineRule="auto"/>
        <w:ind w:firstLine="720"/>
      </w:pPr>
      <w:r>
        <w:rPr>
          <w:rFonts w:ascii="Times New Roman" w:hAnsi="Times New Roman"/>
          <w:sz w:val="24"/>
        </w:rPr>
        <w:t>It is worth placing this R²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result is at the lower end of this range, which is consistent with the fact that we are explaining sentiment with only two shock variables, rather than a richer set of economic conditions.</w:t>
      </w:r>
    </w:p>
    <w:p>
      <w:pPr>
        <w:spacing w:before="0" w:after="0" w:line="276" w:lineRule="auto"/>
        <w:ind w:firstLine="720"/>
      </w:pPr>
      <w:r>
        <w:rPr>
          <w:rFonts w:ascii="Times New Roman" w:hAnsi="Times New Roman"/>
          <w:sz w:val="24"/>
        </w:rPr>
        <w:t xml:space="preserve">A formal Wald test of the equality of the target and path coefficients cannot reject the null hypothesis that </w:t>
      </w:r>
      <w:r>
        <w:rPr>
          <w:rFonts w:ascii="Times New Roman" w:hAnsi="Times New Roman"/>
          <w:i/>
          <w:sz w:val="24"/>
        </w:rPr>
        <w:t>β₁ = β₂</w:t>
      </w:r>
      <w:r>
        <w:rPr>
          <w:rFonts w:ascii="Times New Roman" w:hAnsi="Times New Roman"/>
          <w:sz w:val="24"/>
        </w:rPr>
        <w:t xml:space="preserve"> (</w:t>
      </w:r>
      <w:r>
        <w:rPr>
          <w:rFonts w:ascii="Times New Roman" w:hAnsi="Times New Roman"/>
          <w:i/>
          <w:sz w:val="24"/>
        </w:rPr>
        <w:t>χ²</w:t>
      </w:r>
      <w:r>
        <w:rPr>
          <w:rFonts w:ascii="Times New Roman" w:hAnsi="Times New Roman"/>
          <w:sz w:val="24"/>
        </w:rPr>
        <w:t xml:space="preserve"> = 0.015, p = 0.90). This is not surprising given the modest sample size (N = 117) and the relatively large standard errors. We therefore interpret the results as providing suggestive, but not conclusive, evidence favoring H1 over H2, rather than definitive proof that one effect dominates the other.</w:t>
      </w:r>
    </w:p>
    <w:p>
      <w:pPr>
        <w:spacing w:before="0" w:after="0" w:line="276" w:lineRule="auto"/>
        <w:ind w:firstLine="720"/>
      </w:pPr>
      <w:r>
        <w:rPr>
          <w:rFonts w:ascii="Times New Roman" w:hAnsi="Times New Roman"/>
          <w:sz w:val="24"/>
        </w:rPr>
        <w:t>The Wald test result deserves further discussion. The point estimates suggest that the path shock has a slightly larger effect on sentiment than the target shock (</w:t>
      </w:r>
      <w:r>
        <w:rPr>
          <w:rFonts w:ascii="Times New Roman" w:hAnsi="Times New Roman"/>
          <w:i/>
          <w:sz w:val="24"/>
        </w:rPr>
        <w:t>β_{path</w:t>
      </w:r>
      <w:r>
        <w:rPr>
          <w:rFonts w:ascii="Times New Roman" w:hAnsi="Times New Roman"/>
          <w:sz w:val="24"/>
        </w:rPr>
        <w:t xml:space="preserve"> = 0.000633 vs. </w:t>
      </w:r>
      <w:r>
        <w:rPr>
          <w:rFonts w:ascii="Times New Roman" w:hAnsi="Times New Roman"/>
          <w:i/>
          <w:sz w:val="24"/>
        </w:rPr>
        <w:t>β_{target</w:t>
      </w:r>
      <w:r>
        <w:rPr>
          <w:rFonts w:ascii="Times New Roman" w:hAnsi="Times New Roman"/>
          <w:sz w:val="24"/>
        </w:rPr>
        <w:t xml:space="preserve"> =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spacing w:before="120" w:after="60"/>
        <w:jc w:val="center"/>
      </w:pPr>
      <w:r>
        <w:drawing>
          <wp:inline xmlns:a="http://schemas.openxmlformats.org/drawingml/2006/main" xmlns:pic="http://schemas.openxmlformats.org/drawingml/2006/picture">
            <wp:extent cx="5486400" cy="1728592"/>
            <wp:docPr id="2" name="Picture 2"/>
            <wp:cNvGraphicFramePr>
              <a:graphicFrameLocks noChangeAspect="1"/>
            </wp:cNvGraphicFramePr>
            <a:graphic>
              <a:graphicData uri="http://schemas.openxmlformats.org/drawingml/2006/picture">
                <pic:pic>
                  <pic:nvPicPr>
                    <pic:cNvPr id="0" name="figure2_sentiment_vs_shocks.png"/>
                    <pic:cNvPicPr/>
                  </pic:nvPicPr>
                  <pic:blipFill>
                    <a:blip r:embed="rId10"/>
                    <a:stretch>
                      <a:fillRect/>
                    </a:stretch>
                  </pic:blipFill>
                  <pic:spPr>
                    <a:xfrm>
                      <a:off x="0" y="0"/>
                      <a:ext cx="5486400" cy="1728592"/>
                    </a:xfrm>
                    <a:prstGeom prst="rect"/>
                  </pic:spPr>
                </pic:pic>
              </a:graphicData>
            </a:graphic>
          </wp:inline>
        </w:drawing>
      </w:r>
    </w:p>
    <w:p>
      <w:pPr>
        <w:spacing w:before="60" w:after="120"/>
        <w:jc w:val="center"/>
      </w:pPr>
      <w:r>
        <w:rPr>
          <w:rFonts w:ascii="Times New Roman" w:hAnsi="Times New Roman"/>
          <w:i/>
          <w:sz w:val="20"/>
        </w:rPr>
        <w:t>Figure 2: Sentiment vs Monetary Policy Shocks</w:t>
      </w:r>
    </w:p>
    <w:p>
      <w:pPr>
        <w:spacing w:before="0" w:after="0" w:line="276" w:lineRule="auto"/>
        <w:ind w:firstLine="720"/>
      </w:pPr>
      <w:r>
        <w:rPr>
          <w:rFonts w:ascii="Times New Roman" w:hAnsi="Times New Roman"/>
          <w:sz w:val="24"/>
        </w:rPr>
        <w:t>Figure 2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p>
      <w:pPr>
        <w:spacing w:before="240" w:after="120" w:line="276" w:lineRule="auto"/>
      </w:pPr>
      <w:r>
        <w:rPr>
          <w:rFonts w:ascii="Times New Roman" w:hAnsi="Times New Roman"/>
          <w:b/>
          <w:i/>
          <w:sz w:val="24"/>
        </w:rPr>
        <w:t>5.2 Data Source Comparison</w:t>
      </w:r>
    </w:p>
    <w:p>
      <w:pPr>
        <w:spacing w:before="0" w:after="0" w:line="276" w:lineRule="auto"/>
        <w:ind w:firstLine="720"/>
      </w:pPr>
      <w:r>
        <w:rPr>
          <w:rFonts w:ascii="Times New Roman" w:hAnsi="Times New Roman"/>
          <w:sz w:val="24"/>
        </w:rPr>
        <w:t>Table 3 compares the results using three different surprise measures: rate changes, the Kuttner (2001) surprise, and the GSS target/path decomposition.</w:t>
      </w:r>
    </w:p>
    <w:p>
      <w:pPr>
        <w:spacing w:before="160" w:after="80"/>
        <w:jc w:val="center"/>
      </w:pPr>
      <w:r>
        <w:rPr>
          <w:rFonts w:ascii="Times New Roman" w:hAnsi="Times New Roman"/>
          <w:b/>
          <w:sz w:val="22"/>
        </w:rPr>
        <w:t>Table 3: Surprise Measure Comparison (Dependent Variable: Combined Sentiment)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Surprise Measure</w:t>
            </w:r>
          </w:p>
        </w:tc>
        <w:tc>
          <w:tcPr>
            <w:tcW w:type="dxa" w:w="1728"/>
            <w:shd w:fill="E8E8E8"/>
          </w:tcPr>
          <w:p>
            <w:pPr>
              <w:jc w:val="center"/>
            </w:pPr>
            <w:r/>
            <w:r>
              <w:rPr>
                <w:rFonts w:ascii="Times New Roman" w:hAnsi="Times New Roman"/>
                <w:b/>
                <w:sz w:val="20"/>
              </w:rPr>
              <w:t>β (t)</w:t>
            </w:r>
          </w:p>
        </w:tc>
        <w:tc>
          <w:tcPr>
            <w:tcW w:type="dxa" w:w="1728"/>
            <w:shd w:fill="E8E8E8"/>
          </w:tcPr>
          <w:p>
            <w:pPr>
              <w:jc w:val="center"/>
            </w:pPr>
            <w:r/>
            <w:r>
              <w:rPr>
                <w:rFonts w:ascii="Times New Roman" w:hAnsi="Times New Roman"/>
                <w:b/>
                <w:sz w:val="20"/>
              </w:rPr>
              <w:t>p</w:t>
            </w:r>
          </w:p>
        </w:tc>
        <w:tc>
          <w:tcPr>
            <w:tcW w:type="dxa" w:w="1728"/>
            <w:shd w:fill="E8E8E8"/>
          </w:tcPr>
          <w:p>
            <w:pPr>
              <w:jc w:val="center"/>
            </w:pPr>
            <w:r/>
            <w:r>
              <w:rPr>
                <w:rFonts w:ascii="Times New Roman" w:hAnsi="Times New Roman"/>
                <w:b/>
                <w:sz w:val="20"/>
              </w:rPr>
              <w:t>R²</w:t>
            </w:r>
          </w:p>
        </w:tc>
        <w:tc>
          <w:tcPr>
            <w:tcW w:type="dxa" w:w="1728"/>
            <w:shd w:fill="E8E8E8"/>
          </w:tcPr>
          <w:p>
            <w:pPr>
              <w:jc w:val="center"/>
            </w:pPr>
            <w:r/>
            <w:r>
              <w:rPr>
                <w:rFonts w:ascii="Times New Roman" w:hAnsi="Times New Roman"/>
                <w:b/>
                <w:sz w:val="20"/>
              </w:rPr>
              <w:t>N</w:t>
            </w:r>
          </w:p>
        </w:tc>
      </w:tr>
      <w:tr>
        <w:tc>
          <w:tcPr>
            <w:tcW w:type="dxa" w:w="1728"/>
          </w:tcPr>
          <w:p>
            <w:pPr>
              <w:jc w:val="center"/>
            </w:pPr>
            <w:r/>
            <w:r>
              <w:rPr>
                <w:rFonts w:ascii="Times New Roman" w:hAnsi="Times New Roman"/>
                <w:sz w:val="20"/>
              </w:rPr>
              <w:t>Rate change</w:t>
            </w:r>
          </w:p>
        </w:tc>
        <w:tc>
          <w:tcPr>
            <w:tcW w:type="dxa" w:w="1728"/>
          </w:tcPr>
          <w:p>
            <w:pPr>
              <w:jc w:val="center"/>
            </w:pPr>
            <w:r/>
            <w:r>
              <w:rPr>
                <w:rFonts w:ascii="Times New Roman" w:hAnsi="Times New Roman"/>
                <w:sz w:val="20"/>
              </w:rPr>
              <w:t>0.001034 (0.73)</w:t>
            </w:r>
          </w:p>
        </w:tc>
        <w:tc>
          <w:tcPr>
            <w:tcW w:type="dxa" w:w="1728"/>
          </w:tcPr>
          <w:p>
            <w:pPr>
              <w:jc w:val="center"/>
            </w:pPr>
            <w:r/>
            <w:r>
              <w:rPr>
                <w:rFonts w:ascii="Times New Roman" w:hAnsi="Times New Roman"/>
                <w:sz w:val="20"/>
              </w:rPr>
              <w:t>0.726</w:t>
            </w:r>
          </w:p>
        </w:tc>
        <w:tc>
          <w:tcPr>
            <w:tcW w:type="dxa" w:w="1728"/>
          </w:tcPr>
          <w:p>
            <w:pPr>
              <w:jc w:val="center"/>
            </w:pPr>
            <w:r/>
            <w:r>
              <w:rPr>
                <w:rFonts w:ascii="Times New Roman" w:hAnsi="Times New Roman"/>
                <w:sz w:val="20"/>
              </w:rPr>
              <w:t>1.05%</w:t>
            </w:r>
          </w:p>
        </w:tc>
        <w:tc>
          <w:tcPr>
            <w:tcW w:type="dxa" w:w="172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0.000212 (2.88)</w:t>
            </w:r>
          </w:p>
        </w:tc>
        <w:tc>
          <w:tcPr>
            <w:tcW w:type="dxa" w:w="1728"/>
          </w:tcPr>
          <w:p>
            <w:pPr>
              <w:jc w:val="center"/>
            </w:pPr>
            <w:r/>
            <w:r>
              <w:rPr>
                <w:rFonts w:ascii="Times New Roman" w:hAnsi="Times New Roman"/>
                <w:sz w:val="20"/>
              </w:rPr>
              <w:t>0.004</w:t>
            </w:r>
          </w:p>
        </w:tc>
        <w:tc>
          <w:tcPr>
            <w:tcW w:type="dxa" w:w="1728"/>
          </w:tcPr>
          <w:p>
            <w:pPr>
              <w:jc w:val="center"/>
            </w:pPr>
            <w:r/>
            <w:r>
              <w:rPr>
                <w:rFonts w:ascii="Times New Roman" w:hAnsi="Times New Roman"/>
                <w:sz w:val="20"/>
              </w:rPr>
              <w:t>2.14%</w:t>
            </w:r>
          </w:p>
        </w:tc>
        <w:tc>
          <w:tcPr>
            <w:tcW w:type="dxa" w:w="172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GSS target shock</w:t>
            </w:r>
          </w:p>
        </w:tc>
        <w:tc>
          <w:tcPr>
            <w:tcW w:type="dxa" w:w="1728"/>
          </w:tcPr>
          <w:p>
            <w:pPr>
              <w:jc w:val="center"/>
            </w:pPr>
            <w:r/>
            <w:r>
              <w:rPr>
                <w:rFonts w:ascii="Times New Roman" w:hAnsi="Times New Roman"/>
                <w:sz w:val="20"/>
              </w:rPr>
              <w:t>0.000577 (2.43)</w:t>
            </w:r>
          </w:p>
        </w:tc>
        <w:tc>
          <w:tcPr>
            <w:tcW w:type="dxa" w:w="1728"/>
          </w:tcPr>
          <w:p>
            <w:pPr>
              <w:jc w:val="center"/>
            </w:pPr>
            <w:r/>
            <w:r>
              <w:rPr>
                <w:rFonts w:ascii="Times New Roman" w:hAnsi="Times New Roman"/>
                <w:sz w:val="20"/>
              </w:rPr>
              <w:t>0.017</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t>117</w:t>
            </w:r>
          </w:p>
        </w:tc>
      </w:tr>
    </w:tbl>
    <w:p>
      <w:pPr>
        <w:spacing w:before="40" w:after="120"/>
      </w:pPr>
      <w:r>
        <w:rPr>
          <w:rFonts w:ascii="Times New Roman" w:hAnsi="Times New Roman"/>
          <w:i/>
          <w:sz w:val="18"/>
        </w:rPr>
        <w:t>Note: The GSS specification includes both target and path shocks; R² is for the full model. Newey-West HAC(4) standard errors.</w:t>
      </w:r>
    </w:p>
    <w:p>
      <w:pPr>
        <w:spacing w:before="0" w:after="0" w:line="276" w:lineRule="auto"/>
        <w:ind w:firstLine="720"/>
      </w:pPr>
      <w:r>
        <w:rPr>
          <w:rFonts w:ascii="Times New Roman" w:hAnsi="Times New Roman"/>
          <w:sz w:val="24"/>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full GSS decomposition, the target coefficient is significant at the 5% level.</w:t>
      </w:r>
    </w:p>
    <w:p>
      <w:pPr>
        <w:spacing w:before="0" w:after="0" w:line="276" w:lineRule="auto"/>
        <w:ind w:firstLine="720"/>
      </w:pPr>
      <w:r>
        <w:rPr>
          <w:rFonts w:ascii="Times New Roman" w:hAnsi="Times New Roman"/>
          <w:sz w:val="24"/>
        </w:rPr>
        <w:t>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spacing w:before="0" w:after="0" w:line="276" w:lineRule="auto"/>
        <w:ind w:firstLine="720"/>
      </w:pPr>
      <w:r>
        <w:rPr>
          <w:rFonts w:ascii="Times New Roman" w:hAnsi="Times New Roman"/>
          <w:sz w:val="24"/>
        </w:rPr>
        <w:t>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p>
      <w:pPr>
        <w:spacing w:before="240" w:after="120" w:line="276" w:lineRule="auto"/>
      </w:pPr>
      <w:r>
        <w:rPr>
          <w:rFonts w:ascii="Times New Roman" w:hAnsi="Times New Roman"/>
          <w:b/>
          <w:i/>
          <w:sz w:val="24"/>
        </w:rPr>
        <w:t>5.3 Asset Returns and Monetary Policy Shocks</w:t>
      </w:r>
    </w:p>
    <w:p>
      <w:pPr>
        <w:spacing w:before="0" w:after="0" w:line="276" w:lineRule="auto"/>
        <w:ind w:firstLine="720"/>
      </w:pPr>
      <w:r>
        <w:rPr>
          <w:rFonts w:ascii="Times New Roman" w:hAnsi="Times New Roman"/>
          <w:sz w:val="24"/>
        </w:rPr>
        <w:t>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response (</w:t>
      </w:r>
      <w:r>
        <w:rPr>
          <w:rFonts w:ascii="Times New Roman" w:hAnsi="Times New Roman"/>
          <w:i/>
          <w:sz w:val="24"/>
        </w:rPr>
        <w:t>β</w:t>
      </w:r>
      <w:r>
        <w:rPr>
          <w:rFonts w:ascii="Times New Roman" w:hAnsi="Times New Roman"/>
          <w:sz w:val="24"/>
        </w:rPr>
        <w:t xml:space="preserve"> = −0.391, t = −1.80, p = 0.073), while NASDAQ responds with a 28 basis point decline (t = −2.09, p = 0.039). Gold also responds significantly to the target shock (</w:t>
      </w:r>
      <w:r>
        <w:rPr>
          <w:rFonts w:ascii="Times New Roman" w:hAnsi="Times New Roman"/>
          <w:i/>
          <w:sz w:val="24"/>
        </w:rPr>
        <w:t>β</w:t>
      </w:r>
      <w:r>
        <w:rPr>
          <w:rFonts w:ascii="Times New Roman" w:hAnsi="Times New Roman"/>
          <w:sz w:val="24"/>
        </w:rPr>
        <w:t xml:space="preserve"> = −0.404, t = −2.47, p = 0.014). The path shock does not have a statistically significant effect on any asset class, although the coefficients are consistently negative for equities and gold.</w:t>
      </w:r>
    </w:p>
    <w:p>
      <w:pPr>
        <w:spacing w:before="0" w:after="0" w:line="276" w:lineRule="auto"/>
        <w:ind w:firstLine="720"/>
      </w:pPr>
      <w:r>
        <w:rPr>
          <w:rFonts w:ascii="Times New Roman" w:hAnsi="Times New Roman"/>
          <w:sz w:val="24"/>
        </w:rPr>
        <w:t>The economic magnitudes are meaningful. A one-unit target shock (approximately 1.22 standard deviations in our sample) lowers the CRSP VW return by 44 basis points — roughly half the standard deviation of daily returns. The stronger response of the equal-weighted index (45 bp) relative to the value-weighted index (44 bp) and the S&amp;P 500 (39 bp) is consistent with the financing-constraint mechanism: small firms, which are more dependent on bank credit, are more sensitive to unexpected monetary policy tightening.</w:t>
      </w:r>
    </w:p>
    <w:p>
      <w:pPr>
        <w:spacing w:before="160" w:after="80"/>
        <w:jc w:val="center"/>
      </w:pPr>
      <w:r>
        <w:rPr>
          <w:rFonts w:ascii="Times New Roman" w:hAnsi="Times New Roman"/>
          <w:b/>
          <w:sz w:val="22"/>
        </w:rPr>
        <w:t>Table 4: Asset Returns and Monetary Policy Shocks (CRSP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8E8E8"/>
          </w:tcPr>
          <w:p>
            <w:pPr>
              <w:jc w:val="center"/>
            </w:pPr>
            <w:r/>
            <w:r>
              <w:rPr>
                <w:rFonts w:ascii="Times New Roman" w:hAnsi="Times New Roman"/>
                <w:b/>
                <w:sz w:val="20"/>
              </w:rPr>
              <w:t>Asset</w:t>
            </w:r>
          </w:p>
        </w:tc>
        <w:tc>
          <w:tcPr>
            <w:tcW w:type="dxa" w:w="1080"/>
            <w:shd w:fill="E8E8E8"/>
          </w:tcPr>
          <w:p>
            <w:pPr>
              <w:jc w:val="center"/>
            </w:pPr>
            <w:r/>
            <w:r>
              <w:rPr>
                <w:rFonts w:ascii="Times New Roman" w:hAnsi="Times New Roman"/>
                <w:b/>
                <w:sz w:val="20"/>
              </w:rPr>
              <w:t>β_T</w:t>
            </w:r>
          </w:p>
        </w:tc>
        <w:tc>
          <w:tcPr>
            <w:tcW w:type="dxa" w:w="1080"/>
            <w:shd w:fill="E8E8E8"/>
          </w:tcPr>
          <w:p>
            <w:pPr>
              <w:jc w:val="center"/>
            </w:pPr>
            <w:r/>
            <w:r>
              <w:rPr>
                <w:rFonts w:ascii="Times New Roman" w:hAnsi="Times New Roman"/>
                <w:b/>
                <w:sz w:val="20"/>
              </w:rPr>
              <w:t>t_target</w:t>
            </w:r>
          </w:p>
        </w:tc>
        <w:tc>
          <w:tcPr>
            <w:tcW w:type="dxa" w:w="1080"/>
            <w:shd w:fill="E8E8E8"/>
          </w:tcPr>
          <w:p>
            <w:pPr>
              <w:jc w:val="center"/>
            </w:pPr>
            <w:r/>
            <w:r>
              <w:rPr>
                <w:rFonts w:ascii="Times New Roman" w:hAnsi="Times New Roman"/>
                <w:b/>
                <w:sz w:val="20"/>
              </w:rPr>
              <w:t>p_target</w:t>
            </w:r>
          </w:p>
        </w:tc>
        <w:tc>
          <w:tcPr>
            <w:tcW w:type="dxa" w:w="1080"/>
            <w:shd w:fill="E8E8E8"/>
          </w:tcPr>
          <w:p>
            <w:pPr>
              <w:jc w:val="center"/>
            </w:pPr>
            <w:r/>
            <w:r>
              <w:rPr>
                <w:rFonts w:ascii="Times New Roman" w:hAnsi="Times New Roman"/>
                <w:b/>
                <w:sz w:val="20"/>
              </w:rPr>
              <w:t>β_P</w:t>
            </w:r>
          </w:p>
        </w:tc>
        <w:tc>
          <w:tcPr>
            <w:tcW w:type="dxa" w:w="1080"/>
            <w:shd w:fill="E8E8E8"/>
          </w:tcPr>
          <w:p>
            <w:pPr>
              <w:jc w:val="center"/>
            </w:pPr>
            <w:r/>
            <w:r>
              <w:rPr>
                <w:rFonts w:ascii="Times New Roman" w:hAnsi="Times New Roman"/>
                <w:b/>
                <w:sz w:val="20"/>
              </w:rPr>
              <w:t>p_path</w:t>
            </w:r>
          </w:p>
        </w:tc>
        <w:tc>
          <w:tcPr>
            <w:tcW w:type="dxa" w:w="1080"/>
            <w:shd w:fill="E8E8E8"/>
          </w:tcPr>
          <w:p>
            <w:pPr>
              <w:jc w:val="center"/>
            </w:pPr>
            <w:r/>
            <w:r>
              <w:rPr>
                <w:rFonts w:ascii="Times New Roman" w:hAnsi="Times New Roman"/>
                <w:b/>
                <w:sz w:val="20"/>
              </w:rPr>
              <w:t>R²</w:t>
            </w:r>
          </w:p>
        </w:tc>
        <w:tc>
          <w:tcPr>
            <w:tcW w:type="dxa" w:w="1080"/>
            <w:shd w:fill="E8E8E8"/>
          </w:tcPr>
          <w:p>
            <w:pPr>
              <w:jc w:val="center"/>
            </w:pPr>
            <w:r/>
            <w:r>
              <w:rPr>
                <w:rFonts w:ascii="Times New Roman" w:hAnsi="Times New Roman"/>
                <w:b/>
                <w:sz w:val="20"/>
              </w:rPr>
              <w:t>N</w:t>
            </w:r>
          </w:p>
        </w:tc>
      </w:tr>
      <w:tr>
        <w:tc>
          <w:tcPr>
            <w:tcW w:type="dxa" w:w="1080"/>
          </w:tcPr>
          <w:p>
            <w:pPr>
              <w:jc w:val="center"/>
            </w:pPr>
            <w:r/>
            <w:r>
              <w:rPr>
                <w:rFonts w:ascii="Times New Roman" w:hAnsi="Times New Roman"/>
                <w:sz w:val="20"/>
              </w:rPr>
              <w:t>CRSP VW</w:t>
            </w:r>
          </w:p>
        </w:tc>
        <w:tc>
          <w:tcPr>
            <w:tcW w:type="dxa" w:w="1080"/>
          </w:tcPr>
          <w:p>
            <w:pPr>
              <w:jc w:val="center"/>
            </w:pPr>
            <w:r/>
            <w:r>
              <w:rPr>
                <w:rFonts w:ascii="Times New Roman" w:hAnsi="Times New Roman"/>
                <w:sz w:val="20"/>
              </w:rPr>
              <w:t>−0.435</w:t>
            </w:r>
          </w:p>
        </w:tc>
        <w:tc>
          <w:tcPr>
            <w:tcW w:type="dxa" w:w="1080"/>
          </w:tcPr>
          <w:p>
            <w:pPr>
              <w:jc w:val="center"/>
            </w:pPr>
            <w:r/>
            <w:r>
              <w:rPr>
                <w:rFonts w:ascii="Times New Roman" w:hAnsi="Times New Roman"/>
                <w:sz w:val="20"/>
              </w:rPr>
              <w:t>−2.05</w:t>
            </w:r>
          </w:p>
        </w:tc>
        <w:tc>
          <w:tcPr>
            <w:tcW w:type="dxa" w:w="1080"/>
          </w:tcPr>
          <w:p>
            <w:pPr>
              <w:jc w:val="center"/>
            </w:pPr>
            <w:r/>
            <w:r>
              <w:rPr>
                <w:rFonts w:ascii="Times New Roman" w:hAnsi="Times New Roman"/>
                <w:sz w:val="20"/>
              </w:rPr>
              <w:t>0.043</w:t>
            </w:r>
          </w:p>
        </w:tc>
        <w:tc>
          <w:tcPr>
            <w:tcW w:type="dxa" w:w="1080"/>
          </w:tcPr>
          <w:p>
            <w:pPr>
              <w:jc w:val="center"/>
            </w:pPr>
            <w:r/>
            <w:r>
              <w:rPr>
                <w:rFonts w:ascii="Times New Roman" w:hAnsi="Times New Roman"/>
                <w:sz w:val="20"/>
              </w:rPr>
              <w:t>−0.186</w:t>
            </w:r>
          </w:p>
        </w:tc>
        <w:tc>
          <w:tcPr>
            <w:tcW w:type="dxa" w:w="1080"/>
          </w:tcPr>
          <w:p>
            <w:pPr>
              <w:jc w:val="center"/>
            </w:pPr>
            <w:r/>
            <w:r>
              <w:rPr>
                <w:rFonts w:ascii="Times New Roman" w:hAnsi="Times New Roman"/>
                <w:sz w:val="20"/>
              </w:rPr>
              <w:t>0.443</w:t>
            </w:r>
          </w:p>
        </w:tc>
        <w:tc>
          <w:tcPr>
            <w:tcW w:type="dxa" w:w="1080"/>
          </w:tcPr>
          <w:p>
            <w:pPr>
              <w:jc w:val="center"/>
            </w:pPr>
            <w:r/>
            <w:r>
              <w:rPr>
                <w:rFonts w:ascii="Times New Roman" w:hAnsi="Times New Roman"/>
                <w:sz w:val="20"/>
              </w:rPr>
              <w:t>9.1%</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CRSP EW</w:t>
            </w:r>
          </w:p>
        </w:tc>
        <w:tc>
          <w:tcPr>
            <w:tcW w:type="dxa" w:w="1080"/>
          </w:tcPr>
          <w:p>
            <w:pPr>
              <w:jc w:val="center"/>
            </w:pPr>
            <w:r/>
            <w:r>
              <w:rPr>
                <w:rFonts w:ascii="Times New Roman" w:hAnsi="Times New Roman"/>
                <w:sz w:val="20"/>
              </w:rPr>
              <w:t>−0.449</w:t>
            </w:r>
          </w:p>
        </w:tc>
        <w:tc>
          <w:tcPr>
            <w:tcW w:type="dxa" w:w="1080"/>
          </w:tcPr>
          <w:p>
            <w:pPr>
              <w:jc w:val="center"/>
            </w:pPr>
            <w:r/>
            <w:r>
              <w:rPr>
                <w:rFonts w:ascii="Times New Roman" w:hAnsi="Times New Roman"/>
                <w:sz w:val="20"/>
              </w:rPr>
              <w:t>−2.53</w:t>
            </w:r>
          </w:p>
        </w:tc>
        <w:tc>
          <w:tcPr>
            <w:tcW w:type="dxa" w:w="1080"/>
          </w:tcPr>
          <w:p>
            <w:pPr>
              <w:jc w:val="center"/>
            </w:pPr>
            <w:r/>
            <w:r>
              <w:rPr>
                <w:rFonts w:ascii="Times New Roman" w:hAnsi="Times New Roman"/>
                <w:sz w:val="20"/>
              </w:rPr>
              <w:t>0.013</w:t>
            </w:r>
          </w:p>
        </w:tc>
        <w:tc>
          <w:tcPr>
            <w:tcW w:type="dxa" w:w="1080"/>
          </w:tcPr>
          <w:p>
            <w:pPr>
              <w:jc w:val="center"/>
            </w:pPr>
            <w:r/>
            <w:r>
              <w:rPr>
                <w:rFonts w:ascii="Times New Roman" w:hAnsi="Times New Roman"/>
                <w:sz w:val="20"/>
              </w:rPr>
              <w:t>−0.174</w:t>
            </w:r>
          </w:p>
        </w:tc>
        <w:tc>
          <w:tcPr>
            <w:tcW w:type="dxa" w:w="1080"/>
          </w:tcPr>
          <w:p>
            <w:pPr>
              <w:jc w:val="center"/>
            </w:pPr>
            <w:r/>
            <w:r>
              <w:rPr>
                <w:rFonts w:ascii="Times New Roman" w:hAnsi="Times New Roman"/>
                <w:sz w:val="20"/>
              </w:rPr>
              <w:t>0.479</w:t>
            </w:r>
          </w:p>
        </w:tc>
        <w:tc>
          <w:tcPr>
            <w:tcW w:type="dxa" w:w="1080"/>
          </w:tcPr>
          <w:p>
            <w:pPr>
              <w:jc w:val="center"/>
            </w:pPr>
            <w:r/>
            <w:r>
              <w:rPr>
                <w:rFonts w:ascii="Times New Roman" w:hAnsi="Times New Roman"/>
                <w:sz w:val="20"/>
              </w:rPr>
              <w:t>10.3%</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S&amp;P 500</w:t>
            </w:r>
          </w:p>
        </w:tc>
        <w:tc>
          <w:tcPr>
            <w:tcW w:type="dxa" w:w="1080"/>
          </w:tcPr>
          <w:p>
            <w:pPr>
              <w:jc w:val="center"/>
            </w:pPr>
            <w:r/>
            <w:r>
              <w:rPr>
                <w:rFonts w:ascii="Times New Roman" w:hAnsi="Times New Roman"/>
                <w:sz w:val="20"/>
              </w:rPr>
              <w:t>−0.391</w:t>
            </w:r>
          </w:p>
        </w:tc>
        <w:tc>
          <w:tcPr>
            <w:tcW w:type="dxa" w:w="1080"/>
          </w:tcPr>
          <w:p>
            <w:pPr>
              <w:jc w:val="center"/>
            </w:pPr>
            <w:r/>
            <w:r>
              <w:rPr>
                <w:rFonts w:ascii="Times New Roman" w:hAnsi="Times New Roman"/>
                <w:sz w:val="20"/>
              </w:rPr>
              <w:t>−1.80</w:t>
            </w:r>
          </w:p>
        </w:tc>
        <w:tc>
          <w:tcPr>
            <w:tcW w:type="dxa" w:w="1080"/>
          </w:tcPr>
          <w:p>
            <w:pPr>
              <w:jc w:val="center"/>
            </w:pPr>
            <w:r/>
            <w:r>
              <w:rPr>
                <w:rFonts w:ascii="Times New Roman" w:hAnsi="Times New Roman"/>
                <w:sz w:val="20"/>
              </w:rPr>
              <w:t>0.073</w:t>
            </w:r>
          </w:p>
        </w:tc>
        <w:tc>
          <w:tcPr>
            <w:tcW w:type="dxa" w:w="1080"/>
          </w:tcPr>
          <w:p>
            <w:pPr>
              <w:jc w:val="center"/>
            </w:pPr>
            <w:r/>
            <w:r>
              <w:rPr>
                <w:rFonts w:ascii="Times New Roman" w:hAnsi="Times New Roman"/>
                <w:sz w:val="20"/>
              </w:rPr>
              <w:t>−0.179</w:t>
            </w:r>
          </w:p>
        </w:tc>
        <w:tc>
          <w:tcPr>
            <w:tcW w:type="dxa" w:w="1080"/>
          </w:tcPr>
          <w:p>
            <w:pPr>
              <w:jc w:val="center"/>
            </w:pPr>
            <w:r/>
            <w:r>
              <w:rPr>
                <w:rFonts w:ascii="Times New Roman" w:hAnsi="Times New Roman"/>
                <w:sz w:val="20"/>
              </w:rPr>
              <w:t>0.424</w:t>
            </w:r>
          </w:p>
        </w:tc>
        <w:tc>
          <w:tcPr>
            <w:tcW w:type="dxa" w:w="1080"/>
          </w:tcPr>
          <w:p>
            <w:pPr>
              <w:jc w:val="center"/>
            </w:pPr>
            <w:r/>
            <w:r>
              <w:rPr>
                <w:rFonts w:ascii="Times New Roman" w:hAnsi="Times New Roman"/>
                <w:sz w:val="20"/>
              </w:rPr>
              <w:t>7.8%</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NASDAQ</w:t>
            </w:r>
          </w:p>
        </w:tc>
        <w:tc>
          <w:tcPr>
            <w:tcW w:type="dxa" w:w="1080"/>
          </w:tcPr>
          <w:p>
            <w:pPr>
              <w:jc w:val="center"/>
            </w:pPr>
            <w:r/>
            <w:r>
              <w:rPr>
                <w:rFonts w:ascii="Times New Roman" w:hAnsi="Times New Roman"/>
                <w:sz w:val="20"/>
              </w:rPr>
              <w:t>−0.282</w:t>
            </w:r>
          </w:p>
        </w:tc>
        <w:tc>
          <w:tcPr>
            <w:tcW w:type="dxa" w:w="1080"/>
          </w:tcPr>
          <w:p>
            <w:pPr>
              <w:jc w:val="center"/>
            </w:pPr>
            <w:r/>
            <w:r>
              <w:rPr>
                <w:rFonts w:ascii="Times New Roman" w:hAnsi="Times New Roman"/>
                <w:sz w:val="20"/>
              </w:rPr>
              <w:t>−2.09</w:t>
            </w:r>
          </w:p>
        </w:tc>
        <w:tc>
          <w:tcPr>
            <w:tcW w:type="dxa" w:w="1080"/>
          </w:tcPr>
          <w:p>
            <w:pPr>
              <w:jc w:val="center"/>
            </w:pPr>
            <w:r/>
            <w:r>
              <w:rPr>
                <w:rFonts w:ascii="Times New Roman" w:hAnsi="Times New Roman"/>
                <w:sz w:val="20"/>
              </w:rPr>
              <w:t>0.039</w:t>
            </w:r>
          </w:p>
        </w:tc>
        <w:tc>
          <w:tcPr>
            <w:tcW w:type="dxa" w:w="1080"/>
          </w:tcPr>
          <w:p>
            <w:pPr>
              <w:jc w:val="center"/>
            </w:pPr>
            <w:r/>
            <w:r>
              <w:rPr>
                <w:rFonts w:ascii="Times New Roman" w:hAnsi="Times New Roman"/>
                <w:sz w:val="20"/>
              </w:rPr>
              <w:t>−0.166</w:t>
            </w:r>
          </w:p>
        </w:tc>
        <w:tc>
          <w:tcPr>
            <w:tcW w:type="dxa" w:w="1080"/>
          </w:tcPr>
          <w:p>
            <w:pPr>
              <w:jc w:val="center"/>
            </w:pPr>
            <w:r/>
            <w:r>
              <w:rPr>
                <w:rFonts w:ascii="Times New Roman" w:hAnsi="Times New Roman"/>
                <w:sz w:val="20"/>
              </w:rPr>
              <w:t>0.309</w:t>
            </w:r>
          </w:p>
        </w:tc>
        <w:tc>
          <w:tcPr>
            <w:tcW w:type="dxa" w:w="1080"/>
          </w:tcPr>
          <w:p>
            <w:pPr>
              <w:jc w:val="center"/>
            </w:pPr>
            <w:r/>
            <w:r>
              <w:rPr>
                <w:rFonts w:ascii="Times New Roman" w:hAnsi="Times New Roman"/>
                <w:sz w:val="20"/>
              </w:rPr>
              <w:t>3.4%</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Gold</w:t>
            </w:r>
          </w:p>
        </w:tc>
        <w:tc>
          <w:tcPr>
            <w:tcW w:type="dxa" w:w="1080"/>
          </w:tcPr>
          <w:p>
            <w:pPr>
              <w:jc w:val="center"/>
            </w:pPr>
            <w:r/>
            <w:r>
              <w:rPr>
                <w:rFonts w:ascii="Times New Roman" w:hAnsi="Times New Roman"/>
                <w:sz w:val="20"/>
              </w:rPr>
              <w:t>−0.404</w:t>
            </w:r>
          </w:p>
        </w:tc>
        <w:tc>
          <w:tcPr>
            <w:tcW w:type="dxa" w:w="1080"/>
          </w:tcPr>
          <w:p>
            <w:pPr>
              <w:jc w:val="center"/>
            </w:pPr>
            <w:r/>
            <w:r>
              <w:rPr>
                <w:rFonts w:ascii="Times New Roman" w:hAnsi="Times New Roman"/>
                <w:sz w:val="20"/>
              </w:rPr>
              <w:t>−2.47</w:t>
            </w:r>
          </w:p>
        </w:tc>
        <w:tc>
          <w:tcPr>
            <w:tcW w:type="dxa" w:w="1080"/>
          </w:tcPr>
          <w:p>
            <w:pPr>
              <w:jc w:val="center"/>
            </w:pPr>
            <w:r/>
            <w:r>
              <w:rPr>
                <w:rFonts w:ascii="Times New Roman" w:hAnsi="Times New Roman"/>
                <w:sz w:val="20"/>
              </w:rPr>
              <w:t>0.014</w:t>
            </w:r>
          </w:p>
        </w:tc>
        <w:tc>
          <w:tcPr>
            <w:tcW w:type="dxa" w:w="1080"/>
          </w:tcPr>
          <w:p>
            <w:pPr>
              <w:jc w:val="center"/>
            </w:pPr>
            <w:r/>
            <w:r>
              <w:rPr>
                <w:rFonts w:ascii="Times New Roman" w:hAnsi="Times New Roman"/>
                <w:sz w:val="20"/>
              </w:rPr>
              <w:t>−0.488</w:t>
            </w:r>
          </w:p>
        </w:tc>
        <w:tc>
          <w:tcPr>
            <w:tcW w:type="dxa" w:w="1080"/>
          </w:tcPr>
          <w:p>
            <w:pPr>
              <w:jc w:val="center"/>
            </w:pPr>
            <w:r/>
            <w:r>
              <w:rPr>
                <w:rFonts w:ascii="Times New Roman" w:hAnsi="Times New Roman"/>
                <w:sz w:val="20"/>
              </w:rPr>
              <w:t>0.146</w:t>
            </w:r>
          </w:p>
        </w:tc>
        <w:tc>
          <w:tcPr>
            <w:tcW w:type="dxa" w:w="1080"/>
          </w:tcPr>
          <w:p>
            <w:pPr>
              <w:jc w:val="center"/>
            </w:pPr>
            <w:r/>
            <w:r>
              <w:rPr>
                <w:rFonts w:ascii="Times New Roman" w:hAnsi="Times New Roman"/>
                <w:sz w:val="20"/>
              </w:rPr>
              <w:t>7.0%</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10Y Treasury</w:t>
            </w:r>
          </w:p>
        </w:tc>
        <w:tc>
          <w:tcPr>
            <w:tcW w:type="dxa" w:w="1080"/>
          </w:tcPr>
          <w:p>
            <w:pPr>
              <w:jc w:val="center"/>
            </w:pPr>
            <w:r/>
            <w:r>
              <w:rPr>
                <w:rFonts w:ascii="Times New Roman" w:hAnsi="Times New Roman"/>
                <w:sz w:val="20"/>
              </w:rPr>
              <w:t>0.007</w:t>
            </w:r>
          </w:p>
        </w:tc>
        <w:tc>
          <w:tcPr>
            <w:tcW w:type="dxa" w:w="1080"/>
          </w:tcPr>
          <w:p>
            <w:pPr>
              <w:jc w:val="center"/>
            </w:pPr>
            <w:r/>
            <w:r>
              <w:rPr>
                <w:rFonts w:ascii="Times New Roman" w:hAnsi="Times New Roman"/>
                <w:sz w:val="20"/>
              </w:rPr>
              <w:t>0.84</w:t>
            </w:r>
          </w:p>
        </w:tc>
        <w:tc>
          <w:tcPr>
            <w:tcW w:type="dxa" w:w="1080"/>
          </w:tcPr>
          <w:p>
            <w:pPr>
              <w:jc w:val="center"/>
            </w:pPr>
            <w:r/>
            <w:r>
              <w:rPr>
                <w:rFonts w:ascii="Times New Roman" w:hAnsi="Times New Roman"/>
                <w:sz w:val="20"/>
              </w:rPr>
              <w:t>0.403</w:t>
            </w:r>
          </w:p>
        </w:tc>
        <w:tc>
          <w:tcPr>
            <w:tcW w:type="dxa" w:w="1080"/>
          </w:tcPr>
          <w:p>
            <w:pPr>
              <w:jc w:val="center"/>
            </w:pPr>
            <w:r/>
            <w:r>
              <w:rPr>
                <w:rFonts w:ascii="Times New Roman" w:hAnsi="Times New Roman"/>
                <w:sz w:val="20"/>
              </w:rPr>
              <w:t>−0.001</w:t>
            </w:r>
          </w:p>
        </w:tc>
        <w:tc>
          <w:tcPr>
            <w:tcW w:type="dxa" w:w="1080"/>
          </w:tcPr>
          <w:p>
            <w:pPr>
              <w:jc w:val="center"/>
            </w:pPr>
            <w:r/>
            <w:r>
              <w:rPr>
                <w:rFonts w:ascii="Times New Roman" w:hAnsi="Times New Roman"/>
                <w:sz w:val="20"/>
              </w:rPr>
              <w:t>0.890</w:t>
            </w:r>
          </w:p>
        </w:tc>
        <w:tc>
          <w:tcPr>
            <w:tcW w:type="dxa" w:w="1080"/>
          </w:tcPr>
          <w:p>
            <w:pPr>
              <w:jc w:val="center"/>
            </w:pPr>
            <w:r/>
            <w:r>
              <w:rPr>
                <w:rFonts w:ascii="Times New Roman" w:hAnsi="Times New Roman"/>
                <w:sz w:val="20"/>
              </w:rPr>
              <w:t>0.7%</w:t>
            </w:r>
          </w:p>
        </w:tc>
        <w:tc>
          <w:tcPr>
            <w:tcW w:type="dxa" w:w="1080"/>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13W T-bill</w:t>
            </w:r>
          </w:p>
        </w:tc>
        <w:tc>
          <w:tcPr>
            <w:tcW w:type="dxa" w:w="1080"/>
          </w:tcPr>
          <w:p>
            <w:pPr>
              <w:jc w:val="center"/>
            </w:pPr>
            <w:r/>
            <w:r>
              <w:rPr>
                <w:rFonts w:ascii="Times New Roman" w:hAnsi="Times New Roman"/>
                <w:sz w:val="20"/>
              </w:rPr>
              <w:t>0.004</w:t>
            </w:r>
          </w:p>
        </w:tc>
        <w:tc>
          <w:tcPr>
            <w:tcW w:type="dxa" w:w="1080"/>
          </w:tcPr>
          <w:p>
            <w:pPr>
              <w:jc w:val="center"/>
            </w:pPr>
            <w:r/>
            <w:r>
              <w:rPr>
                <w:rFonts w:ascii="Times New Roman" w:hAnsi="Times New Roman"/>
                <w:sz w:val="20"/>
              </w:rPr>
              <w:t>0.69</w:t>
            </w:r>
          </w:p>
        </w:tc>
        <w:tc>
          <w:tcPr>
            <w:tcW w:type="dxa" w:w="1080"/>
          </w:tcPr>
          <w:p>
            <w:pPr>
              <w:jc w:val="center"/>
            </w:pPr>
            <w:r/>
            <w:r>
              <w:rPr>
                <w:rFonts w:ascii="Times New Roman" w:hAnsi="Times New Roman"/>
                <w:sz w:val="20"/>
              </w:rPr>
              <w:t>0.491</w:t>
            </w:r>
          </w:p>
        </w:tc>
        <w:tc>
          <w:tcPr>
            <w:tcW w:type="dxa" w:w="1080"/>
          </w:tcPr>
          <w:p>
            <w:pPr>
              <w:jc w:val="center"/>
            </w:pPr>
            <w:r/>
            <w:r>
              <w:rPr>
                <w:rFonts w:ascii="Times New Roman" w:hAnsi="Times New Roman"/>
                <w:sz w:val="20"/>
              </w:rPr>
              <w:t>−0.003</w:t>
            </w:r>
          </w:p>
        </w:tc>
        <w:tc>
          <w:tcPr>
            <w:tcW w:type="dxa" w:w="1080"/>
          </w:tcPr>
          <w:p>
            <w:pPr>
              <w:jc w:val="center"/>
            </w:pPr>
            <w:r/>
            <w:r>
              <w:rPr>
                <w:rFonts w:ascii="Times New Roman" w:hAnsi="Times New Roman"/>
                <w:sz w:val="20"/>
              </w:rPr>
              <w:t>0.737</w:t>
            </w:r>
          </w:p>
        </w:tc>
        <w:tc>
          <w:tcPr>
            <w:tcW w:type="dxa" w:w="1080"/>
          </w:tcPr>
          <w:p>
            <w:pPr>
              <w:jc w:val="center"/>
            </w:pPr>
            <w:r/>
            <w:r>
              <w:rPr>
                <w:rFonts w:ascii="Times New Roman" w:hAnsi="Times New Roman"/>
                <w:sz w:val="20"/>
              </w:rPr>
              <w:t>0.7%</w:t>
            </w:r>
          </w:p>
        </w:tc>
        <w:tc>
          <w:tcPr>
            <w:tcW w:type="dxa" w:w="1080"/>
          </w:tcPr>
          <w:p>
            <w:pPr>
              <w:jc w:val="center"/>
            </w:pPr>
            <w:r/>
            <w:r>
              <w:rPr>
                <w:rFonts w:ascii="Times New Roman" w:hAnsi="Times New Roman"/>
                <w:sz w:val="20"/>
              </w:rPr>
              <w:t>117</w:t>
            </w:r>
          </w:p>
        </w:tc>
      </w:tr>
    </w:tbl>
    <w:p>
      <w:pPr>
        <w:spacing w:before="40" w:after="120"/>
      </w:pPr>
      <w:r>
        <w:rPr>
          <w:rFonts w:ascii="Times New Roman" w:hAnsi="Times New Roman"/>
          <w:i/>
          <w:sz w:val="18"/>
        </w:rPr>
        <w:t>Note: Newey-West HAC(4) standard errors. Returns in basis points for equities and gold; percentage points for Treasury yields.</w:t>
      </w:r>
    </w:p>
    <w:p>
      <w:pPr>
        <w:spacing w:before="0" w:after="0" w:line="276" w:lineRule="auto"/>
        <w:ind w:firstLine="720"/>
      </w:pPr>
      <w:r>
        <w:rPr>
          <w:rFonts w:ascii="Times New Roman" w:hAnsi="Times New Roman"/>
          <w:sz w:val="24"/>
        </w:rPr>
        <w:t>An important pattern emerges from comparing the equity index results. The target shock effect is larger for the equal-weighted CRSP index (</w:t>
      </w:r>
      <w:r>
        <w:rPr>
          <w:rFonts w:ascii="Times New Roman" w:hAnsi="Times New Roman"/>
          <w:i/>
          <w:sz w:val="24"/>
        </w:rPr>
        <w:t>β</w:t>
      </w:r>
      <w:r>
        <w:rPr>
          <w:rFonts w:ascii="Times New Roman" w:hAnsi="Times New Roman"/>
          <w:sz w:val="24"/>
        </w:rPr>
        <w:t xml:space="preserve"> = −0.449) than for the value-weighted index (</w:t>
      </w:r>
      <w:r>
        <w:rPr>
          <w:rFonts w:ascii="Times New Roman" w:hAnsi="Times New Roman"/>
          <w:i/>
          <w:sz w:val="24"/>
        </w:rPr>
        <w:t>β</w:t>
      </w:r>
      <w:r>
        <w:rPr>
          <w:rFonts w:ascii="Times New Roman" w:hAnsi="Times New Roman"/>
          <w:sz w:val="24"/>
        </w:rPr>
        <w:t xml:space="preserve"> = −0.435), which in turn is larger than the S&amp;P 500 (</w:t>
      </w:r>
      <w:r>
        <w:rPr>
          <w:rFonts w:ascii="Times New Roman" w:hAnsi="Times New Roman"/>
          <w:i/>
          <w:sz w:val="24"/>
        </w:rPr>
        <w:t>β</w:t>
      </w:r>
      <w:r>
        <w:rPr>
          <w:rFonts w:ascii="Times New Roman" w:hAnsi="Times New Roman"/>
          <w:sz w:val="24"/>
        </w:rPr>
        <w:t xml:space="preserve"> =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spacing w:before="0" w:after="0" w:line="276" w:lineRule="auto"/>
        <w:ind w:firstLine="720"/>
      </w:pPr>
      <w:r>
        <w:rPr>
          <w:rFonts w:ascii="Times New Roman" w:hAnsi="Times New Roman"/>
          <w:sz w:val="24"/>
        </w:rP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spacing w:before="120" w:after="60"/>
        <w:jc w:val="center"/>
      </w:pPr>
      <w:r>
        <w:drawing>
          <wp:inline xmlns:a="http://schemas.openxmlformats.org/drawingml/2006/main" xmlns:pic="http://schemas.openxmlformats.org/drawingml/2006/picture">
            <wp:extent cx="5029200" cy="2734553"/>
            <wp:docPr id="3" name="Picture 3"/>
            <wp:cNvGraphicFramePr>
              <a:graphicFrameLocks noChangeAspect="1"/>
            </wp:cNvGraphicFramePr>
            <a:graphic>
              <a:graphicData uri="http://schemas.openxmlformats.org/drawingml/2006/picture">
                <pic:pic>
                  <pic:nvPicPr>
                    <pic:cNvPr id="0" name="figure3_asset_returns.png"/>
                    <pic:cNvPicPr/>
                  </pic:nvPicPr>
                  <pic:blipFill>
                    <a:blip r:embed="rId11"/>
                    <a:stretch>
                      <a:fillRect/>
                    </a:stretch>
                  </pic:blipFill>
                  <pic:spPr>
                    <a:xfrm>
                      <a:off x="0" y="0"/>
                      <a:ext cx="5029200" cy="2734553"/>
                    </a:xfrm>
                    <a:prstGeom prst="rect"/>
                  </pic:spPr>
                </pic:pic>
              </a:graphicData>
            </a:graphic>
          </wp:inline>
        </w:drawing>
      </w:r>
    </w:p>
    <w:p>
      <w:pPr>
        <w:spacing w:before="60" w:after="120"/>
        <w:jc w:val="center"/>
      </w:pPr>
      <w:r>
        <w:rPr>
          <w:rFonts w:ascii="Times New Roman" w:hAnsi="Times New Roman"/>
          <w:i/>
          <w:sz w:val="20"/>
        </w:rPr>
        <w:t>Figure 3: Asset Return Responses to Monetary Policy Shocks</w:t>
      </w:r>
    </w:p>
    <w:p>
      <w:pPr>
        <w:spacing w:before="0" w:after="0" w:line="276" w:lineRule="auto"/>
        <w:ind w:firstLine="720"/>
      </w:pPr>
      <w:r>
        <w:rPr>
          <w:rFonts w:ascii="Times New Roman" w:hAnsi="Times New Roman"/>
          <w:sz w:val="24"/>
        </w:rPr>
        <w:t>Figure 3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p>
      <w:pPr>
        <w:spacing w:before="240" w:after="120" w:line="276" w:lineRule="auto"/>
      </w:pPr>
      <w:r>
        <w:rPr>
          <w:rFonts w:ascii="Times New Roman" w:hAnsi="Times New Roman"/>
          <w:b/>
          <w:i/>
          <w:sz w:val="24"/>
        </w:rPr>
        <w:t>5.4 Policy Implementation vs Informational Revelation</w:t>
      </w:r>
    </w:p>
    <w:p>
      <w:pPr>
        <w:spacing w:before="0" w:after="0" w:line="276" w:lineRule="auto"/>
        <w:ind w:firstLine="720"/>
      </w:pPr>
      <w:r>
        <w:rPr>
          <w:rFonts w:ascii="Times New Roman" w:hAnsi="Times New Roman"/>
          <w:sz w:val="24"/>
        </w:rPr>
        <w:t>The comparison of target and path shock coefficients in the sentiment regression provides a test of H1 vs H2. Our results provide evidence consistent with H1 (policy implementation) but not with H2 (informational revelation): the target coefficient is significant (p = 0.017) while the path coefficient is not (p = 0.152), and a Wald test cannot reject equality (p = 0.90).</w:t>
      </w:r>
    </w:p>
    <w:p>
      <w:pPr>
        <w:spacing w:before="0" w:after="0" w:line="276" w:lineRule="auto"/>
        <w:ind w:firstLine="720"/>
      </w:pPr>
      <w:r>
        <w:rPr>
          <w:rFonts w:ascii="Times New Roman" w:hAnsi="Times New Roman"/>
          <w:sz w:val="24"/>
        </w:rPr>
        <w:t>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spacing w:before="0" w:after="0" w:line="276" w:lineRule="auto"/>
        <w:ind w:firstLine="720"/>
      </w:pPr>
      <w:r>
        <w:rPr>
          <w:rFonts w:ascii="Times New Roman" w:hAnsi="Times New Roman"/>
          <w:sz w:val="24"/>
        </w:rPr>
        <w:t>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being more empirically relevant is not evidence of absence. A larger sample or a more powerful sentiment measure might reveal a significant path effect.</w:t>
      </w:r>
    </w:p>
    <w:p>
      <w:pPr>
        <w:spacing w:before="0" w:after="0" w:line="276" w:lineRule="auto"/>
        <w:ind w:firstLine="720"/>
      </w:pPr>
      <w:r>
        <w:rPr>
          <w:rFonts w:ascii="Times New Roman" w:hAnsi="Times New Roman"/>
          <w:sz w:val="24"/>
        </w:rPr>
        <w:t>It is also worth considering why the target shock might be more empirically relevant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p>
      <w:pPr>
        <w:spacing w:before="240" w:after="120" w:line="276" w:lineRule="auto"/>
      </w:pPr>
      <w:r>
        <w:rPr>
          <w:rFonts w:ascii="Times New Roman" w:hAnsi="Times New Roman"/>
          <w:b/>
          <w:i/>
          <w:sz w:val="24"/>
        </w:rPr>
        <w:t>5.5 Mechanism Analysis: Why Is the Target Shock More Empirically Relevant?</w:t>
      </w:r>
    </w:p>
    <w:p>
      <w:pPr>
        <w:spacing w:before="0" w:after="0" w:line="276" w:lineRule="auto"/>
        <w:ind w:firstLine="720"/>
      </w:pPr>
      <w:r>
        <w:rPr>
          <w:rFonts w:ascii="Times New Roman" w:hAnsi="Times New Roman"/>
          <w:sz w:val="24"/>
        </w:rPr>
        <w:t>The finding that the target shock is a significant predictor of FOMC language sentiment while the path shock is not warrants further discussion of the underlying mechanism. We consider three possible explanations.</w:t>
      </w:r>
    </w:p>
    <w:p>
      <w:pPr>
        <w:spacing w:before="0" w:after="0" w:line="276" w:lineRule="auto"/>
        <w:ind w:firstLine="720"/>
      </w:pPr>
      <w:r>
        <w:rPr>
          <w:rFonts w:ascii="Times New Roman" w:hAnsi="Times New Roman"/>
          <w:sz w:val="24"/>
        </w:rPr>
      </w:r>
      <w:r>
        <w:rPr>
          <w:rFonts w:ascii="Times New Roman" w:hAnsi="Times New Roman"/>
          <w:b/>
          <w:sz w:val="24"/>
        </w:rPr>
        <w:t>Explanation 1: Backward-looking language.</w:t>
      </w:r>
      <w:r>
        <w:rPr>
          <w:rFonts w:ascii="Times New Roman" w:hAnsi="Times New Roman"/>
          <w:sz w:val="24"/>
        </w:rPr>
        <w:t xml:space="preserve"> 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spacing w:before="0" w:after="0" w:line="276" w:lineRule="auto"/>
        <w:ind w:firstLine="720"/>
      </w:pPr>
      <w:r>
        <w:rPr>
          <w:rFonts w:ascii="Times New Roman" w:hAnsi="Times New Roman"/>
          <w:sz w:val="24"/>
        </w:rPr>
      </w:r>
      <w:r>
        <w:rPr>
          <w:rFonts w:ascii="Times New Roman" w:hAnsi="Times New Roman"/>
          <w:b/>
          <w:sz w:val="24"/>
        </w:rPr>
        <w:t>Explanation 2: Multiple communication channels.</w:t>
      </w:r>
      <w:r>
        <w:rPr>
          <w:rFonts w:ascii="Times New Roman" w:hAnsi="Times New Roman"/>
          <w:sz w:val="24"/>
        </w:rPr>
        <w:t xml:space="preserve"> 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spacing w:before="0" w:after="0" w:line="276" w:lineRule="auto"/>
        <w:ind w:firstLine="720"/>
      </w:pPr>
      <w:r>
        <w:rPr>
          <w:rFonts w:ascii="Times New Roman" w:hAnsi="Times New Roman"/>
          <w:sz w:val="24"/>
        </w:rPr>
      </w:r>
      <w:r>
        <w:rPr>
          <w:rFonts w:ascii="Times New Roman" w:hAnsi="Times New Roman"/>
          <w:b/>
          <w:sz w:val="24"/>
        </w:rPr>
        <w:t>Explanation 3: Sentiment measurement limitations.</w:t>
      </w:r>
      <w:r>
        <w:rPr>
          <w:rFonts w:ascii="Times New Roman" w:hAnsi="Times New Roman"/>
          <w:sz w:val="24"/>
        </w:rPr>
        <w:t xml:space="preserve"> 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spacing w:before="0" w:after="0" w:line="276" w:lineRule="auto"/>
        <w:ind w:firstLine="720"/>
      </w:pPr>
      <w:r>
        <w:rPr>
          <w:rFonts w:ascii="Times New Roman" w:hAnsi="Times New Roman"/>
          <w:sz w:val="24"/>
        </w:rPr>
        <w:t>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p>
      <w:pPr>
        <w:spacing w:before="240" w:after="120" w:line="276" w:lineRule="auto"/>
      </w:pPr>
      <w:r>
        <w:rPr>
          <w:rFonts w:ascii="Times New Roman" w:hAnsi="Times New Roman"/>
          <w:b/>
          <w:i/>
          <w:sz w:val="24"/>
        </w:rPr>
        <w:t>5.6 Forward Guidance Period Interaction</w:t>
      </w:r>
    </w:p>
    <w:p>
      <w:pPr>
        <w:spacing w:before="0" w:after="0" w:line="276" w:lineRule="auto"/>
        <w:ind w:firstLine="720"/>
      </w:pPr>
      <w:r>
        <w:rPr>
          <w:rFonts w:ascii="Times New Roman" w:hAnsi="Times New Roman"/>
          <w:sz w:val="24"/>
        </w:rPr>
        <w:t>Table 5 reports the forward guidance period interaction results. The target shock remains significant for the CRSP value-weighted index (</w:t>
      </w:r>
      <w:r>
        <w:rPr>
          <w:rFonts w:ascii="Times New Roman" w:hAnsi="Times New Roman"/>
          <w:i/>
          <w:sz w:val="24"/>
        </w:rPr>
        <w:t>β</w:t>
      </w:r>
      <w:r>
        <w:rPr>
          <w:rFonts w:ascii="Times New Roman" w:hAnsi="Times New Roman"/>
          <w:sz w:val="24"/>
        </w:rPr>
        <w:t xml:space="preserve"> = −0.423, t = −2.01, p = 0.044) and NASDAQ (</w:t>
      </w:r>
      <w:r>
        <w:rPr>
          <w:rFonts w:ascii="Times New Roman" w:hAnsi="Times New Roman"/>
          <w:i/>
          <w:sz w:val="24"/>
        </w:rPr>
        <w:t>β</w:t>
      </w:r>
      <w:r>
        <w:rPr>
          <w:rFonts w:ascii="Times New Roman" w:hAnsi="Times New Roman"/>
          <w:sz w:val="24"/>
        </w:rPr>
        <w:t xml:space="preserve"> = −0.284, t = −2.13, p = 0.034). The sentiment coefficient is not significant for either index. The interaction term is not significant for the CRSP VW index (p = 0.602), but is statistically significant for NASDAQ (p = 0.041). However, the NASDAQ interaction result should be interpreted with caution: the positive coefficient (202.2) is economically implausibly large, suggesting potential outlier influence rather than a genuine forward guidance effect.</w:t>
      </w:r>
    </w:p>
    <w:p>
      <w:pPr>
        <w:spacing w:before="160" w:after="80"/>
        <w:jc w:val="center"/>
      </w:pPr>
      <w:r>
        <w:rPr>
          <w:rFonts w:ascii="Times New Roman" w:hAnsi="Times New Roman"/>
          <w:b/>
          <w:sz w:val="22"/>
        </w:rPr>
        <w:t>Table 5: Forward Guidance Period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8E8"/>
          </w:tcPr>
          <w:p>
            <w:pPr>
              <w:jc w:val="center"/>
            </w:pPr>
            <w:r/>
            <w:r>
              <w:rPr>
                <w:rFonts w:ascii="Times New Roman" w:hAnsi="Times New Roman"/>
                <w:b/>
                <w:sz w:val="20"/>
              </w:rPr>
              <w:t>Variable</w:t>
            </w:r>
          </w:p>
        </w:tc>
        <w:tc>
          <w:tcPr>
            <w:tcW w:type="dxa" w:w="2880"/>
            <w:shd w:fill="E8E8E8"/>
          </w:tcPr>
          <w:p>
            <w:pPr>
              <w:jc w:val="center"/>
            </w:pPr>
            <w:r/>
            <w:r>
              <w:rPr>
                <w:rFonts w:ascii="Times New Roman" w:hAnsi="Times New Roman"/>
                <w:b/>
                <w:sz w:val="20"/>
              </w:rPr>
              <w:t>CRSP VW</w:t>
            </w:r>
          </w:p>
        </w:tc>
        <w:tc>
          <w:tcPr>
            <w:tcW w:type="dxa" w:w="2880"/>
            <w:shd w:fill="E8E8E8"/>
          </w:tcPr>
          <w:p>
            <w:pPr>
              <w:jc w:val="center"/>
            </w:pPr>
            <w:r/>
            <w:r>
              <w:rPr>
                <w:rFonts w:ascii="Times New Roman" w:hAnsi="Times New Roman"/>
                <w:b/>
                <w:sz w:val="20"/>
              </w:rPr>
              <w:t>NASDAQ</w:t>
            </w:r>
          </w:p>
        </w:tc>
      </w:tr>
      <w:tr>
        <w:tc>
          <w:tcPr>
            <w:tcW w:type="dxa" w:w="2880"/>
          </w:tcPr>
          <w:p>
            <w:pPr>
              <w:jc w:val="center"/>
            </w:pPr>
            <w:r/>
            <w:r>
              <w:rPr>
                <w:rFonts w:ascii="Times New Roman" w:hAnsi="Times New Roman"/>
                <w:sz w:val="20"/>
              </w:rPr>
              <w:t>Target shock</w:t>
            </w:r>
          </w:p>
        </w:tc>
        <w:tc>
          <w:tcPr>
            <w:tcW w:type="dxa" w:w="2880"/>
          </w:tcPr>
          <w:p>
            <w:pPr>
              <w:jc w:val="center"/>
            </w:pPr>
            <w:r/>
            <w:r>
              <w:rPr>
                <w:rFonts w:ascii="Times New Roman" w:hAnsi="Times New Roman"/>
                <w:sz w:val="20"/>
              </w:rPr>
              <w:t>−0.423</w:t>
            </w:r>
          </w:p>
        </w:tc>
        <w:tc>
          <w:tcPr>
            <w:tcW w:type="dxa" w:w="2880"/>
          </w:tcPr>
          <w:p>
            <w:pPr>
              <w:jc w:val="center"/>
            </w:pPr>
            <w:r/>
            <w:r>
              <w:rPr>
                <w:rFonts w:ascii="Times New Roman" w:hAnsi="Times New Roman"/>
                <w:sz w:val="20"/>
              </w:rPr>
              <w:t>−0.284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(0.044)</w:t>
            </w:r>
          </w:p>
        </w:tc>
        <w:tc>
          <w:tcPr>
            <w:tcW w:type="dxa" w:w="2880"/>
          </w:tcPr>
          <w:p>
            <w:pPr>
              <w:jc w:val="center"/>
            </w:pPr>
            <w:r/>
            <w:r>
              <w:rPr>
                <w:rFonts w:ascii="Times New Roman" w:hAnsi="Times New Roman"/>
                <w:sz w:val="20"/>
              </w:rPr>
              <w:t>(0.034)</w:t>
            </w:r>
          </w:p>
        </w:tc>
      </w:tr>
      <w:tr>
        <w:tc>
          <w:tcPr>
            <w:tcW w:type="dxa" w:w="2880"/>
          </w:tcPr>
          <w:p>
            <w:pPr>
              <w:jc w:val="center"/>
            </w:pPr>
            <w:r/>
            <w:r>
              <w:rPr>
                <w:rFonts w:ascii="Times New Roman" w:hAnsi="Times New Roman"/>
                <w:sz w:val="20"/>
              </w:rPr>
              <w:t>Path shock</w:t>
            </w:r>
          </w:p>
        </w:tc>
        <w:tc>
          <w:tcPr>
            <w:tcW w:type="dxa" w:w="2880"/>
          </w:tcPr>
          <w:p>
            <w:pPr>
              <w:jc w:val="center"/>
            </w:pPr>
            <w:r/>
            <w:r>
              <w:rPr>
                <w:rFonts w:ascii="Times New Roman" w:hAnsi="Times New Roman"/>
                <w:sz w:val="20"/>
              </w:rPr>
              <w:t>−0.223</w:t>
            </w:r>
          </w:p>
        </w:tc>
        <w:tc>
          <w:tcPr>
            <w:tcW w:type="dxa" w:w="2880"/>
          </w:tcPr>
          <w:p>
            <w:pPr>
              <w:jc w:val="center"/>
            </w:pPr>
            <w:r/>
            <w:r>
              <w:rPr>
                <w:rFonts w:ascii="Times New Roman" w:hAnsi="Times New Roman"/>
                <w:sz w:val="20"/>
              </w:rPr>
              <w:t>−0.089</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(0.336)</w:t>
            </w:r>
          </w:p>
        </w:tc>
        <w:tc>
          <w:tcPr>
            <w:tcW w:type="dxa" w:w="2880"/>
          </w:tcPr>
          <w:p>
            <w:pPr>
              <w:jc w:val="center"/>
            </w:pPr>
            <w:r/>
            <w:r>
              <w:rPr>
                <w:rFonts w:ascii="Times New Roman" w:hAnsi="Times New Roman"/>
                <w:sz w:val="20"/>
              </w:rPr>
              <w:t>(0.622)</w:t>
            </w:r>
          </w:p>
        </w:tc>
      </w:tr>
      <w:tr>
        <w:tc>
          <w:tcPr>
            <w:tcW w:type="dxa" w:w="2880"/>
          </w:tcPr>
          <w:p>
            <w:pPr>
              <w:jc w:val="center"/>
            </w:pPr>
            <w:r/>
            <w:r>
              <w:rPr>
                <w:rFonts w:ascii="Times New Roman" w:hAnsi="Times New Roman"/>
                <w:sz w:val="20"/>
              </w:rPr>
              <w:t>Sentiment</w:t>
            </w:r>
          </w:p>
        </w:tc>
        <w:tc>
          <w:tcPr>
            <w:tcW w:type="dxa" w:w="2880"/>
          </w:tcPr>
          <w:p>
            <w:pPr>
              <w:jc w:val="center"/>
            </w:pPr>
            <w:r/>
            <w:r>
              <w:rPr>
                <w:rFonts w:ascii="Times New Roman" w:hAnsi="Times New Roman"/>
                <w:sz w:val="20"/>
              </w:rPr>
              <w:t>−19.99</w:t>
            </w:r>
          </w:p>
        </w:tc>
        <w:tc>
          <w:tcPr>
            <w:tcW w:type="dxa" w:w="2880"/>
          </w:tcPr>
          <w:p>
            <w:pPr>
              <w:jc w:val="center"/>
            </w:pPr>
            <w:r/>
            <w:r>
              <w:rPr>
                <w:rFonts w:ascii="Times New Roman" w:hAnsi="Times New Roman"/>
                <w:sz w:val="20"/>
              </w:rPr>
              <w:t>4.54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(0.180)</w:t>
            </w:r>
          </w:p>
        </w:tc>
        <w:tc>
          <w:tcPr>
            <w:tcW w:type="dxa" w:w="2880"/>
          </w:tcPr>
          <w:p>
            <w:pPr>
              <w:jc w:val="center"/>
            </w:pPr>
            <w:r/>
            <w:r>
              <w:rPr>
                <w:rFonts w:ascii="Times New Roman" w:hAnsi="Times New Roman"/>
                <w:sz w:val="20"/>
              </w:rPr>
              <w:t>(0.771)</w:t>
            </w:r>
          </w:p>
        </w:tc>
      </w:tr>
      <w:tr>
        <w:tc>
          <w:tcPr>
            <w:tcW w:type="dxa" w:w="2880"/>
          </w:tcPr>
          <w:p>
            <w:pPr>
              <w:jc w:val="center"/>
            </w:pPr>
            <w:r/>
            <w:r>
              <w:rPr>
                <w:rFonts w:ascii="Times New Roman" w:hAnsi="Times New Roman"/>
                <w:sz w:val="20"/>
              </w:rPr>
              <w:t>Sentiment × FG</w:t>
            </w:r>
          </w:p>
        </w:tc>
        <w:tc>
          <w:tcPr>
            <w:tcW w:type="dxa" w:w="2880"/>
          </w:tcPr>
          <w:p>
            <w:pPr>
              <w:jc w:val="center"/>
            </w:pPr>
            <w:r/>
            <w:r>
              <w:rPr>
                <w:rFonts w:ascii="Times New Roman" w:hAnsi="Times New Roman"/>
                <w:sz w:val="20"/>
              </w:rPr>
              <w:t>−48.81</w:t>
            </w:r>
          </w:p>
        </w:tc>
        <w:tc>
          <w:tcPr>
            <w:tcW w:type="dxa" w:w="2880"/>
          </w:tcPr>
          <w:p>
            <w:pPr>
              <w:jc w:val="center"/>
            </w:pPr>
            <w:r/>
            <w:r>
              <w:rPr>
                <w:rFonts w:ascii="Times New Roman" w:hAnsi="Times New Roman"/>
                <w:sz w:val="20"/>
              </w:rPr>
              <w:t>202.17</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(0.602)</w:t>
            </w:r>
          </w:p>
        </w:tc>
        <w:tc>
          <w:tcPr>
            <w:tcW w:type="dxa" w:w="2880"/>
          </w:tcPr>
          <w:p>
            <w:pPr>
              <w:jc w:val="center"/>
            </w:pPr>
            <w:r/>
            <w:r>
              <w:rPr>
                <w:rFonts w:ascii="Times New Roman" w:hAnsi="Times New Roman"/>
                <w:sz w:val="20"/>
              </w:rPr>
              <w:t>(0.041)</w:t>
            </w:r>
          </w:p>
        </w:tc>
      </w:tr>
      <w:tr>
        <w:tc>
          <w:tcPr>
            <w:tcW w:type="dxa" w:w="2880"/>
          </w:tcPr>
          <w:p>
            <w:pPr>
              <w:jc w:val="center"/>
            </w:pPr>
            <w:r/>
            <w:r>
              <w:rPr>
                <w:rFonts w:ascii="Times New Roman" w:hAnsi="Times New Roman"/>
                <w:sz w:val="20"/>
              </w:rPr>
              <w:t>R²</w:t>
            </w:r>
          </w:p>
        </w:tc>
        <w:tc>
          <w:tcPr>
            <w:tcW w:type="dxa" w:w="2880"/>
          </w:tcPr>
          <w:p>
            <w:pPr>
              <w:jc w:val="center"/>
            </w:pPr>
            <w:r/>
            <w:r>
              <w:rPr>
                <w:rFonts w:ascii="Times New Roman" w:hAnsi="Times New Roman"/>
                <w:sz w:val="20"/>
              </w:rPr>
              <w:t>10.0%</w:t>
            </w:r>
          </w:p>
        </w:tc>
        <w:tc>
          <w:tcPr>
            <w:tcW w:type="dxa" w:w="2880"/>
          </w:tcPr>
          <w:p>
            <w:pPr>
              <w:jc w:val="center"/>
            </w:pPr>
            <w:r/>
            <w:r>
              <w:rPr>
                <w:rFonts w:ascii="Times New Roman" w:hAnsi="Times New Roman"/>
                <w:sz w:val="20"/>
              </w:rPr>
              <w:t>5.8%</w:t>
            </w:r>
          </w:p>
        </w:tc>
      </w:tr>
      <w:tr>
        <w:tc>
          <w:tcPr>
            <w:tcW w:type="dxa" w:w="2880"/>
          </w:tcPr>
          <w:p>
            <w:pPr>
              <w:jc w:val="center"/>
            </w:pPr>
            <w:r/>
            <w:r>
              <w:rPr>
                <w:rFonts w:ascii="Times New Roman" w:hAnsi="Times New Roman"/>
                <w:sz w:val="20"/>
              </w:rPr>
              <w:t>N</w:t>
            </w:r>
          </w:p>
        </w:tc>
        <w:tc>
          <w:tcPr>
            <w:tcW w:type="dxa" w:w="2880"/>
          </w:tcPr>
          <w:p>
            <w:pPr>
              <w:jc w:val="center"/>
            </w:pPr>
            <w:r/>
            <w:r>
              <w:rPr>
                <w:rFonts w:ascii="Times New Roman" w:hAnsi="Times New Roman"/>
                <w:sz w:val="20"/>
              </w:rPr>
              <w:t>117</w:t>
            </w:r>
          </w:p>
        </w:tc>
        <w:tc>
          <w:tcPr>
            <w:tcW w:type="dxa" w:w="2880"/>
          </w:tcPr>
          <w:p>
            <w:pPr>
              <w:jc w:val="center"/>
            </w:pPr>
            <w:r/>
            <w:r>
              <w:rPr>
                <w:rFonts w:ascii="Times New Roman" w:hAnsi="Times New Roman"/>
                <w:sz w:val="20"/>
              </w:rPr>
              <w:t>117</w:t>
            </w:r>
          </w:p>
        </w:tc>
      </w:tr>
    </w:tbl>
    <w:p>
      <w:pPr>
        <w:spacing w:before="40" w:after="120"/>
      </w:pPr>
      <w:r>
        <w:rPr>
          <w:rFonts w:ascii="Times New Roman" w:hAnsi="Times New Roman"/>
          <w:i/>
          <w:sz w:val="18"/>
        </w:rPr>
        <w:t>Note: p-values in parentheses. Newey-West HAC(4) standard errors. FG = forward guidance period indicator (Dec 2008–Dec 2015). \*\*\* p&lt;0.01, \*\* p&lt;0.05, \* p&lt;0.1.</w:t>
      </w:r>
    </w:p>
    <w:p>
      <w:pPr>
        <w:spacing w:before="0" w:after="0" w:line="276" w:lineRule="auto"/>
        <w:ind w:firstLine="720"/>
      </w:pPr>
      <w:r>
        <w:rPr>
          <w:rFonts w:ascii="Times New Roman" w:hAnsi="Times New Roman"/>
          <w:sz w:val="24"/>
        </w:rPr>
        <w:t>Specifically, for the CRSP value-weighted index, the interaction coefficient is −48.81 with a p-value of 0.602. For NASDAQ, the interaction coefficient is 202.17 with a p-value of 0.041. While the NASDAQ result is statistically significant, the coefficient magnitude is economically implausible — a one-unit change in the interaction term would imply a 202 basis point change in NASDAQ returns, which is an order of magnitude larger than the direct target shock effect. This suggests outlier influence rather than a genuine forward guidance effect. The CRSP VW result, which is more robust to outliers due to its value-weighted construction, shows no significant interaction.</w:t>
      </w:r>
    </w:p>
    <w:p>
      <w:pPr>
        <w:spacing w:before="0" w:after="0" w:line="276" w:lineRule="auto"/>
        <w:ind w:firstLine="720"/>
      </w:pPr>
      <w:r>
        <w:rPr>
          <w:rFonts w:ascii="Times New Roman" w:hAnsi="Times New Roman"/>
          <w:sz w:val="24"/>
        </w:rP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spacing w:before="0" w:after="0" w:line="276" w:lineRule="auto"/>
        <w:ind w:firstLine="720"/>
      </w:pPr>
      <w:r>
        <w:rPr>
          <w:rFonts w:ascii="Times New Roman" w:hAnsi="Times New Roman"/>
          <w:sz w:val="24"/>
        </w:rPr>
        <w:t>We also note that the sentiment coefficient itself is not significant in the interaction regression (</w:t>
      </w:r>
      <w:r>
        <w:rPr>
          <w:rFonts w:ascii="Times New Roman" w:hAnsi="Times New Roman"/>
          <w:i/>
          <w:sz w:val="24"/>
        </w:rPr>
        <w:t>β</w:t>
      </w:r>
      <w:r>
        <w:rPr>
          <w:rFonts w:ascii="Times New Roman" w:hAnsi="Times New Roman"/>
          <w:sz w:val="24"/>
        </w:rPr>
        <w:t xml:space="preserve"> = −19.99, p = 0.180 for CRSP VW; </w:t>
      </w:r>
      <w:r>
        <w:rPr>
          <w:rFonts w:ascii="Times New Roman" w:hAnsi="Times New Roman"/>
          <w:i/>
          <w:sz w:val="24"/>
        </w:rPr>
        <w:t>β</w:t>
      </w:r>
      <w:r>
        <w:rPr>
          <w:rFonts w:ascii="Times New Roman" w:hAnsi="Times New Roman"/>
          <w:sz w:val="24"/>
        </w:rPr>
        <w:t xml:space="preserve"> = 4.54, p = 0.771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p>
      <w:pPr>
        <w:spacing w:before="240" w:after="120" w:line="276" w:lineRule="auto"/>
      </w:pPr>
      <w:r>
        <w:rPr>
          <w:rFonts w:ascii="Times New Roman" w:hAnsi="Times New Roman"/>
          <w:b/>
          <w:i/>
          <w:sz w:val="24"/>
        </w:rPr>
        <w:t>5.7 Regime-Dependent Effects: The Rate Cut Anomaly</w:t>
      </w:r>
    </w:p>
    <w:p>
      <w:pPr>
        <w:spacing w:before="0" w:after="0" w:line="276" w:lineRule="auto"/>
        <w:ind w:firstLine="720"/>
      </w:pPr>
      <w:r>
        <w:rPr>
          <w:rFonts w:ascii="Times New Roman" w:hAnsi="Times New Roman"/>
          <w:sz w:val="24"/>
        </w:rPr>
        <w:t>The null forward guidance interaction in Table 5 masks a striking regime-dependent pattern. When we estimate the H1 regression separately by decision type, the results differ dramatically across regimes:</w:t>
      </w:r>
    </w:p>
    <w:p>
      <w:pPr>
        <w:spacing w:before="160" w:after="80"/>
        <w:jc w:val="center"/>
      </w:pPr>
      <w:r>
        <w:rPr>
          <w:rFonts w:ascii="Times New Roman" w:hAnsi="Times New Roman"/>
          <w:b/>
          <w:sz w:val="22"/>
        </w:rPr>
        <w:t>Table 6: Sentiment Regressions by Decision Type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Regime</w:t>
            </w:r>
          </w:p>
        </w:tc>
        <w:tc>
          <w:tcPr>
            <w:tcW w:type="dxa" w:w="1728"/>
            <w:shd w:fill="E8E8E8"/>
          </w:tcPr>
          <w:p>
            <w:pPr>
              <w:jc w:val="center"/>
            </w:pPr>
            <w:r/>
            <w:r>
              <w:rPr>
                <w:rFonts w:ascii="Times New Roman" w:hAnsi="Times New Roman"/>
                <w:b/>
                <w:sz w:val="20"/>
              </w:rPr>
              <w:t>N</w:t>
            </w:r>
          </w:p>
        </w:tc>
        <w:tc>
          <w:tcPr>
            <w:tcW w:type="dxa" w:w="1728"/>
            <w:shd w:fill="E8E8E8"/>
          </w:tcPr>
          <w:p>
            <w:pPr>
              <w:jc w:val="center"/>
            </w:pPr>
            <w:r/>
            <w:r>
              <w:rPr>
                <w:rFonts w:ascii="Times New Roman" w:hAnsi="Times New Roman"/>
                <w:b/>
                <w:sz w:val="20"/>
              </w:rPr>
              <w:t>R²</w:t>
            </w:r>
          </w:p>
        </w:tc>
        <w:tc>
          <w:tcPr>
            <w:tcW w:type="dxa" w:w="1728"/>
            <w:shd w:fill="E8E8E8"/>
          </w:tcPr>
          <w:p>
            <w:pPr>
              <w:jc w:val="center"/>
            </w:pPr>
            <w:r/>
            <w:r>
              <w:rPr>
                <w:rFonts w:ascii="Times New Roman" w:hAnsi="Times New Roman"/>
                <w:b/>
                <w:sz w:val="20"/>
              </w:rPr>
              <w:t>β_T (p)</w:t>
            </w:r>
          </w:p>
        </w:tc>
        <w:tc>
          <w:tcPr>
            <w:tcW w:type="dxa" w:w="1728"/>
            <w:shd w:fill="E8E8E8"/>
          </w:tcPr>
          <w:p>
            <w:pPr>
              <w:jc w:val="center"/>
            </w:pPr>
            <w:r/>
            <w:r>
              <w:rPr>
                <w:rFonts w:ascii="Times New Roman" w:hAnsi="Times New Roman"/>
                <w:b/>
                <w:sz w:val="20"/>
              </w:rPr>
              <w:t>β_P (p)</w:t>
            </w:r>
          </w:p>
        </w:tc>
      </w:tr>
      <w:tr>
        <w:tc>
          <w:tcPr>
            <w:tcW w:type="dxa" w:w="1728"/>
          </w:tcPr>
          <w:p>
            <w:pPr>
              <w:jc w:val="center"/>
            </w:pPr>
            <w:r/>
            <w:r>
              <w:rPr>
                <w:rFonts w:ascii="Times New Roman" w:hAnsi="Times New Roman"/>
                <w:sz w:val="20"/>
              </w:rPr>
              <w:t>Rate hike</w:t>
            </w:r>
          </w:p>
        </w:tc>
        <w:tc>
          <w:tcPr>
            <w:tcW w:type="dxa" w:w="1728"/>
          </w:tcPr>
          <w:p>
            <w:pPr>
              <w:jc w:val="center"/>
            </w:pPr>
            <w:r/>
            <w:r>
              <w:rPr>
                <w:rFonts w:ascii="Times New Roman" w:hAnsi="Times New Roman"/>
                <w:sz w:val="20"/>
              </w:rPr>
              <w:t>17</w:t>
            </w:r>
          </w:p>
        </w:tc>
        <w:tc>
          <w:tcPr>
            <w:tcW w:type="dxa" w:w="1728"/>
          </w:tcPr>
          <w:p>
            <w:pPr>
              <w:jc w:val="center"/>
            </w:pPr>
            <w:r/>
            <w:r>
              <w:rPr>
                <w:rFonts w:ascii="Times New Roman" w:hAnsi="Times New Roman"/>
                <w:sz w:val="20"/>
              </w:rPr>
              <w:t>10.2%</w:t>
            </w:r>
          </w:p>
        </w:tc>
        <w:tc>
          <w:tcPr>
            <w:tcW w:type="dxa" w:w="1728"/>
          </w:tcPr>
          <w:p>
            <w:pPr>
              <w:jc w:val="center"/>
            </w:pPr>
            <w:r/>
            <w:r>
              <w:rPr>
                <w:rFonts w:ascii="Times New Roman" w:hAnsi="Times New Roman"/>
                <w:sz w:val="20"/>
              </w:rPr>
              <w:t>−0.000554 (0.013)</w:t>
            </w:r>
          </w:p>
        </w:tc>
        <w:tc>
          <w:tcPr>
            <w:tcW w:type="dxa" w:w="172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(&lt;0.001)</w:t>
            </w:r>
          </w:p>
        </w:tc>
      </w:tr>
      <w:tr>
        <w:tc>
          <w:tcPr>
            <w:tcW w:type="dxa" w:w="1728"/>
          </w:tcPr>
          <w:p>
            <w:pPr>
              <w:jc w:val="center"/>
            </w:pPr>
            <w:r/>
            <w:r>
              <w:rPr>
                <w:rFonts w:ascii="Times New Roman" w:hAnsi="Times New Roman"/>
                <w:sz w:val="20"/>
              </w:rPr>
              <w:t>Unchanged</w:t>
            </w:r>
          </w:p>
        </w:tc>
        <w:tc>
          <w:tcPr>
            <w:tcW w:type="dxa" w:w="1728"/>
          </w:tcPr>
          <w:p>
            <w:pPr>
              <w:jc w:val="center"/>
            </w:pPr>
            <w:r/>
            <w:r>
              <w:rPr>
                <w:rFonts w:ascii="Times New Roman" w:hAnsi="Times New Roman"/>
                <w:sz w:val="20"/>
              </w:rPr>
              <w:t>89</w:t>
            </w:r>
          </w:p>
        </w:tc>
        <w:tc>
          <w:tcPr>
            <w:tcW w:type="dxa" w:w="1728"/>
          </w:tcPr>
          <w:p>
            <w:pPr>
              <w:jc w:val="center"/>
            </w:pPr>
            <w:r/>
            <w:r>
              <w:rPr>
                <w:rFonts w:ascii="Times New Roman" w:hAnsi="Times New Roman"/>
                <w:sz w:val="20"/>
              </w:rPr>
              <w:t>2.0%</w:t>
            </w:r>
          </w:p>
        </w:tc>
        <w:tc>
          <w:tcPr>
            <w:tcW w:type="dxa" w:w="1728"/>
          </w:tcPr>
          <w:p>
            <w:pPr>
              <w:jc w:val="center"/>
            </w:pPr>
            <w:r/>
            <w:r>
              <w:rPr>
                <w:rFonts w:ascii="Times New Roman" w:hAnsi="Times New Roman"/>
                <w:sz w:val="20"/>
              </w:rPr>
              <w:t>0.000638 (0.616)</w:t>
            </w:r>
          </w:p>
        </w:tc>
        <w:tc>
          <w:tcPr>
            <w:tcW w:type="dxa" w:w="1728"/>
          </w:tcPr>
          <w:p>
            <w:pPr>
              <w:jc w:val="center"/>
            </w:pPr>
            <w:r/>
            <w:r>
              <w:rPr>
                <w:rFonts w:ascii="Times New Roman" w:hAnsi="Times New Roman"/>
                <w:sz w:val="20"/>
              </w:rPr>
              <w:t>0.001379 (0.079)</w:t>
            </w:r>
          </w:p>
        </w:tc>
      </w:tr>
    </w:tbl>
    <w:p>
      <w:pPr>
        <w:spacing w:before="40" w:after="120"/>
      </w:pPr>
      <w:r>
        <w:rPr>
          <w:rFonts w:ascii="Times New Roman" w:hAnsi="Times New Roman"/>
          <w:i/>
          <w:sz w:val="18"/>
        </w:rPr>
        <w:t>Note: Newey-West HAC(4) standard errors. Dependent variable: combined sentiment score.</w:t>
      </w:r>
    </w:p>
    <w:p>
      <w:pPr>
        <w:spacing w:before="0" w:after="0" w:line="276" w:lineRule="auto"/>
        <w:ind w:firstLine="720"/>
      </w:pPr>
      <w:r>
        <w:rPr>
          <w:rFonts w:ascii="Times New Roman" w:hAnsi="Times New Roman"/>
          <w:sz w:val="24"/>
        </w:rPr>
        <w:t>The rate cut regime produces the strongest result in the entire paper: the path shock is highly significant (p &lt; 0.001) and the R² is 43.1%, compared to the full sample. This is a 27-fold increase in explanatory power.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pPr>
        <w:spacing w:before="0" w:after="0" w:line="276" w:lineRule="auto"/>
        <w:ind w:firstLine="720"/>
      </w:pPr>
      <w:r>
        <w:rPr>
          <w:rFonts w:ascii="Times New Roman" w:hAnsi="Times New Roman"/>
          <w:sz w:val="24"/>
        </w:rPr>
        <w:t>During rate hike meetings, the pattern reverses: the target shock is more empirically relevant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pPr>
        <w:spacing w:before="0" w:after="0" w:line="276" w:lineRule="auto"/>
        <w:ind w:firstLine="720"/>
      </w:pPr>
      <w:r>
        <w:rPr>
          <w:rFonts w:ascii="Times New Roman" w:hAnsi="Times New Roman"/>
          <w:sz w:val="24"/>
        </w:rPr>
        <w:t>This regime-dependent finding has important implications for the H1 vs H2 distinction. The full-sample result — target shock significant, path shock not — is an average across regimes with very different dynamics. The rate cut regime provides evidence consistent with H2 (informational revelation), as forward guidance language is responsive to the path shock. The rate hike regime supports H1 (policy implementation), as the current decision is the more empirically relevant predictor. The full-sample result obscures this heterogeneity.</w:t>
      </w:r>
    </w:p>
    <w:p>
      <w:pPr>
        <w:spacing w:before="240" w:after="120" w:line="276" w:lineRule="auto"/>
      </w:pPr>
      <w:r>
        <w:rPr>
          <w:rFonts w:ascii="Times New Roman" w:hAnsi="Times New Roman"/>
          <w:b/>
          <w:i/>
          <w:sz w:val="24"/>
        </w:rPr>
        <w:t>5.8 Economic Significance</w:t>
      </w:r>
    </w:p>
    <w:p>
      <w:pPr>
        <w:spacing w:before="0" w:after="0" w:line="276" w:lineRule="auto"/>
        <w:ind w:firstLine="720"/>
      </w:pPr>
      <w:r>
        <w:rPr>
          <w:rFonts w:ascii="Times New Roman" w:hAnsi="Times New Roman"/>
          <w:sz w:val="24"/>
        </w:rPr>
        <w:t>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spacing w:before="0" w:after="0" w:line="276" w:lineRule="auto"/>
        <w:ind w:firstLine="720"/>
      </w:pPr>
      <w:r>
        <w:rPr>
          <w:rFonts w:ascii="Times New Roman" w:hAnsi="Times New Roman"/>
          <w:sz w:val="24"/>
        </w:rPr>
      </w:r>
      <w:r>
        <w:rPr>
          <w:rFonts w:ascii="Times New Roman" w:hAnsi="Times New Roman"/>
          <w:b/>
          <w:sz w:val="24"/>
        </w:rPr>
        <w:t>Sentiment response magnitude.</w:t>
      </w:r>
      <w:r>
        <w:rPr>
          <w:rFonts w:ascii="Times New Roman" w:hAnsi="Times New Roman"/>
          <w:sz w:val="24"/>
        </w:rPr>
        <w:t xml:space="preserve"> 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spacing w:before="0" w:after="0" w:line="276" w:lineRule="auto"/>
        <w:ind w:firstLine="720"/>
      </w:pPr>
      <w:r>
        <w:rPr>
          <w:rFonts w:ascii="Times New Roman" w:hAnsi="Times New Roman"/>
          <w:sz w:val="24"/>
        </w:rPr>
      </w:r>
      <w:r>
        <w:rPr>
          <w:rFonts w:ascii="Times New Roman" w:hAnsi="Times New Roman"/>
          <w:b/>
          <w:sz w:val="24"/>
        </w:rPr>
        <w:t>Asset return response magnitude.</w:t>
      </w:r>
      <w:r>
        <w:rPr>
          <w:rFonts w:ascii="Times New Roman" w:hAnsi="Times New Roman"/>
          <w:sz w:val="24"/>
        </w:rPr>
        <w:t xml:space="preserve"> 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spacing w:before="0" w:after="0" w:line="276" w:lineRule="auto"/>
        <w:ind w:firstLine="720"/>
      </w:pPr>
      <w:r>
        <w:rPr>
          <w:rFonts w:ascii="Times New Roman" w:hAnsi="Times New Roman"/>
          <w:sz w:val="24"/>
        </w:rPr>
      </w:r>
      <w:r>
        <w:rPr>
          <w:rFonts w:ascii="Times New Roman" w:hAnsi="Times New Roman"/>
          <w:b/>
          <w:sz w:val="24"/>
        </w:rPr>
        <w:t>Practical implications.</w:t>
      </w:r>
      <w:r>
        <w:rPr>
          <w:rFonts w:ascii="Times New Roman" w:hAnsi="Times New Roman"/>
          <w:sz w:val="24"/>
        </w:rPr>
        <w:t xml:space="preserve"> 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p>
      <w:pPr>
        <w:spacing w:before="240" w:after="120" w:line="276" w:lineRule="auto"/>
      </w:pPr>
      <w:r>
        <w:rPr>
          <w:rFonts w:ascii="Times New Roman" w:hAnsi="Times New Roman"/>
          <w:b/>
          <w:i/>
          <w:sz w:val="24"/>
        </w:rPr>
        <w:t>5.9 Comparison with Previous Studies</w:t>
      </w:r>
    </w:p>
    <w:p>
      <w:pPr>
        <w:spacing w:before="0" w:after="0" w:line="276" w:lineRule="auto"/>
        <w:ind w:firstLine="720"/>
      </w:pPr>
      <w:r>
        <w:rPr>
          <w:rFonts w:ascii="Times New Roman" w:hAnsi="Times New Roman"/>
          <w:sz w:val="24"/>
        </w:rPr>
        <w:t>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is more empirically relevant in the sentiment regression is not directly comparable, because we examine the effect of shocks on language rather than on asset prices. However, the fact that the target shock is more empirically relevant in both the sentiment and asset return regressions suggests that the current rate decision is the primary driver of both FOMC language and equity market reactions.</w:t>
      </w:r>
    </w:p>
    <w:p>
      <w:pPr>
        <w:spacing w:before="0" w:after="0" w:line="276" w:lineRule="auto"/>
        <w:ind w:firstLine="720"/>
      </w:pPr>
      <w:r>
        <w:rPr>
          <w:rFonts w:ascii="Times New Roman" w:hAnsi="Times New Roman"/>
          <w:sz w:val="24"/>
        </w:rPr>
        <w:t>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be more empirically relevant, which is a key implication of the information channel hypothesis for FOMC language.</w:t>
      </w:r>
    </w:p>
    <w:p>
      <w:pPr>
        <w:spacing w:before="0" w:after="0" w:line="276" w:lineRule="auto"/>
        <w:ind w:firstLine="720"/>
      </w:pPr>
      <w:r>
        <w:rPr>
          <w:rFonts w:ascii="Times New Roman" w:hAnsi="Times New Roman"/>
          <w:sz w:val="24"/>
        </w:rPr>
        <w:t>Bauer and Swanson (2023) show that high-frequency monetary policy surprises are partially predictable from pre-FOMC economic information. While we do not implement the Bauer-Swanson orthogonalization in this paper, our finding that the target shock is more empirically relevant is likely robust to this concern, because the predictability bias applies equally to both the target and path shocks.</w:t>
      </w:r>
    </w:p>
    <w:p>
      <w:pPr>
        <w:spacing w:before="240" w:after="120" w:line="276" w:lineRule="auto"/>
      </w:pPr>
      <w:r>
        <w:rPr>
          <w:rFonts w:ascii="Times New Roman" w:hAnsi="Times New Roman"/>
          <w:b/>
          <w:sz w:val="26"/>
        </w:rPr>
        <w:t>6. Robustness and Extensions</w:t>
      </w:r>
    </w:p>
    <w:p>
      <w:pPr>
        <w:spacing w:before="240" w:after="120" w:line="276" w:lineRule="auto"/>
      </w:pPr>
      <w:r>
        <w:rPr>
          <w:rFonts w:ascii="Times New Roman" w:hAnsi="Times New Roman"/>
          <w:b/>
          <w:i/>
          <w:sz w:val="24"/>
        </w:rPr>
        <w:t>6.1 Newey-West Lag Sensitivity</w:t>
      </w:r>
    </w:p>
    <w:p>
      <w:pPr>
        <w:spacing w:before="0" w:after="0" w:line="276" w:lineRule="auto"/>
        <w:ind w:firstLine="720"/>
      </w:pPr>
      <w:r>
        <w:rPr>
          <w:rFonts w:ascii="Times New Roman" w:hAnsi="Times New Roman"/>
          <w:sz w:val="24"/>
        </w:rPr>
        <w:t>Appendix Table C.3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w:t>
      </w:r>
    </w:p>
    <w:p>
      <w:pPr>
        <w:spacing w:before="0" w:after="0" w:line="276" w:lineRule="auto"/>
        <w:ind w:firstLine="720"/>
      </w:pPr>
      <w:r>
        <w:rPr>
          <w:rFonts w:ascii="Times New Roman" w:hAnsi="Times New Roman"/>
          <w:sz w:val="24"/>
        </w:rPr>
        <w:t>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p>
      <w:pPr>
        <w:spacing w:before="240" w:after="120" w:line="276" w:lineRule="auto"/>
      </w:pPr>
      <w:r>
        <w:rPr>
          <w:rFonts w:ascii="Times New Roman" w:hAnsi="Times New Roman"/>
          <w:b/>
          <w:i/>
          <w:sz w:val="24"/>
        </w:rPr>
        <w:t>6.2 Kuttner Surprise in Basis Points</w:t>
      </w:r>
    </w:p>
    <w:p>
      <w:pPr>
        <w:spacing w:before="0" w:after="0" w:line="276" w:lineRule="auto"/>
        <w:ind w:firstLine="720"/>
      </w:pPr>
      <w:r>
        <w:rPr>
          <w:rFonts w:ascii="Times New Roman" w:hAnsi="Times New Roman"/>
          <w:sz w:val="24"/>
        </w:rPr>
        <w:t>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spacing w:before="0" w:after="0" w:line="276" w:lineRule="auto"/>
        <w:ind w:firstLine="720"/>
      </w:pPr>
      <w:r>
        <w:rPr>
          <w:rFonts w:ascii="Times New Roman" w:hAnsi="Times New Roman"/>
          <w:sz w:val="24"/>
        </w:rPr>
        <w:t>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p>
      <w:pPr>
        <w:spacing w:before="240" w:after="120" w:line="276" w:lineRule="auto"/>
      </w:pPr>
      <w:r>
        <w:rPr>
          <w:rFonts w:ascii="Times New Roman" w:hAnsi="Times New Roman"/>
          <w:b/>
          <w:i/>
          <w:sz w:val="24"/>
        </w:rPr>
        <w:t>6.3 Post-2010 Subsample</w:t>
      </w:r>
    </w:p>
    <w:p>
      <w:pPr>
        <w:spacing w:before="0" w:after="0" w:line="276" w:lineRule="auto"/>
        <w:ind w:firstLine="720"/>
      </w:pPr>
      <w:r>
        <w:rPr>
          <w:rFonts w:ascii="Times New Roman" w:hAnsi="Times New Roman"/>
          <w:sz w:val="24"/>
        </w:rPr>
        <w:t>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spacing w:before="0" w:after="0" w:line="276" w:lineRule="auto"/>
        <w:ind w:firstLine="720"/>
      </w:pPr>
      <w:r>
        <w:rPr>
          <w:rFonts w:ascii="Times New Roman" w:hAnsi="Times New Roman"/>
          <w:sz w:val="24"/>
        </w:rPr>
        <w:t>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p>
      <w:pPr>
        <w:spacing w:before="240" w:after="120" w:line="276" w:lineRule="auto"/>
      </w:pPr>
      <w:r>
        <w:rPr>
          <w:rFonts w:ascii="Times New Roman" w:hAnsi="Times New Roman"/>
          <w:b/>
          <w:i/>
          <w:sz w:val="24"/>
        </w:rPr>
        <w:t>6.4 Excluding COVID</w:t>
      </w:r>
    </w:p>
    <w:p>
      <w:pPr>
        <w:spacing w:before="0" w:after="0" w:line="276" w:lineRule="auto"/>
        <w:ind w:firstLine="720"/>
      </w:pPr>
      <w:r>
        <w:rPr>
          <w:rFonts w:ascii="Times New Roman" w:hAnsi="Times New Roman"/>
          <w:sz w:val="24"/>
        </w:rPr>
        <w:t>Excluding the COVID period (March–June 2020, 2 meetings) has minimal effect on the results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p>
      <w:pPr>
        <w:spacing w:before="240" w:after="120" w:line="276" w:lineRule="auto"/>
      </w:pPr>
      <w:r>
        <w:rPr>
          <w:rFonts w:ascii="Times New Roman" w:hAnsi="Times New Roman"/>
          <w:b/>
          <w:i/>
          <w:sz w:val="24"/>
        </w:rPr>
        <w:t>6.5 Financial Sector Event Study</w:t>
      </w:r>
    </w:p>
    <w:p>
      <w:pPr>
        <w:spacing w:before="0" w:after="0" w:line="276" w:lineRule="auto"/>
        <w:ind w:firstLine="720"/>
      </w:pPr>
      <w:r>
        <w:rPr>
          <w:rFonts w:ascii="Times New Roman" w:hAnsi="Times New Roman"/>
          <w:sz w:val="24"/>
        </w:rPr>
        <w:t>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spacing w:before="0" w:after="0" w:line="276" w:lineRule="auto"/>
        <w:ind w:firstLine="720"/>
      </w:pPr>
      <w:r>
        <w:rPr>
          <w:rFonts w:ascii="Times New Roman" w:hAnsi="Times New Roman"/>
          <w:sz w:val="24"/>
        </w:rPr>
        <w:t>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spacing w:before="0" w:after="0" w:line="276" w:lineRule="auto"/>
        <w:ind w:firstLine="720"/>
      </w:pPr>
      <w:r>
        <w:rPr>
          <w:rFonts w:ascii="Times New Roman" w:hAnsi="Times New Roman"/>
          <w:sz w:val="24"/>
        </w:rPr>
        <w:t>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2.6, and it suggests that the aggregate market response masks substantial variation at the firm level.</w:t>
      </w:r>
    </w:p>
    <w:p>
      <w:pPr>
        <w:spacing w:before="0" w:after="0" w:line="276" w:lineRule="auto"/>
        <w:ind w:firstLine="720"/>
      </w:pPr>
      <w:r>
        <w:rPr>
          <w:rFonts w:ascii="Times New Roman" w:hAnsi="Times New Roman"/>
          <w:sz w:val="24"/>
        </w:rPr>
        <w:t>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p>
      <w:pPr>
        <w:spacing w:before="240" w:after="120" w:line="276" w:lineRule="auto"/>
      </w:pPr>
      <w:r>
        <w:rPr>
          <w:rFonts w:ascii="Times New Roman" w:hAnsi="Times New Roman"/>
          <w:b/>
          <w:i/>
          <w:sz w:val="24"/>
        </w:rPr>
        <w:t>6.6 Sentiment by Monetary Policy Regime</w:t>
      </w:r>
    </w:p>
    <w:p>
      <w:pPr>
        <w:spacing w:before="0" w:after="0" w:line="276" w:lineRule="auto"/>
        <w:ind w:firstLine="720"/>
      </w:pPr>
      <w:r>
        <w:rPr>
          <w:rFonts w:ascii="Times New Roman" w:hAnsi="Times New Roman"/>
          <w:sz w:val="24"/>
        </w:rPr>
        <w:t>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spacing w:before="120" w:after="60"/>
        <w:jc w:val="center"/>
      </w:pPr>
      <w:r>
        <w:drawing>
          <wp:inline xmlns:a="http://schemas.openxmlformats.org/drawingml/2006/main" xmlns:pic="http://schemas.openxmlformats.org/drawingml/2006/picture">
            <wp:extent cx="5029200" cy="3121867"/>
            <wp:docPr id="4" name="Picture 4"/>
            <wp:cNvGraphicFramePr>
              <a:graphicFrameLocks noChangeAspect="1"/>
            </wp:cNvGraphicFramePr>
            <a:graphic>
              <a:graphicData uri="http://schemas.openxmlformats.org/drawingml/2006/picture">
                <pic:pic>
                  <pic:nvPicPr>
                    <pic:cNvPr id="0" name="figure4_sentiment_by_regime.png"/>
                    <pic:cNvPicPr/>
                  </pic:nvPicPr>
                  <pic:blipFill>
                    <a:blip r:embed="rId12"/>
                    <a:stretch>
                      <a:fillRect/>
                    </a:stretch>
                  </pic:blipFill>
                  <pic:spPr>
                    <a:xfrm>
                      <a:off x="0" y="0"/>
                      <a:ext cx="5029200" cy="3121867"/>
                    </a:xfrm>
                    <a:prstGeom prst="rect"/>
                  </pic:spPr>
                </pic:pic>
              </a:graphicData>
            </a:graphic>
          </wp:inline>
        </w:drawing>
      </w:r>
    </w:p>
    <w:p>
      <w:pPr>
        <w:spacing w:before="60" w:after="120"/>
        <w:jc w:val="center"/>
      </w:pPr>
      <w:r>
        <w:rPr>
          <w:rFonts w:ascii="Times New Roman" w:hAnsi="Times New Roman"/>
          <w:i/>
          <w:sz w:val="20"/>
        </w:rPr>
        <w:t>Figure 4: Sentiment by Monetary Policy Regime</w:t>
      </w:r>
    </w:p>
    <w:p>
      <w:pPr>
        <w:spacing w:before="0" w:after="0" w:line="276" w:lineRule="auto"/>
        <w:ind w:firstLine="720"/>
      </w:pPr>
      <w:r>
        <w:rPr>
          <w:rFonts w:ascii="Times New Roman" w:hAnsi="Times New Roman"/>
          <w:sz w:val="24"/>
        </w:rPr>
        <w:t xml:space="preserve">The regime-specific results also reveal an interesting asymmetry: the sentiment response to the target shock is stronger during tightening cycles (R² = 1.8%, </w:t>
      </w:r>
      <w:r>
        <w:rPr>
          <w:rFonts w:ascii="Times New Roman" w:hAnsi="Times New Roman"/>
          <w:i/>
          <w:sz w:val="24"/>
        </w:rPr>
        <w:t>β_{target</w:t>
      </w:r>
      <w:r>
        <w:rPr>
          <w:rFonts w:ascii="Times New Roman" w:hAnsi="Times New Roman"/>
          <w:sz w:val="24"/>
        </w:rPr>
        <w:t xml:space="preserve"> = 0.000691, p = 0.098) than during easing cycles (R² = 2.1%, </w:t>
      </w:r>
      <w:r>
        <w:rPr>
          <w:rFonts w:ascii="Times New Roman" w:hAnsi="Times New Roman"/>
          <w:i/>
          <w:sz w:val="24"/>
        </w:rPr>
        <w:t>β_{target</w:t>
      </w:r>
      <w:r>
        <w:rPr>
          <w:rFonts w:ascii="Times New Roman" w:hAnsi="Times New Roman"/>
          <w:sz w:val="24"/>
        </w:rPr>
        <w:t xml:space="preserve"> = 0.000412, p = 0.312). This asymmetry may reflect the fact that tightening decisions are more likely to be controversial and therefore require more careful language, while easing decisions are more straightforward and therefore require less linguistic adjustment.</w:t>
      </w:r>
    </w:p>
    <w:p>
      <w:pPr>
        <w:spacing w:before="240" w:after="120" w:line="276" w:lineRule="auto"/>
      </w:pPr>
      <w:r>
        <w:rPr>
          <w:rFonts w:ascii="Times New Roman" w:hAnsi="Times New Roman"/>
          <w:b/>
          <w:i/>
          <w:sz w:val="24"/>
        </w:rPr>
        <w:t>6.7 Sentiment Dictionary Comparison</w:t>
      </w:r>
    </w:p>
    <w:p>
      <w:pPr>
        <w:spacing w:before="0" w:after="0" w:line="276" w:lineRule="auto"/>
        <w:ind w:firstLine="720"/>
      </w:pPr>
      <w:r>
        <w:rPr>
          <w:rFonts w:ascii="Times New Roman" w:hAnsi="Times New Roman"/>
          <w:sz w:val="24"/>
        </w:rPr>
        <w:t>A natural question is whether the choice of sentiment dictionary affects the results. Table 7 compares the regression results using three different sentiment measures.</w:t>
      </w:r>
    </w:p>
    <w:p>
      <w:pPr>
        <w:spacing w:before="160" w:after="80"/>
        <w:jc w:val="center"/>
      </w:pPr>
      <w:r>
        <w:rPr>
          <w:rFonts w:ascii="Times New Roman" w:hAnsi="Times New Roman"/>
          <w:b/>
          <w:sz w:val="22"/>
        </w:rPr>
        <w:t>Table 7: Sentiment Dictionary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Sentiment Measure</w:t>
            </w:r>
          </w:p>
        </w:tc>
        <w:tc>
          <w:tcPr>
            <w:tcW w:type="dxa" w:w="1728"/>
            <w:shd w:fill="E8E8E8"/>
          </w:tcPr>
          <w:p>
            <w:pPr>
              <w:jc w:val="center"/>
            </w:pPr>
            <w:r/>
            <w:r>
              <w:rPr>
                <w:rFonts w:ascii="Times New Roman" w:hAnsi="Times New Roman"/>
                <w:b/>
                <w:sz w:val="20"/>
              </w:rPr>
              <w:t>R²</w:t>
            </w:r>
          </w:p>
        </w:tc>
        <w:tc>
          <w:tcPr>
            <w:tcW w:type="dxa" w:w="1728"/>
            <w:shd w:fill="E8E8E8"/>
          </w:tcPr>
          <w:p>
            <w:pPr>
              <w:jc w:val="center"/>
            </w:pPr>
            <w:r/>
            <w:r>
              <w:rPr>
                <w:rFonts w:ascii="Times New Roman" w:hAnsi="Times New Roman"/>
                <w:b/>
                <w:sz w:val="20"/>
              </w:rPr>
              <w:t>β_T (p)</w:t>
            </w:r>
          </w:p>
        </w:tc>
        <w:tc>
          <w:tcPr>
            <w:tcW w:type="dxa" w:w="1728"/>
            <w:shd w:fill="E8E8E8"/>
          </w:tcPr>
          <w:p>
            <w:pPr>
              <w:jc w:val="center"/>
            </w:pPr>
            <w:r/>
            <w:r>
              <w:rPr>
                <w:rFonts w:ascii="Times New Roman" w:hAnsi="Times New Roman"/>
                <w:b/>
                <w:sz w:val="20"/>
              </w:rPr>
              <w:t>β_P (p)</w:t>
            </w:r>
          </w:p>
        </w:tc>
        <w:tc>
          <w:tcPr>
            <w:tcW w:type="dxa" w:w="1728"/>
            <w:shd w:fill="E8E8E8"/>
          </w:tcPr>
          <w:p>
            <w:pPr>
              <w:jc w:val="center"/>
            </w:pPr>
            <w:r/>
            <w:r>
              <w:rPr>
                <w:rFonts w:ascii="Times New Roman" w:hAnsi="Times New Roman"/>
                <w:b/>
                <w:sz w:val="20"/>
              </w:rPr>
              <w:t>N</w:t>
            </w:r>
          </w:p>
        </w:tc>
      </w:tr>
      <w:tr>
        <w:tc>
          <w:tcPr>
            <w:tcW w:type="dxa" w:w="1728"/>
          </w:tcPr>
          <w:p>
            <w:pPr>
              <w:jc w:val="center"/>
            </w:pPr>
            <w:r/>
            <w:r>
              <w:rPr>
                <w:rFonts w:ascii="Times New Roman" w:hAnsi="Times New Roman"/>
                <w:sz w:val="20"/>
              </w:rPr>
              <w:t>Combined (LM + CB)</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t>0.000577 (0.017)</w:t>
            </w:r>
          </w:p>
        </w:tc>
        <w:tc>
          <w:tcPr>
            <w:tcW w:type="dxa" w:w="1728"/>
          </w:tcPr>
          <w:p>
            <w:pPr>
              <w:jc w:val="center"/>
            </w:pPr>
            <w:r/>
            <w:r>
              <w:rPr>
                <w:rFonts w:ascii="Times New Roman" w:hAnsi="Times New Roman"/>
                <w:sz w:val="20"/>
              </w:rPr>
              <w:t>0.000633 (0.152)</w:t>
            </w:r>
          </w:p>
        </w:tc>
        <w:tc>
          <w:tcPr>
            <w:tcW w:type="dxa" w:w="172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LM only</w:t>
            </w:r>
          </w:p>
        </w:tc>
        <w:tc>
          <w:tcPr>
            <w:tcW w:type="dxa" w:w="1728"/>
          </w:tcPr>
          <w:p>
            <w:pPr>
              <w:jc w:val="center"/>
            </w:pPr>
            <w:r/>
            <w:r>
              <w:rPr>
                <w:rFonts w:ascii="Times New Roman" w:hAnsi="Times New Roman"/>
                <w:sz w:val="20"/>
              </w:rPr>
              <w:t>0.33%</w:t>
            </w:r>
          </w:p>
        </w:tc>
        <w:tc>
          <w:tcPr>
            <w:tcW w:type="dxa" w:w="1728"/>
          </w:tcPr>
          <w:p>
            <w:pPr>
              <w:jc w:val="center"/>
            </w:pPr>
            <w:r/>
            <w:r>
              <w:rPr>
                <w:rFonts w:ascii="Times New Roman" w:hAnsi="Times New Roman"/>
                <w:sz w:val="20"/>
              </w:rPr>
              <w:t>0.000288 (0.476)</w:t>
            </w:r>
          </w:p>
        </w:tc>
        <w:tc>
          <w:tcPr>
            <w:tcW w:type="dxa" w:w="1728"/>
          </w:tcPr>
          <w:p>
            <w:pPr>
              <w:jc w:val="center"/>
            </w:pPr>
            <w:r/>
            <w:r>
              <w:rPr>
                <w:rFonts w:ascii="Times New Roman" w:hAnsi="Times New Roman"/>
                <w:sz w:val="20"/>
              </w:rPr>
              <w:t>0.000465 (0.553)</w:t>
            </w:r>
          </w:p>
        </w:tc>
        <w:tc>
          <w:tcPr>
            <w:tcW w:type="dxa" w:w="172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CB only</w:t>
            </w:r>
          </w:p>
        </w:tc>
        <w:tc>
          <w:tcPr>
            <w:tcW w:type="dxa" w:w="1728"/>
          </w:tcPr>
          <w:p>
            <w:pPr>
              <w:jc w:val="center"/>
            </w:pPr>
            <w:r/>
            <w:r>
              <w:rPr>
                <w:rFonts w:ascii="Times New Roman" w:hAnsi="Times New Roman"/>
                <w:sz w:val="20"/>
              </w:rPr>
              <w:t>3.90%</w:t>
            </w:r>
          </w:p>
        </w:tc>
        <w:tc>
          <w:tcPr>
            <w:tcW w:type="dxa" w:w="1728"/>
          </w:tcPr>
          <w:p>
            <w:pPr>
              <w:jc w:val="center"/>
            </w:pPr>
            <w:r/>
            <w:r>
              <w:rPr>
                <w:rFonts w:ascii="Times New Roman" w:hAnsi="Times New Roman"/>
                <w:sz w:val="20"/>
              </w:rPr>
              <w:t>0.000865 (0.000)</w:t>
            </w:r>
          </w:p>
        </w:tc>
        <w:tc>
          <w:tcPr>
            <w:tcW w:type="dxa" w:w="1728"/>
          </w:tcPr>
          <w:p>
            <w:pPr>
              <w:jc w:val="center"/>
            </w:pPr>
            <w:r/>
            <w:r>
              <w:rPr>
                <w:rFonts w:ascii="Times New Roman" w:hAnsi="Times New Roman"/>
                <w:sz w:val="20"/>
              </w:rPr>
              <w:t>0.000800 (0.033)</w:t>
            </w:r>
          </w:p>
        </w:tc>
        <w:tc>
          <w:tcPr>
            <w:tcW w:type="dxa" w:w="1728"/>
          </w:tcPr>
          <w:p>
            <w:pPr>
              <w:jc w:val="center"/>
            </w:pPr>
            <w:r/>
            <w:r>
              <w:rPr>
                <w:rFonts w:ascii="Times New Roman" w:hAnsi="Times New Roman"/>
                <w:sz w:val="20"/>
              </w:rPr>
              <w:t>117</w:t>
            </w:r>
          </w:p>
        </w:tc>
      </w:tr>
    </w:tbl>
    <w:p>
      <w:pPr>
        <w:spacing w:before="0" w:after="0" w:line="276" w:lineRule="auto"/>
        <w:ind w:firstLine="720"/>
      </w:pPr>
      <w:r>
        <w:rPr>
          <w:rFonts w:ascii="Times New Roman" w:hAnsi="Times New Roman"/>
          <w:sz w:val="24"/>
        </w:rPr>
        <w:t>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spacing w:before="0" w:after="0" w:line="276" w:lineRule="auto"/>
        <w:ind w:firstLine="720"/>
      </w:pPr>
      <w:r>
        <w:rPr>
          <w:rFonts w:ascii="Times New Roman" w:hAnsi="Times New Roman"/>
          <w:sz w:val="24"/>
        </w:rPr>
        <w:t>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spacing w:before="0" w:after="0" w:line="276" w:lineRule="auto"/>
        <w:ind w:firstLine="720"/>
      </w:pPr>
      <w:r>
        <w:rPr>
          <w:rFonts w:ascii="Times New Roman" w:hAnsi="Times New Roman"/>
          <w:sz w:val="24"/>
        </w:rPr>
        <w:t>The combined score performs worse than the CB score alone (R² = 3.90%, with both target and path shocks significant at p &lt; 0.05),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p>
      <w:pPr>
        <w:spacing w:before="240" w:after="120" w:line="276" w:lineRule="auto"/>
      </w:pPr>
      <w:r>
        <w:rPr>
          <w:rFonts w:ascii="Times New Roman" w:hAnsi="Times New Roman"/>
          <w:b/>
          <w:i/>
          <w:sz w:val="24"/>
        </w:rPr>
        <w:t>6.8 Correlation Structure</w:t>
      </w:r>
    </w:p>
    <w:p>
      <w:pPr>
        <w:spacing w:before="0" w:after="0" w:line="276" w:lineRule="auto"/>
        <w:ind w:firstLine="720"/>
      </w:pPr>
      <w:r>
        <w:rPr>
          <w:rFonts w:ascii="Times New Roman" w:hAnsi="Times New Roman"/>
          <w:sz w:val="24"/>
        </w:rPr>
        <w:t>Figure 5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spacing w:before="120" w:after="60"/>
        <w:jc w:val="center"/>
      </w:pPr>
      <w:r>
        <w:drawing>
          <wp:inline xmlns:a="http://schemas.openxmlformats.org/drawingml/2006/main" xmlns:pic="http://schemas.openxmlformats.org/drawingml/2006/picture">
            <wp:extent cx="4572000" cy="3867135"/>
            <wp:docPr id="5" name="Picture 5"/>
            <wp:cNvGraphicFramePr>
              <a:graphicFrameLocks noChangeAspect="1"/>
            </wp:cNvGraphicFramePr>
            <a:graphic>
              <a:graphicData uri="http://schemas.openxmlformats.org/drawingml/2006/picture">
                <pic:pic>
                  <pic:nvPicPr>
                    <pic:cNvPr id="0" name="figure5_correlation_heatmap.png"/>
                    <pic:cNvPicPr/>
                  </pic:nvPicPr>
                  <pic:blipFill>
                    <a:blip r:embed="rId13"/>
                    <a:stretch>
                      <a:fillRect/>
                    </a:stretch>
                  </pic:blipFill>
                  <pic:spPr>
                    <a:xfrm>
                      <a:off x="0" y="0"/>
                      <a:ext cx="4572000" cy="3867135"/>
                    </a:xfrm>
                    <a:prstGeom prst="rect"/>
                  </pic:spPr>
                </pic:pic>
              </a:graphicData>
            </a:graphic>
          </wp:inline>
        </w:drawing>
      </w:r>
    </w:p>
    <w:p>
      <w:pPr>
        <w:spacing w:before="60" w:after="120"/>
        <w:jc w:val="center"/>
      </w:pPr>
      <w:r>
        <w:rPr>
          <w:rFonts w:ascii="Times New Roman" w:hAnsi="Times New Roman"/>
          <w:i/>
          <w:sz w:val="20"/>
        </w:rPr>
        <w:t>Figure 5: Correlation Structure of Key Variables</w:t>
      </w:r>
    </w:p>
    <w:p>
      <w:pPr>
        <w:spacing w:before="0" w:after="0" w:line="276" w:lineRule="auto"/>
        <w:ind w:firstLine="720"/>
      </w:pPr>
      <w:r>
        <w:rPr>
          <w:rFonts w:ascii="Times New Roman" w:hAnsi="Times New Roman"/>
          <w:sz w:val="24"/>
        </w:rPr>
        <w:t>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p>
      <w:pPr>
        <w:spacing w:before="240" w:after="120" w:line="276" w:lineRule="auto"/>
      </w:pPr>
      <w:r>
        <w:rPr>
          <w:rFonts w:ascii="Times New Roman" w:hAnsi="Times New Roman"/>
          <w:b/>
          <w:i/>
          <w:sz w:val="24"/>
        </w:rPr>
        <w:t>6.9 The Bauer-Swanson Critique</w:t>
      </w:r>
    </w:p>
    <w:p>
      <w:pPr>
        <w:spacing w:before="0" w:after="0" w:line="276" w:lineRule="auto"/>
        <w:ind w:firstLine="720"/>
      </w:pPr>
      <w:r>
        <w:rPr>
          <w:rFonts w:ascii="Times New Roman" w:hAnsi="Times New Roman"/>
          <w:sz w:val="24"/>
        </w:rPr>
        <w:t>Bauer and Swanson (2023) argue that high-frequency monetary policy surprises are contaminated by predictable components related to publicly available economic information. They show that FOMC surprises are correlated with pre-FOMC economic data releases, suggesting that the "surprises" are not fully exogenous. This critique has important implications for the interpretation of our results.</w:t>
      </w:r>
    </w:p>
    <w:p>
      <w:pPr>
        <w:spacing w:before="0" w:after="0" w:line="276" w:lineRule="auto"/>
        <w:ind w:firstLine="720"/>
      </w:pPr>
      <w:r>
        <w:rPr>
          <w:rFonts w:ascii="Times New Roman" w:hAnsi="Times New Roman"/>
          <w:sz w:val="24"/>
        </w:rPr>
        <w:t>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spacing w:before="0" w:after="0" w:line="276" w:lineRule="auto"/>
        <w:ind w:firstLine="720"/>
      </w:pPr>
      <w:r>
        <w:rPr>
          <w:rFonts w:ascii="Times New Roman" w:hAnsi="Times New Roman"/>
          <w:sz w:val="24"/>
        </w:rPr>
        <w:t>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p>
      <w:pPr>
        <w:spacing w:before="240" w:after="120" w:line="276" w:lineRule="auto"/>
      </w:pPr>
      <w:r>
        <w:rPr>
          <w:rFonts w:ascii="Times New Roman" w:hAnsi="Times New Roman"/>
          <w:b/>
          <w:i/>
          <w:sz w:val="24"/>
        </w:rPr>
        <w:t>6.10 Comparison Across Fed Chairs</w:t>
      </w:r>
    </w:p>
    <w:p>
      <w:pPr>
        <w:spacing w:before="0" w:after="0" w:line="276" w:lineRule="auto"/>
        <w:ind w:firstLine="720"/>
      </w:pPr>
      <w:r>
        <w:rPr>
          <w:rFonts w:ascii="Times New Roman" w:hAnsi="Times New Roman"/>
          <w:sz w:val="24"/>
        </w:rPr>
        <w:t>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spacing w:before="0" w:after="0" w:line="276" w:lineRule="auto"/>
        <w:ind w:firstLine="720"/>
      </w:pPr>
      <w:r>
        <w:rPr>
          <w:rFonts w:ascii="Times New Roman" w:hAnsi="Times New Roman"/>
          <w:sz w:val="24"/>
        </w:rPr>
        <w:t>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p>
      <w:pPr>
        <w:spacing w:before="240" w:after="120" w:line="276" w:lineRule="auto"/>
      </w:pPr>
      <w:r>
        <w:rPr>
          <w:rFonts w:ascii="Times New Roman" w:hAnsi="Times New Roman"/>
          <w:b/>
          <w:i/>
          <w:sz w:val="24"/>
        </w:rPr>
        <w:t>6.11 Data Quality and Measurement Error</w:t>
      </w:r>
    </w:p>
    <w:p>
      <w:pPr>
        <w:spacing w:before="0" w:after="0" w:line="276" w:lineRule="auto"/>
        <w:ind w:firstLine="720"/>
      </w:pPr>
      <w:r>
        <w:rPr>
          <w:rFonts w:ascii="Times New Roman" w:hAnsi="Times New Roman"/>
          <w:sz w:val="24"/>
        </w:rPr>
        <w:t>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spacing w:before="0" w:after="0" w:line="276" w:lineRule="auto"/>
        <w:ind w:firstLine="720"/>
      </w:pPr>
      <w:r>
        <w:rPr>
          <w:rFonts w:ascii="Times New Roman" w:hAnsi="Times New Roman"/>
          <w:sz w:val="24"/>
        </w:rPr>
        <w:t>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spacing w:before="0" w:after="0" w:line="276" w:lineRule="auto"/>
        <w:ind w:firstLine="720"/>
      </w:pPr>
      <w:r>
        <w:rPr>
          <w:rFonts w:ascii="Times New Roman" w:hAnsi="Times New Roman"/>
          <w:sz w:val="24"/>
        </w:rPr>
        <w:t>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p>
      <w:pPr>
        <w:spacing w:before="240" w:after="120" w:line="276" w:lineRule="auto"/>
      </w:pPr>
      <w:r>
        <w:rPr>
          <w:rFonts w:ascii="Times New Roman" w:hAnsi="Times New Roman"/>
          <w:b/>
          <w:i/>
          <w:sz w:val="24"/>
        </w:rPr>
        <w:t>6.12 CRSP vs. Yahoo Finance Data Source Comparison</w:t>
      </w:r>
    </w:p>
    <w:p>
      <w:pPr>
        <w:spacing w:before="0" w:after="0" w:line="276" w:lineRule="auto"/>
        <w:ind w:firstLine="720"/>
      </w:pPr>
      <w:r>
        <w:rPr>
          <w:rFonts w:ascii="Times New Roman" w:hAnsi="Times New Roman"/>
          <w:sz w:val="24"/>
        </w:rPr>
        <w:t>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spacing w:before="0" w:after="0" w:line="276" w:lineRule="auto"/>
        <w:ind w:firstLine="720"/>
      </w:pPr>
      <w:r>
        <w:rPr>
          <w:rFonts w:ascii="Times New Roman" w:hAnsi="Times New Roman"/>
          <w:sz w:val="24"/>
        </w:rPr>
        <w:t>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p>
      <w:pPr>
        <w:spacing w:before="240" w:after="120" w:line="276" w:lineRule="auto"/>
      </w:pPr>
      <w:r>
        <w:rPr>
          <w:rFonts w:ascii="Times New Roman" w:hAnsi="Times New Roman"/>
          <w:b/>
          <w:i/>
          <w:sz w:val="24"/>
        </w:rPr>
        <w:t>6.13 Chair Fixed Effects</w:t>
      </w:r>
    </w:p>
    <w:p>
      <w:pPr>
        <w:spacing w:before="0" w:after="0" w:line="276" w:lineRule="auto"/>
        <w:ind w:firstLine="720"/>
      </w:pPr>
      <w:r>
        <w:rPr>
          <w:rFonts w:ascii="Times New Roman" w:hAnsi="Times New Roman"/>
          <w:sz w:val="24"/>
        </w:rPr>
        <w:t>Chair fixed effects reveal an important feature of FOMC language: communication style varies systematically across Fed chairs. Including Yellen and Powell dummies (with Bernanke as the reference category) in the sentiment regression shows that the Powell dummy is significant (</w:t>
      </w:r>
      <w:r>
        <w:rPr>
          <w:rFonts w:ascii="Times New Roman" w:hAnsi="Times New Roman"/>
          <w:i/>
          <w:sz w:val="24"/>
        </w:rPr>
        <w:t>β</w:t>
      </w:r>
      <w:r>
        <w:rPr>
          <w:rFonts w:ascii="Times New Roman" w:hAnsi="Times New Roman"/>
          <w:sz w:val="24"/>
        </w:rPr>
        <w:t xml:space="preserve"> = 0.0067, p = 0.023), indicating that Powell-era statements have systematically higher sentiment scores, while the Yellen dummy is not significant (</w:t>
      </w:r>
      <w:r>
        <w:rPr>
          <w:rFonts w:ascii="Times New Roman" w:hAnsi="Times New Roman"/>
          <w:i/>
          <w:sz w:val="24"/>
        </w:rPr>
        <w:t>β</w:t>
      </w:r>
      <w:r>
        <w:rPr>
          <w:rFonts w:ascii="Times New Roman" w:hAnsi="Times New Roman"/>
          <w:sz w:val="24"/>
        </w:rPr>
        <w:t xml:space="preserve"> = 0.0004, p = 0.552). The R² increases from the baseline to 27.08%, confirming that chair identity explains a large fraction of sentiment variation. The target shock becomes insignificant (p = 0.471) once chair fixed effects are included, suggesting that the cross-chair variation in communication style partially absorbs the target shock effect on sentiment.</w:t>
      </w:r>
    </w:p>
    <w:p>
      <w:pPr>
        <w:spacing w:before="0" w:after="0" w:line="276" w:lineRule="auto"/>
        <w:ind w:firstLine="720"/>
      </w:pPr>
      <w:r>
        <w:rPr>
          <w:rFonts w:ascii="Times New Roman" w:hAnsi="Times New Roman"/>
          <w:sz w:val="24"/>
        </w:rPr>
        <w:t>For the asset return regression (CRSP VW returns), the target shock remains significant (p = 0.043) even with chair fixed effects, and neither chair dummy is significant. This asymmetry is informative: sentiment is partially a function of who is speaking, but asset prices respond to what is decided, not who decides it. The chair FE result is itself a finding about the nature of FOMC communication — language is partly shaped by institutional communication styles — rather than merely a robustness concern.</w:t>
      </w:r>
    </w:p>
    <w:p>
      <w:pPr>
        <w:spacing w:before="240" w:after="120" w:line="276" w:lineRule="auto"/>
      </w:pPr>
      <w:r>
        <w:rPr>
          <w:rFonts w:ascii="Times New Roman" w:hAnsi="Times New Roman"/>
          <w:b/>
          <w:i/>
          <w:sz w:val="24"/>
        </w:rPr>
        <w:t>6.14 Term Spread Response</w:t>
      </w:r>
    </w:p>
    <w:p>
      <w:pPr>
        <w:spacing w:before="0" w:after="0" w:line="276" w:lineRule="auto"/>
        <w:ind w:firstLine="720"/>
      </w:pPr>
      <w:r>
        <w:rPr>
          <w:rFonts w:ascii="Times New Roman" w:hAnsi="Times New Roman"/>
          <w:sz w:val="24"/>
        </w:rPr>
        <w:t>We also examine the response of the term spread (10-year minus 3-month Treasury yield) to monetary policy shocks. 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 The term spread response is better captured by intraday data, as Gürkaynak et al. (2005b) demonstrate.</w:t>
      </w:r>
    </w:p>
    <w:p>
      <w:pPr>
        <w:spacing w:before="240" w:after="120" w:line="276" w:lineRule="auto"/>
      </w:pPr>
      <w:r>
        <w:rPr>
          <w:rFonts w:ascii="Times New Roman" w:hAnsi="Times New Roman"/>
          <w:b/>
          <w:i/>
          <w:sz w:val="24"/>
        </w:rPr>
        <w:t>6.15 White Heteroskedasticity-Consistent Standard Errors</w:t>
      </w:r>
    </w:p>
    <w:p>
      <w:pPr>
        <w:spacing w:before="0" w:after="0" w:line="276" w:lineRule="auto"/>
        <w:ind w:firstLine="720"/>
      </w:pPr>
      <w:r>
        <w:rPr>
          <w:rFonts w:ascii="Times New Roman" w:hAnsi="Times New Roman"/>
          <w:sz w:val="24"/>
        </w:rPr>
        <w:t>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p>
      <w:pPr>
        <w:spacing w:before="240" w:after="120" w:line="276" w:lineRule="auto"/>
      </w:pPr>
      <w:r>
        <w:rPr>
          <w:rFonts w:ascii="Times New Roman" w:hAnsi="Times New Roman"/>
          <w:b/>
          <w:i/>
          <w:sz w:val="24"/>
        </w:rPr>
        <w:t>6.16 Placebo Test: Non-FOMC Days</w:t>
      </w:r>
    </w:p>
    <w:p>
      <w:pPr>
        <w:spacing w:before="0" w:after="0" w:line="276" w:lineRule="auto"/>
        <w:ind w:firstLine="720"/>
      </w:pPr>
      <w:r>
        <w:rPr>
          <w:rFonts w:ascii="Times New Roman" w:hAnsi="Times New Roman"/>
          <w:sz w:val="24"/>
        </w:rPr>
        <w:t>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While this placebo test has limited diagnostic power — the dependent variable is mechanically constant across non-FOMC days — the contrast with the FOMC-day result (p = 0.017) is consistent with the interpretation that our results reflect a genuine relationship between monetary policy shocks and FOMC statement language.</w:t>
      </w:r>
    </w:p>
    <w:p>
      <w:pPr>
        <w:spacing w:before="240" w:after="120" w:line="276" w:lineRule="auto"/>
      </w:pPr>
      <w:r>
        <w:rPr>
          <w:rFonts w:ascii="Times New Roman" w:hAnsi="Times New Roman"/>
          <w:b/>
          <w:i/>
          <w:sz w:val="24"/>
        </w:rPr>
        <w:t>6.17 Sentiment Persistence and Dynamic Effects</w:t>
      </w:r>
    </w:p>
    <w:p>
      <w:pPr>
        <w:spacing w:before="0" w:after="0" w:line="276" w:lineRule="auto"/>
        <w:ind w:firstLine="720"/>
      </w:pPr>
      <w:r>
        <w:rPr>
          <w:rFonts w:ascii="Times New Roman" w:hAnsi="Times New Roman"/>
          <w:sz w:val="24"/>
        </w:rPr>
        <w:t>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spacing w:before="0" w:after="0" w:line="276" w:lineRule="auto"/>
        <w:ind w:firstLine="720"/>
      </w:pPr>
      <w:r>
        <w:rPr>
          <w:rFonts w:ascii="Times New Roman" w:hAnsi="Times New Roman"/>
          <w:sz w:val="24"/>
        </w:rPr>
        <w:t>To account for persistence more formally, we estimate a dynamic version of the sentiment regression that includes the lagged sentiment score as a regressor:</w:t>
      </w:r>
    </w:p>
    <w:p>
      <w:pPr>
        <w:spacing w:before="120" w:after="120" w:line="276" w:lineRule="auto"/>
        <w:jc w:val="center"/>
      </w:pPr>
      <w:r>
        <w:rPr>
          <w:rFonts w:ascii="Times New Roman" w:hAnsi="Times New Roman"/>
          <w:sz w:val="24"/>
        </w:rPr>
        <w:t>Sₜ = α + ρ · Sₜ₋₁ + β₁ · Targetₜ + β₂ · Pathₜ + εₜ    (8)</w:t>
      </w:r>
    </w:p>
    <w:p>
      <w:pPr>
        <w:spacing w:before="0" w:after="0" w:line="276" w:lineRule="auto"/>
        <w:ind w:firstLine="720"/>
      </w:pPr>
      <w:r>
        <w:rPr>
          <w:rFonts w:ascii="Times New Roman" w:hAnsi="Times New Roman"/>
          <w:sz w:val="24"/>
        </w:rPr>
        <w:t>The lagged sentiment coefficient is significant (</w:t>
      </w:r>
      <w:r>
        <w:rPr>
          <w:rFonts w:ascii="Times New Roman" w:hAnsi="Times New Roman"/>
          <w:i/>
          <w:sz w:val="24"/>
        </w:rPr>
        <w:t>ρ</w:t>
      </w:r>
      <w:r>
        <w:rPr>
          <w:rFonts w:ascii="Times New Roman" w:hAnsi="Times New Roman"/>
          <w:sz w:val="24"/>
        </w:rPr>
        <w:t xml:space="preserve"> = 0.85, p &lt; 0.001), confirming the persistence. The target shock remains significant (</w:t>
      </w:r>
      <w:r>
        <w:rPr>
          <w:rFonts w:ascii="Times New Roman" w:hAnsi="Times New Roman"/>
          <w:i/>
          <w:sz w:val="24"/>
        </w:rPr>
        <w:t>β₁</w:t>
      </w:r>
      <w:r>
        <w:rPr>
          <w:rFonts w:ascii="Times New Roman" w:hAnsi="Times New Roman"/>
          <w:sz w:val="24"/>
        </w:rPr>
        <w:t xml:space="preserve"> = 0.000609, p = 0.019), while the path shock is not (</w:t>
      </w:r>
      <w:r>
        <w:rPr>
          <w:rFonts w:ascii="Times New Roman" w:hAnsi="Times New Roman"/>
          <w:i/>
          <w:sz w:val="24"/>
        </w:rPr>
        <w:t>β₂</w:t>
      </w:r>
      <w:r>
        <w:rPr>
          <w:rFonts w:ascii="Times New Roman" w:hAnsi="Times New Roman"/>
          <w:sz w:val="24"/>
        </w:rPr>
        <w:t xml:space="preserve"> = −0.000854, p = 0.267). The R² increases to 70.3%, reflecting the strong explanatory power of the lagged dependent variable. The key finding — target shock significance, path shock insignificance — is robust to the inclusion of the lagged sentiment score. However, the high persistence (</w:t>
      </w:r>
      <w:r>
        <w:rPr>
          <w:rFonts w:ascii="Times New Roman" w:hAnsi="Times New Roman"/>
          <w:i/>
          <w:sz w:val="24"/>
        </w:rPr>
        <w:t>ρ</w:t>
      </w:r>
      <w:r>
        <w:rPr>
          <w:rFonts w:ascii="Times New Roman" w:hAnsi="Times New Roman"/>
          <w:sz w:val="24"/>
        </w:rPr>
        <w:t xml:space="preserve"> = 0.85) raises concerns about near-unit-root behavior in the sentiment series, which may inflate the R² and affect the precision of the shock coefficients.</w:t>
      </w:r>
    </w:p>
    <w:p>
      <w:pPr>
        <w:spacing w:before="240" w:after="120" w:line="276" w:lineRule="auto"/>
      </w:pPr>
      <w:r>
        <w:rPr>
          <w:rFonts w:ascii="Times New Roman" w:hAnsi="Times New Roman"/>
          <w:b/>
          <w:i/>
          <w:sz w:val="24"/>
        </w:rPr>
        <w:t>6.18 Subsample Analysis: Pre-Crisis, Crisis, and Post-Crisis</w:t>
      </w:r>
    </w:p>
    <w:p>
      <w:pPr>
        <w:spacing w:before="0" w:after="0" w:line="276" w:lineRule="auto"/>
        <w:ind w:firstLine="720"/>
      </w:pPr>
      <w:r>
        <w:rPr>
          <w:rFonts w:ascii="Times New Roman" w:hAnsi="Times New Roman"/>
          <w:sz w:val="24"/>
        </w:rPr>
        <w:t>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p>
      <w:pPr>
        <w:spacing w:before="160" w:after="80"/>
        <w:jc w:val="center"/>
      </w:pPr>
      <w:r>
        <w:rPr>
          <w:rFonts w:ascii="Times New Roman" w:hAnsi="Times New Roman"/>
          <w:b/>
          <w:sz w:val="22"/>
        </w:rPr>
        <w:t>Table 8: Subsample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Subperiod</w:t>
            </w:r>
          </w:p>
        </w:tc>
        <w:tc>
          <w:tcPr>
            <w:tcW w:type="dxa" w:w="1728"/>
            <w:shd w:fill="E8E8E8"/>
          </w:tcPr>
          <w:p>
            <w:pPr>
              <w:jc w:val="center"/>
            </w:pPr>
            <w:r/>
            <w:r>
              <w:rPr>
                <w:rFonts w:ascii="Times New Roman" w:hAnsi="Times New Roman"/>
                <w:b/>
                <w:sz w:val="20"/>
              </w:rPr>
              <w:t>N</w:t>
            </w:r>
          </w:p>
        </w:tc>
        <w:tc>
          <w:tcPr>
            <w:tcW w:type="dxa" w:w="1728"/>
            <w:shd w:fill="E8E8E8"/>
          </w:tcPr>
          <w:p>
            <w:pPr>
              <w:jc w:val="center"/>
            </w:pPr>
            <w:r/>
            <w:r>
              <w:rPr>
                <w:rFonts w:ascii="Times New Roman" w:hAnsi="Times New Roman"/>
                <w:b/>
                <w:sz w:val="20"/>
              </w:rPr>
              <w:t>R²</w:t>
            </w:r>
          </w:p>
        </w:tc>
        <w:tc>
          <w:tcPr>
            <w:tcW w:type="dxa" w:w="1728"/>
            <w:shd w:fill="E8E8E8"/>
          </w:tcPr>
          <w:p>
            <w:pPr>
              <w:jc w:val="center"/>
            </w:pPr>
            <w:r/>
            <w:r>
              <w:rPr>
                <w:rFonts w:ascii="Times New Roman" w:hAnsi="Times New Roman"/>
                <w:b/>
                <w:sz w:val="20"/>
              </w:rPr>
              <w:t>β_T (p)</w:t>
            </w:r>
          </w:p>
        </w:tc>
        <w:tc>
          <w:tcPr>
            <w:tcW w:type="dxa" w:w="1728"/>
            <w:shd w:fill="E8E8E8"/>
          </w:tcPr>
          <w:p>
            <w:pPr>
              <w:jc w:val="center"/>
            </w:pPr>
            <w:r/>
            <w:r>
              <w:rPr>
                <w:rFonts w:ascii="Times New Roman" w:hAnsi="Times New Roman"/>
                <w:b/>
                <w:sz w:val="20"/>
              </w:rPr>
              <w:t>β_P (p)</w:t>
            </w:r>
          </w:p>
        </w:tc>
      </w:tr>
      <w:tr>
        <w:tc>
          <w:tcPr>
            <w:tcW w:type="dxa" w:w="1728"/>
          </w:tcPr>
          <w:p>
            <w:pPr>
              <w:jc w:val="center"/>
            </w:pPr>
            <w:r/>
            <w:r>
              <w:rPr>
                <w:rFonts w:ascii="Times New Roman" w:hAnsi="Times New Roman"/>
                <w:sz w:val="20"/>
              </w:rPr>
              <w:t>Pre-crisis (2006–2007)</w:t>
            </w:r>
          </w:p>
        </w:tc>
        <w:tc>
          <w:tcPr>
            <w:tcW w:type="dxa" w:w="1728"/>
          </w:tcPr>
          <w:p>
            <w:pPr>
              <w:jc w:val="center"/>
            </w:pPr>
            <w:r/>
            <w:r>
              <w:rPr>
                <w:rFonts w:ascii="Times New Roman" w:hAnsi="Times New Roman"/>
                <w:sz w:val="20"/>
              </w:rPr>
              <w:t>7</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Crisis (2008–2009)</w:t>
            </w:r>
          </w:p>
        </w:tc>
        <w:tc>
          <w:tcPr>
            <w:tcW w:type="dxa" w:w="1728"/>
          </w:tcPr>
          <w:p>
            <w:pPr>
              <w:jc w:val="center"/>
            </w:pPr>
            <w:r/>
            <w:r>
              <w:rPr>
                <w:rFonts w:ascii="Times New Roman" w:hAnsi="Times New Roman"/>
                <w:sz w:val="20"/>
              </w:rPr>
              <w:t>13</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Post-crisis (2010–2022)</w:t>
            </w:r>
          </w:p>
        </w:tc>
        <w:tc>
          <w:tcPr>
            <w:tcW w:type="dxa" w:w="1728"/>
          </w:tcPr>
          <w:p>
            <w:pPr>
              <w:jc w:val="center"/>
            </w:pPr>
            <w:r/>
            <w:r>
              <w:rPr>
                <w:rFonts w:ascii="Times New Roman" w:hAnsi="Times New Roman"/>
                <w:sz w:val="20"/>
              </w:rPr>
              <w:t>97</w:t>
            </w:r>
          </w:p>
        </w:tc>
        <w:tc>
          <w:tcPr>
            <w:tcW w:type="dxa" w:w="1728"/>
          </w:tcPr>
          <w:p>
            <w:pPr>
              <w:jc w:val="center"/>
            </w:pPr>
            <w:r/>
            <w:r>
              <w:rPr>
                <w:rFonts w:ascii="Times New Roman" w:hAnsi="Times New Roman"/>
                <w:sz w:val="20"/>
              </w:rPr>
              <w:t>1.6%</w:t>
            </w:r>
          </w:p>
        </w:tc>
        <w:tc>
          <w:tcPr>
            <w:tcW w:type="dxa" w:w="1728"/>
          </w:tcPr>
          <w:p>
            <w:pPr>
              <w:jc w:val="center"/>
            </w:pPr>
            <w:r/>
            <w:r>
              <w:rPr>
                <w:rFonts w:ascii="Times New Roman" w:hAnsi="Times New Roman"/>
                <w:sz w:val="20"/>
              </w:rPr>
              <w:t>−0.000433 (0.699)</w:t>
            </w:r>
          </w:p>
        </w:tc>
        <w:tc>
          <w:tcPr>
            <w:tcW w:type="dxa" w:w="1728"/>
          </w:tcPr>
          <w:p>
            <w:pPr>
              <w:jc w:val="center"/>
            </w:pPr>
            <w:r/>
            <w:r>
              <w:rPr>
                <w:rFonts w:ascii="Times New Roman" w:hAnsi="Times New Roman"/>
                <w:sz w:val="20"/>
              </w:rPr>
              <w:t>0.001247 (0.056)</w:t>
            </w:r>
          </w:p>
        </w:tc>
      </w:tr>
    </w:tbl>
    <w:p>
      <w:pPr>
        <w:spacing w:before="0" w:after="0" w:line="276" w:lineRule="auto"/>
        <w:ind w:firstLine="720"/>
      </w:pPr>
      <w:r>
        <w:rPr>
          <w:rFonts w:ascii="Times New Roman" w:hAnsi="Times New Roman"/>
          <w:sz w:val="24"/>
        </w:rPr>
        <w:t>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spacing w:before="0" w:after="0" w:line="276" w:lineRule="auto"/>
        <w:ind w:firstLine="720"/>
      </w:pPr>
      <w:r>
        <w:rPr>
          <w:rFonts w:ascii="Times New Roman" w:hAnsi="Times New Roman"/>
          <w:sz w:val="24"/>
        </w:rPr>
        <w:t>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pPr>
        <w:spacing w:before="240" w:after="120" w:line="276" w:lineRule="auto"/>
      </w:pPr>
      <w:r>
        <w:rPr>
          <w:rFonts w:ascii="Times New Roman" w:hAnsi="Times New Roman"/>
          <w:b/>
          <w:sz w:val="26"/>
        </w:rPr>
        <w:t>7. Conclusion and Discussion</w:t>
      </w:r>
    </w:p>
    <w:p>
      <w:pPr>
        <w:spacing w:before="0" w:after="0" w:line="276" w:lineRule="auto"/>
        <w:ind w:firstLine="720"/>
      </w:pPr>
      <w:r>
        <w:rPr>
          <w:rFonts w:ascii="Times New Roman" w:hAnsi="Times New Roman"/>
          <w:sz w:val="24"/>
        </w:rP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117 FOMC meetings (2006–2022), we find that the target shock is a statistically significant predictor of FOMC language sentiment (</w:t>
      </w:r>
      <w:r>
        <w:rPr>
          <w:rFonts w:ascii="Times New Roman" w:hAnsi="Times New Roman"/>
          <w:i/>
          <w:sz w:val="24"/>
        </w:rPr>
        <w:t>β</w:t>
      </w:r>
      <w:r>
        <w:rPr>
          <w:rFonts w:ascii="Times New Roman" w:hAnsi="Times New Roman"/>
          <w:sz w:val="24"/>
        </w:rPr>
        <w:t xml:space="preserve"> = 0.000577, t = 2.43, p = 0.017), while the path shock is not (</w:t>
      </w:r>
      <w:r>
        <w:rPr>
          <w:rFonts w:ascii="Times New Roman" w:hAnsi="Times New Roman"/>
          <w:i/>
          <w:sz w:val="24"/>
        </w:rPr>
        <w:t>β</w:t>
      </w:r>
      <w:r>
        <w:rPr>
          <w:rFonts w:ascii="Times New Roman" w:hAnsi="Times New Roman"/>
          <w:sz w:val="24"/>
        </w:rPr>
        <w:t xml:space="preserve"> = 0.000633, t = 1.44, p = 0.152). Baseline evidence thus favors the policy-implementation interpretation (H1), though a Wald test cannot reject equal effects (p = 0.90), and the overall explanatory power is modest (R² = 1.57%). We interpret this as an interpretive contribution — providing suggestive, but not conclusive, evidence — rather than definitive identification.</w:t>
      </w:r>
    </w:p>
    <w:p>
      <w:pPr>
        <w:spacing w:before="0" w:after="0" w:line="276" w:lineRule="auto"/>
        <w:ind w:firstLine="720"/>
      </w:pPr>
      <w:r>
        <w:rPr>
          <w:rFonts w:ascii="Times New Roman" w:hAnsi="Times New Roman"/>
          <w:sz w:val="24"/>
        </w:rPr>
        <w:t>The cross-asset results provide evidence consistent with several transmission mechanisms: the target shock significantly predicts equity returns (discount-rate channel), with small-cap stocks responding more strongly (financing-constraint channel), and gold responding significantly (monetary-hedge channel). The path shock does not significantly affect any asset class at the 5% level. The forward guidance period interaction is not robustly significant, suggesting that the language channel does not systematically strengthen during zero-lower-bound periods — though a regime analysis reveals that the path shock is highly significant during rate cut meetings (p &lt; 0.001, R² = 43.1%), indicating that forward guidance language is most responsive when the Fed is easing.</w:t>
      </w:r>
    </w:p>
    <w:p>
      <w:pPr>
        <w:spacing w:before="0" w:after="0" w:line="276" w:lineRule="auto"/>
        <w:ind w:firstLine="720"/>
      </w:pPr>
      <w:r>
        <w:rPr>
          <w:rFonts w:ascii="Times New Roman" w:hAnsi="Times New Roman"/>
          <w:sz w:val="24"/>
        </w:rPr>
        <w:t>A critical methodological finding is that using rate changes instead of properly identified high-frequency shocks renders the sentiment relationship statistically undetectable (p = 0.726 vs. 0.017), demonstrating that the choice of surprise measure has first-order implications for inference.</w:t>
      </w:r>
    </w:p>
    <w:p>
      <w:pPr>
        <w:spacing w:before="240" w:after="120" w:line="276" w:lineRule="auto"/>
      </w:pPr>
      <w:r>
        <w:rPr>
          <w:rFonts w:ascii="Times New Roman" w:hAnsi="Times New Roman"/>
          <w:b/>
          <w:i/>
          <w:sz w:val="24"/>
        </w:rPr>
        <w:t>7.1 Reconciling with the Literature</w:t>
      </w:r>
    </w:p>
    <w:p>
      <w:pPr>
        <w:spacing w:before="0" w:after="0" w:line="276" w:lineRule="auto"/>
        <w:ind w:firstLine="720"/>
      </w:pPr>
      <w:r>
        <w:rPr>
          <w:rFonts w:ascii="Times New Roman" w:hAnsi="Times New Roman"/>
          <w:sz w:val="24"/>
        </w:rPr>
        <w:t>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more empirically relevant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fit implies that monetary policy shocks explain only a small fraction of the variation in FOMC statement language.</w:t>
      </w:r>
    </w:p>
    <w:p>
      <w:pPr>
        <w:spacing w:before="0" w:after="0" w:line="276" w:lineRule="auto"/>
        <w:ind w:firstLine="720"/>
      </w:pPr>
      <w:r>
        <w:rPr>
          <w:rFonts w:ascii="Times New Roman" w:hAnsi="Times New Roman"/>
          <w:sz w:val="24"/>
        </w:rPr>
        <w:t xml:space="preserve">Second, our finding that the target shock is more empirically relevant than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 </w:t>
      </w:r>
      <w:r>
        <w:rPr>
          <w:rFonts w:ascii="Times New Roman" w:hAnsi="Times New Roman"/>
          <w:i/>
          <w:sz w:val="24"/>
        </w:rPr>
        <w:t>β</w:t>
      </w:r>
      <w:r>
        <w:rPr>
          <w:rFonts w:ascii="Times New Roman" w:hAnsi="Times New Roman"/>
          <w:sz w:val="24"/>
        </w:rPr>
        <w:t xml:space="preserve"> = −0.449, p = 0.013) responding more strongly than large-cap stocks (CRSP VW: </w:t>
      </w:r>
      <w:r>
        <w:rPr>
          <w:rFonts w:ascii="Times New Roman" w:hAnsi="Times New Roman"/>
          <w:i/>
          <w:sz w:val="24"/>
        </w:rPr>
        <w:t>β</w:t>
      </w:r>
      <w:r>
        <w:rPr>
          <w:rFonts w:ascii="Times New Roman" w:hAnsi="Times New Roman"/>
          <w:sz w:val="24"/>
        </w:rPr>
        <w:t xml:space="preserve"> = −0.435, p = 0.043; S&amp;P 500: </w:t>
      </w:r>
      <w:r>
        <w:rPr>
          <w:rFonts w:ascii="Times New Roman" w:hAnsi="Times New Roman"/>
          <w:i/>
          <w:sz w:val="24"/>
        </w:rPr>
        <w:t>β</w:t>
      </w:r>
      <w:r>
        <w:rPr>
          <w:rFonts w:ascii="Times New Roman" w:hAnsi="Times New Roman"/>
          <w:sz w:val="24"/>
        </w:rPr>
        <w:t xml:space="preserve"> = −0.391, p = 0.073) — is consistent with the financing-constraint mechanism documented by Gertler and Gilchrist (1994). The weaker S&amp;P 500 response (p = 0.073) suggests that the target shock effect is concentrated in smaller firms, consistent with the heterogeneous sensitivity hypothesis.</w:t>
      </w:r>
    </w:p>
    <w:p>
      <w:pPr>
        <w:spacing w:before="0" w:after="0" w:line="276" w:lineRule="auto"/>
        <w:ind w:firstLine="720"/>
      </w:pPr>
      <w:r>
        <w:rPr>
          <w:rFonts w:ascii="Times New Roman" w:hAnsi="Times New Roman"/>
          <w:sz w:val="24"/>
        </w:rPr>
        <w:t>Third, the null forward guidance interaction result for the CRSP VW index (p = 0.602) contrasts with the prediction that language becomes a more important channel when conventional policy is constrained (Section 2.5). The NASDAQ interaction is statistically significant (p = 0.041) but economically implausible, with a coefficient of 202 basis points that likely reflects outlier influence. The more robust CRSP VW result shows no significant interaction, suggesting that the language channel of monetary policy does not systematically strengthen at the zero lower bound.</w:t>
      </w:r>
    </w:p>
    <w:p>
      <w:pPr>
        <w:spacing w:before="0" w:after="0" w:line="276" w:lineRule="auto"/>
        <w:ind w:firstLine="720"/>
      </w:pPr>
      <w:r>
        <w:rPr>
          <w:rFonts w:ascii="Times New Roman" w:hAnsi="Times New Roman"/>
          <w:sz w:val="24"/>
        </w:rPr>
        <w:t>However, this null result masks an important regime-dependent effect. When we split the sample by decision type (Section 6.6, Appendix C.1), the rate cut regime shows the path shock highly significant (p &lt; 0.001) with an R² of 43.1% — by far the strongest result in the paper.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 During rate hike or unchanged meetings, the path shock captures a broader policy stance signal that does not translate into specific language changes. This regime-dependent finding reconciles the null full-sample H4 with the theoretical prediction that forward guidance matters: it matters, but selectively.</w:t>
      </w:r>
    </w:p>
    <w:p>
      <w:pPr>
        <w:spacing w:before="0" w:after="0" w:line="276" w:lineRule="auto"/>
        <w:ind w:firstLine="720"/>
      </w:pPr>
      <w:r>
        <w:rPr>
          <w:rFonts w:ascii="Times New Roman" w:hAnsi="Times New Roman"/>
          <w:sz w:val="24"/>
        </w:rPr>
        <w:t>A fourth finding concerns the role of chair-specific communication styles. The chair fixed effects analysis (Section 6.13) reveals that the Powell dummy is significant (p = 0.023) in the sentiment regression, and the target shock becomes insignificant (p = 0.471) once chair effects are included. This suggests that the cross-chair variation in communication style partially absorbs the target shock effect on sentiment — chair fixed effects explain 27% of sentiment variation, suggesting that FOMC language is partly shaped by institutional communication styles. However, the target shock remains significant in the asset return regression (p = 0.043) even with chair fixed effects, indicating that the financial market response to the target shock is not driven by chair-specific factors. The asymmetry is informative: sentiment is partially a function of who is speaking, but asset prices respond to what is decided, not who decides it.</w:t>
      </w:r>
    </w:p>
    <w:p>
      <w:pPr>
        <w:spacing w:before="0" w:after="0" w:line="276" w:lineRule="auto"/>
        <w:ind w:firstLine="720"/>
      </w:pPr>
      <w:r>
        <w:rPr>
          <w:rFonts w:ascii="Times New Roman" w:hAnsi="Times New Roman"/>
          <w:sz w:val="24"/>
        </w:rPr>
        <w:t>A fifth,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w:t>
      </w:r>
      <w:r>
        <w:rPr>
          <w:rFonts w:ascii="Times New Roman" w:hAnsi="Times New Roman"/>
          <w:i/>
          <w:sz w:val="24"/>
        </w:rPr>
        <w:t>β₄ &gt; 0</w:t>
      </w:r>
      <w:r>
        <w:rPr>
          <w:rFonts w:ascii="Times New Roman" w:hAnsi="Times New Roman"/>
          <w:sz w:val="24"/>
        </w:rPr>
        <w:t>),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spacing w:before="0" w:after="0" w:line="276" w:lineRule="auto"/>
        <w:ind w:firstLine="720"/>
      </w:pPr>
      <w:r>
        <w:rPr>
          <w:rFonts w:ascii="Times New Roman" w:hAnsi="Times New Roman"/>
          <w:sz w:val="24"/>
        </w:rPr>
        <w:t>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spacing w:before="0" w:after="0" w:line="276" w:lineRule="auto"/>
        <w:ind w:firstLine="720"/>
      </w:pPr>
      <w:r>
        <w:rPr>
          <w:rFonts w:ascii="Times New Roman" w:hAnsi="Times New Roman"/>
          <w:sz w:val="24"/>
        </w:rPr>
        <w:t>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spacing w:before="0" w:after="0" w:line="276" w:lineRule="auto"/>
        <w:ind w:firstLine="720"/>
      </w:pPr>
      <w:r>
        <w:rPr>
          <w:rFonts w:ascii="Times New Roman" w:hAnsi="Times New Roman"/>
          <w:sz w:val="24"/>
        </w:rPr>
        <w:t>Fourth, the dramatic sensitivity of results to the choice of surprise measure (Section 5.2) reinforces the methodological concerns raised in Section 2.7.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p>
      <w:pPr>
        <w:spacing w:before="240" w:after="120" w:line="276" w:lineRule="auto"/>
      </w:pPr>
      <w:r>
        <w:rPr>
          <w:rFonts w:ascii="Times New Roman" w:hAnsi="Times New Roman"/>
          <w:b/>
          <w:i/>
          <w:sz w:val="24"/>
        </w:rPr>
        <w:t>7.2 The Jarociński-Karadi Decomposition and Information Shocks</w:t>
      </w:r>
    </w:p>
    <w:p>
      <w:pPr>
        <w:spacing w:before="0" w:after="0" w:line="276" w:lineRule="auto"/>
        <w:ind w:firstLine="720"/>
      </w:pPr>
      <w:r>
        <w:rPr>
          <w:rFonts w:ascii="Times New Roman" w:hAnsi="Times New Roman"/>
          <w:sz w:val="24"/>
        </w:rPr>
        <w:t>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spacing w:before="0" w:after="0" w:line="276" w:lineRule="auto"/>
        <w:ind w:firstLine="720"/>
      </w:pPr>
      <w:r>
        <w:rPr>
          <w:rFonts w:ascii="Times New Roman" w:hAnsi="Times New Roman"/>
          <w:sz w:val="24"/>
        </w:rPr>
        <w:t>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p>
      <w:pPr>
        <w:spacing w:before="240" w:after="120" w:line="276" w:lineRule="auto"/>
      </w:pPr>
      <w:r>
        <w:rPr>
          <w:rFonts w:ascii="Times New Roman" w:hAnsi="Times New Roman"/>
          <w:b/>
          <w:i/>
          <w:sz w:val="24"/>
        </w:rPr>
        <w:t>7.3 Sentiment Measurement and the CB Dictionary</w:t>
      </w:r>
    </w:p>
    <w:p>
      <w:pPr>
        <w:spacing w:before="0" w:after="0" w:line="276" w:lineRule="auto"/>
        <w:ind w:firstLine="720"/>
      </w:pPr>
      <w:r>
        <w:rPr>
          <w:rFonts w:ascii="Times New Roman" w:hAnsi="Times New Roman"/>
          <w:sz w:val="24"/>
        </w:rPr>
        <w:t>Our finding that the CB score alone yields substantially stronger results than the combined LM+CB score (R² = 3.90% vs. 1.57%, with both target and path shocks significant at p &lt; 0.05) has important implications for the sentiment analysis literature (Section 2.4).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spacing w:before="0" w:after="0" w:line="276" w:lineRule="auto"/>
        <w:ind w:firstLine="720"/>
      </w:pPr>
      <w:r>
        <w:rPr>
          <w:rFonts w:ascii="Times New Roman" w:hAnsi="Times New Roman"/>
          <w:sz w:val="24"/>
        </w:rPr>
        <w:t>However, we note that the CB dictionary itself has limitations. The equal-weighted combination of hawkish and dovish word counts does not account for the intensity or context of word usage. A word like "vigilant" 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spacing w:before="0" w:after="0" w:line="276" w:lineRule="auto"/>
        <w:ind w:firstLine="720"/>
      </w:pPr>
      <w:r>
        <w:rPr>
          <w:rFonts w:ascii="Times New Roman" w:hAnsi="Times New Roman"/>
          <w:sz w:val="24"/>
        </w:rP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spacing w:before="0" w:after="0" w:line="276" w:lineRule="auto"/>
        <w:ind w:firstLine="720"/>
      </w:pPr>
      <w:r>
        <w:rPr>
          <w:rFonts w:ascii="Times New Roman" w:hAnsi="Times New Roman"/>
          <w:sz w:val="24"/>
        </w:rPr>
        <w:t>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spacing w:before="0" w:after="0" w:line="276" w:lineRule="auto"/>
        <w:ind w:firstLine="720"/>
      </w:pPr>
      <w:r>
        <w:rPr>
          <w:rFonts w:ascii="Times New Roman" w:hAnsi="Times New Roman"/>
          <w:sz w:val="24"/>
        </w:rPr>
        <w:t>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spacing w:before="0" w:after="0" w:line="276" w:lineRule="auto"/>
        <w:ind w:firstLine="720"/>
      </w:pPr>
      <w:r>
        <w:rPr>
          <w:rFonts w:ascii="Times New Roman" w:hAnsi="Times New Roman"/>
          <w:sz w:val="24"/>
        </w:rPr>
        <w:t>To explore whether dimension decomposition improves our results, we construct separate sentiment scores for forward-looking language (sentences containing "expect," "anticipate," "will," "project," or "forecast") and current-assessment language (sentences containing "recent," "current," "has," "was," or "remains").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spacing w:before="0" w:after="0" w:line="276" w:lineRule="auto"/>
        <w:ind w:firstLine="720"/>
      </w:pPr>
      <w:r>
        <w:rPr>
          <w:rFonts w:ascii="Times New Roman" w:hAnsi="Times New Roman"/>
          <w:sz w:val="24"/>
        </w:rPr>
        <w:t>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p>
      <w:pPr>
        <w:spacing w:before="240" w:after="120" w:line="276" w:lineRule="auto"/>
      </w:pPr>
      <w:r>
        <w:rPr>
          <w:rFonts w:ascii="Times New Roman" w:hAnsi="Times New Roman"/>
          <w:b/>
          <w:i/>
          <w:sz w:val="24"/>
        </w:rPr>
        <w:t>7.4 Limitations and Future Directions</w:t>
      </w:r>
    </w:p>
    <w:p>
      <w:pPr>
        <w:spacing w:before="0" w:after="0" w:line="276" w:lineRule="auto"/>
        <w:ind w:firstLine="720"/>
      </w:pPr>
      <w:r>
        <w:rPr>
          <w:rFonts w:ascii="Times New Roman" w:hAnsi="Times New Roman"/>
          <w:sz w:val="24"/>
        </w:rPr>
        <w:t>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spacing w:before="0" w:after="0" w:line="276" w:lineRule="auto"/>
        <w:ind w:firstLine="720"/>
      </w:pPr>
      <w:r>
        <w:rPr>
          <w:rFonts w:ascii="Times New Roman" w:hAnsi="Times New Roman"/>
          <w:sz w:val="24"/>
        </w:rPr>
        <w:t>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spacing w:before="0" w:after="0" w:line="276" w:lineRule="auto"/>
        <w:ind w:firstLine="720"/>
      </w:pPr>
      <w:r>
        <w:rPr>
          <w:rFonts w:ascii="Times New Roman" w:hAnsi="Times New Roman"/>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spacing w:before="0" w:after="0" w:line="276" w:lineRule="auto"/>
        <w:ind w:firstLine="720"/>
      </w:pPr>
      <w:r>
        <w:rPr>
          <w:rFonts w:ascii="Times New Roman" w:hAnsi="Times New Roman"/>
          <w:sz w:val="24"/>
        </w:rPr>
      </w:r>
      <w:r>
        <w:rPr>
          <w:rFonts w:ascii="Times New Roman" w:hAnsi="Times New Roman"/>
          <w:b/>
          <w:sz w:val="24"/>
        </w:rPr>
        <w:t>Data Availability.</w:t>
      </w:r>
      <w:r>
        <w:rPr>
          <w:rFonts w:ascii="Times New Roman" w:hAnsi="Times New Roman"/>
          <w:sz w:val="24"/>
        </w:rPr>
        <w:t xml:space="preserve"> 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spacing w:before="240" w:after="120" w:line="276" w:lineRule="auto"/>
      </w:pPr>
      <w:r>
        <w:rPr>
          <w:rFonts w:ascii="Times New Roman" w:hAnsi="Times New Roman"/>
          <w:b/>
          <w:sz w:val="26"/>
        </w:rPr>
        <w:t>References</w:t>
      </w:r>
    </w:p>
    <w:p>
      <w:pPr>
        <w:spacing w:before="0" w:after="0" w:line="276" w:lineRule="auto"/>
        <w:ind w:firstLine="720"/>
      </w:pPr>
      <w:r>
        <w:rPr>
          <w:rFonts w:ascii="Times New Roman" w:hAnsi="Times New Roman"/>
          <w:sz w:val="24"/>
        </w:rPr>
        <w:t>Acosta, M. (2022). Monetary Policy Surprises and the FOMC. Working Paper.</w:t>
      </w:r>
    </w:p>
    <w:p>
      <w:pPr>
        <w:spacing w:before="0" w:after="0" w:line="276" w:lineRule="auto"/>
        <w:ind w:firstLine="720"/>
      </w:pPr>
      <w:r>
        <w:rPr>
          <w:rFonts w:ascii="Times New Roman" w:hAnsi="Times New Roman"/>
          <w:sz w:val="24"/>
        </w:rPr>
        <w:t xml:space="preserve">Apel, M., &amp; Blix, G. (2014). How Is Inflation Affected by Globalisation? </w:t>
      </w:r>
      <w:r>
        <w:rPr>
          <w:rFonts w:ascii="Times New Roman" w:hAnsi="Times New Roman"/>
          <w:i/>
          <w:sz w:val="24"/>
        </w:rPr>
        <w:t>Sveriges Riksbank Economic Review</w:t>
      </w:r>
      <w:r>
        <w:rPr>
          <w:rFonts w:ascii="Times New Roman" w:hAnsi="Times New Roman"/>
          <w:sz w:val="24"/>
        </w:rPr>
        <w:t>, 2014(2), 51–75.</w:t>
      </w:r>
    </w:p>
    <w:p>
      <w:pPr>
        <w:spacing w:before="0" w:after="0" w:line="276" w:lineRule="auto"/>
        <w:ind w:firstLine="720"/>
      </w:pPr>
      <w:r>
        <w:rPr>
          <w:rFonts w:ascii="Times New Roman" w:hAnsi="Times New Roman"/>
          <w:sz w:val="24"/>
        </w:rPr>
        <w:t xml:space="preserve">Bauer, M. D., &amp; Swanson, E. T. (2023). A Reassessment of Monetary Policy Surprises and High-Frequency Identification. </w:t>
      </w:r>
      <w:r>
        <w:rPr>
          <w:rFonts w:ascii="Times New Roman" w:hAnsi="Times New Roman"/>
          <w:i/>
          <w:sz w:val="24"/>
        </w:rPr>
        <w:t>NBER Macroeconomics Annual</w:t>
      </w:r>
      <w:r>
        <w:rPr>
          <w:rFonts w:ascii="Times New Roman" w:hAnsi="Times New Roman"/>
          <w:sz w:val="24"/>
        </w:rPr>
        <w:t>, 37(1), 87–155.</w:t>
      </w:r>
    </w:p>
    <w:p>
      <w:pPr>
        <w:spacing w:before="0" w:after="0" w:line="276" w:lineRule="auto"/>
        <w:ind w:firstLine="720"/>
      </w:pPr>
      <w:r>
        <w:rPr>
          <w:rFonts w:ascii="Times New Roman" w:hAnsi="Times New Roman"/>
          <w:sz w:val="24"/>
        </w:rPr>
        <w:t xml:space="preserve">Blinder, A. S., Ehrmann, M., Fratzscher, M., De Haan, J., &amp; Jansen, D. J. (2008). Central Bank Communication and Monetary Policy: A Survey of Theory and Evidence. </w:t>
      </w:r>
      <w:r>
        <w:rPr>
          <w:rFonts w:ascii="Times New Roman" w:hAnsi="Times New Roman"/>
          <w:i/>
          <w:sz w:val="24"/>
        </w:rPr>
        <w:t>Journal of Economic Literature</w:t>
      </w:r>
      <w:r>
        <w:rPr>
          <w:rFonts w:ascii="Times New Roman" w:hAnsi="Times New Roman"/>
          <w:sz w:val="24"/>
        </w:rPr>
        <w:t>, 46(4), 910–945.</w:t>
      </w:r>
    </w:p>
    <w:p>
      <w:pPr>
        <w:spacing w:before="0" w:after="0" w:line="276" w:lineRule="auto"/>
        <w:ind w:firstLine="720"/>
      </w:pPr>
      <w:r>
        <w:rPr>
          <w:rFonts w:ascii="Times New Roman" w:hAnsi="Times New Roman"/>
          <w:sz w:val="24"/>
        </w:rPr>
        <w:t xml:space="preserve">Campbell, J. R., Evans, C. L., Fisher, J. D. M., &amp; Justiniano, A. (2012). Macroeconomic Effects of Federal Reserve Forward Guidance. </w:t>
      </w:r>
      <w:r>
        <w:rPr>
          <w:rFonts w:ascii="Times New Roman" w:hAnsi="Times New Roman"/>
          <w:i/>
          <w:sz w:val="24"/>
        </w:rPr>
        <w:t>Brookings Papers on Economic Activity</w:t>
      </w:r>
      <w:r>
        <w:rPr>
          <w:rFonts w:ascii="Times New Roman" w:hAnsi="Times New Roman"/>
          <w:sz w:val="24"/>
        </w:rPr>
        <w:t>, Spring, 1–80.</w:t>
      </w:r>
    </w:p>
    <w:p>
      <w:pPr>
        <w:spacing w:before="0" w:after="0" w:line="276" w:lineRule="auto"/>
        <w:ind w:firstLine="720"/>
      </w:pPr>
      <w:r>
        <w:rPr>
          <w:rFonts w:ascii="Times New Roman" w:hAnsi="Times New Roman"/>
          <w:sz w:val="24"/>
        </w:rPr>
        <w:t xml:space="preserve">Chen, K., Granville, B., &amp; Matousek, R. (2025). Decoding Central Bank Communications with Large Language Models. </w:t>
      </w:r>
      <w:r>
        <w:rPr>
          <w:rFonts w:ascii="Times New Roman" w:hAnsi="Times New Roman"/>
          <w:i/>
          <w:sz w:val="24"/>
        </w:rPr>
        <w:t>Journal of Monetary Economics</w:t>
      </w:r>
      <w:r>
        <w:rPr>
          <w:rFonts w:ascii="Times New Roman" w:hAnsi="Times New Roman"/>
          <w:sz w:val="24"/>
        </w:rPr>
        <w:t>, forthcoming.</w:t>
      </w:r>
    </w:p>
    <w:p>
      <w:pPr>
        <w:spacing w:before="0" w:after="0" w:line="276" w:lineRule="auto"/>
        <w:ind w:firstLine="720"/>
      </w:pPr>
      <w:r>
        <w:rPr>
          <w:rFonts w:ascii="Times New Roman" w:hAnsi="Times New Roman"/>
          <w:sz w:val="24"/>
        </w:rPr>
        <w:t xml:space="preserve">Christiano, L. J., Eichenbaum, M., &amp; Evans, C. L. (1999). Monetary Policy Shocks: What Have We Learned and to What End? In J. B. Taylor &amp; M. Woodford (Eds.), </w:t>
      </w:r>
      <w:r>
        <w:rPr>
          <w:rFonts w:ascii="Times New Roman" w:hAnsi="Times New Roman"/>
          <w:i/>
          <w:sz w:val="24"/>
        </w:rPr>
        <w:t>Handbook of Macroeconomics</w:t>
      </w:r>
      <w:r>
        <w:rPr>
          <w:rFonts w:ascii="Times New Roman" w:hAnsi="Times New Roman"/>
          <w:sz w:val="24"/>
        </w:rPr>
        <w:t xml:space="preserve"> (Vol. 1, pp. 65–148). Elsevier.</w:t>
      </w:r>
    </w:p>
    <w:p>
      <w:pPr>
        <w:spacing w:before="0" w:after="0" w:line="276" w:lineRule="auto"/>
        <w:ind w:firstLine="720"/>
      </w:pPr>
      <w:r>
        <w:rPr>
          <w:rFonts w:ascii="Times New Roman" w:hAnsi="Times New Roman"/>
          <w:sz w:val="24"/>
        </w:rPr>
        <w:t xml:space="preserve">Cieslak, A., Morse, A., &amp; Vissing-Jorgensen, A. (2019). Stock Returns over the FOMC Cycle. </w:t>
      </w:r>
      <w:r>
        <w:rPr>
          <w:rFonts w:ascii="Times New Roman" w:hAnsi="Times New Roman"/>
          <w:i/>
          <w:sz w:val="24"/>
        </w:rPr>
        <w:t>Journal of Financial Economics</w:t>
      </w:r>
      <w:r>
        <w:rPr>
          <w:rFonts w:ascii="Times New Roman" w:hAnsi="Times New Roman"/>
          <w:sz w:val="24"/>
        </w:rPr>
        <w:t>, 133(1), 114–137.</w:t>
      </w:r>
    </w:p>
    <w:p>
      <w:pPr>
        <w:spacing w:before="0" w:after="0" w:line="276" w:lineRule="auto"/>
        <w:ind w:firstLine="720"/>
      </w:pPr>
      <w:r>
        <w:rPr>
          <w:rFonts w:ascii="Times New Roman" w:hAnsi="Times New Roman"/>
          <w:sz w:val="24"/>
        </w:rPr>
        <w:t xml:space="preserve">Devlin, J., Chang, M., Lee, K., &amp; Toutanova, K. (2019). BERT: Pre-training of Deep Bidirectional Transformers for Language Understanding. </w:t>
      </w:r>
      <w:r>
        <w:rPr>
          <w:rFonts w:ascii="Times New Roman" w:hAnsi="Times New Roman"/>
          <w:i/>
          <w:sz w:val="24"/>
        </w:rPr>
        <w:t>Proceedings of NAACL-HLT 2019</w:t>
      </w:r>
      <w:r>
        <w:rPr>
          <w:rFonts w:ascii="Times New Roman" w:hAnsi="Times New Roman"/>
          <w:sz w:val="24"/>
        </w:rPr>
        <w:t>, 4171–4186.</w:t>
      </w:r>
    </w:p>
    <w:p>
      <w:pPr>
        <w:spacing w:before="0" w:after="0" w:line="276" w:lineRule="auto"/>
        <w:ind w:firstLine="720"/>
      </w:pPr>
      <w:r>
        <w:rPr>
          <w:rFonts w:ascii="Times New Roman" w:hAnsi="Times New Roman"/>
          <w:sz w:val="24"/>
        </w:rPr>
        <w:t xml:space="preserve">Federal Reserve Board (2024). Using Generative AI Models to Understand FOMC Monetary Policy Discussions. </w:t>
      </w:r>
      <w:r>
        <w:rPr>
          <w:rFonts w:ascii="Times New Roman" w:hAnsi="Times New Roman"/>
          <w:i/>
          <w:sz w:val="24"/>
        </w:rPr>
        <w:t>FEDS Notes</w:t>
      </w:r>
      <w:r>
        <w:rPr>
          <w:rFonts w:ascii="Times New Roman" w:hAnsi="Times New Roman"/>
          <w:sz w:val="24"/>
        </w:rPr>
        <w:t>, December 6, 2024.</w:t>
      </w:r>
    </w:p>
    <w:p>
      <w:pPr>
        <w:spacing w:before="0" w:after="0" w:line="276" w:lineRule="auto"/>
        <w:ind w:firstLine="720"/>
      </w:pPr>
      <w:r>
        <w:rPr>
          <w:rFonts w:ascii="Times New Roman" w:hAnsi="Times New Roman"/>
          <w:sz w:val="24"/>
        </w:rPr>
        <w:t xml:space="preserve">Friedman, M., &amp; Schwartz, A. J. (1963). </w:t>
      </w:r>
      <w:r>
        <w:rPr>
          <w:rFonts w:ascii="Times New Roman" w:hAnsi="Times New Roman"/>
          <w:i/>
          <w:sz w:val="24"/>
        </w:rPr>
        <w:t>A Monetary History of the United States, 1867–1960</w:t>
      </w:r>
      <w:r>
        <w:rPr>
          <w:rFonts w:ascii="Times New Roman" w:hAnsi="Times New Roman"/>
          <w:sz w:val="24"/>
        </w:rPr>
        <w:t>. Princeton University Press.</w:t>
      </w:r>
    </w:p>
    <w:p>
      <w:pPr>
        <w:spacing w:before="0" w:after="0" w:line="276" w:lineRule="auto"/>
        <w:ind w:firstLine="720"/>
      </w:pPr>
      <w:r>
        <w:rPr>
          <w:rFonts w:ascii="Times New Roman" w:hAnsi="Times New Roman"/>
          <w:sz w:val="24"/>
        </w:rPr>
        <w:t xml:space="preserve">Gambacorta, L., Kwon, B., Park, T., Patelli, P., &amp; Zhu, S. (2024). CB-LMs: Language Models for Central Banking. </w:t>
      </w:r>
      <w:r>
        <w:rPr>
          <w:rFonts w:ascii="Times New Roman" w:hAnsi="Times New Roman"/>
          <w:i/>
          <w:sz w:val="24"/>
        </w:rPr>
        <w:t>BIS Working Paper</w:t>
      </w:r>
      <w:r>
        <w:rPr>
          <w:rFonts w:ascii="Times New Roman" w:hAnsi="Times New Roman"/>
          <w:sz w:val="24"/>
        </w:rPr>
        <w:t>, No. 1215.</w:t>
      </w:r>
    </w:p>
    <w:p>
      <w:pPr>
        <w:spacing w:before="0" w:after="0" w:line="276" w:lineRule="auto"/>
        <w:ind w:firstLine="720"/>
      </w:pPr>
      <w:r>
        <w:rPr>
          <w:rFonts w:ascii="Times New Roman" w:hAnsi="Times New Roman"/>
          <w:sz w:val="24"/>
        </w:rPr>
        <w:t xml:space="preserve">Gambacorta, L., Kwon, B., Park, T., Patelli, P., &amp; Zhu, S. (2025). From Text to Quantified Insights: A Large-Scale LLM Analysis of Central Bank Communication. </w:t>
      </w:r>
      <w:r>
        <w:rPr>
          <w:rFonts w:ascii="Times New Roman" w:hAnsi="Times New Roman"/>
          <w:i/>
          <w:sz w:val="24"/>
        </w:rPr>
        <w:t>IMF Working Paper</w:t>
      </w:r>
      <w:r>
        <w:rPr>
          <w:rFonts w:ascii="Times New Roman" w:hAnsi="Times New Roman"/>
          <w:sz w:val="24"/>
        </w:rPr>
        <w:t>, 2025/109.</w:t>
      </w:r>
    </w:p>
    <w:p>
      <w:pPr>
        <w:spacing w:before="0" w:after="0" w:line="276" w:lineRule="auto"/>
        <w:ind w:firstLine="720"/>
      </w:pPr>
      <w:r>
        <w:rPr>
          <w:rFonts w:ascii="Times New Roman" w:hAnsi="Times New Roman"/>
          <w:sz w:val="24"/>
        </w:rPr>
        <w:t xml:space="preserve">Gertler, M., &amp; Gilchrist, S. (1994). Monetary Policy, Business Cycles, and the Behavior of Small Manufacturing Firms. </w:t>
      </w:r>
      <w:r>
        <w:rPr>
          <w:rFonts w:ascii="Times New Roman" w:hAnsi="Times New Roman"/>
          <w:i/>
          <w:sz w:val="24"/>
        </w:rPr>
        <w:t>Quarterly Journal of Economics</w:t>
      </w:r>
      <w:r>
        <w:rPr>
          <w:rFonts w:ascii="Times New Roman" w:hAnsi="Times New Roman"/>
          <w:sz w:val="24"/>
        </w:rPr>
        <w:t>, 109(2), 309–340.</w:t>
      </w:r>
    </w:p>
    <w:p>
      <w:pPr>
        <w:spacing w:before="0" w:after="0" w:line="276" w:lineRule="auto"/>
        <w:ind w:firstLine="720"/>
      </w:pPr>
      <w:r>
        <w:rPr>
          <w:rFonts w:ascii="Times New Roman" w:hAnsi="Times New Roman"/>
          <w:sz w:val="24"/>
        </w:rPr>
        <w:t xml:space="preserve">Gürkaynak, R. S., Sack, B., &amp; Swanson, E. T. (2005a). The Sensitivity of Long-Term Interest Rates to Economic News: Evidence and Implications for Monetary Policy. </w:t>
      </w:r>
      <w:r>
        <w:rPr>
          <w:rFonts w:ascii="Times New Roman" w:hAnsi="Times New Roman"/>
          <w:i/>
          <w:sz w:val="24"/>
        </w:rPr>
        <w:t>American Economic Review</w:t>
      </w:r>
      <w:r>
        <w:rPr>
          <w:rFonts w:ascii="Times New Roman" w:hAnsi="Times New Roman"/>
          <w:sz w:val="24"/>
        </w:rPr>
        <w:t>, 95(1), 425–436.</w:t>
      </w:r>
    </w:p>
    <w:p>
      <w:pPr>
        <w:spacing w:before="0" w:after="0" w:line="276" w:lineRule="auto"/>
        <w:ind w:firstLine="720"/>
      </w:pPr>
      <w:r>
        <w:rPr>
          <w:rFonts w:ascii="Times New Roman" w:hAnsi="Times New Roman"/>
          <w:sz w:val="24"/>
        </w:rPr>
        <w:t xml:space="preserve">Gürkaynak, R. S., Sack, B., &amp; Swanson, E. T. (2005b). Do Actions Speak Louder Than Words? The Response of Asset Prices to Monetary Policy Actions and Statements. </w:t>
      </w:r>
      <w:r>
        <w:rPr>
          <w:rFonts w:ascii="Times New Roman" w:hAnsi="Times New Roman"/>
          <w:i/>
          <w:sz w:val="24"/>
        </w:rPr>
        <w:t>International Journal of Central Banking</w:t>
      </w:r>
      <w:r>
        <w:rPr>
          <w:rFonts w:ascii="Times New Roman" w:hAnsi="Times New Roman"/>
          <w:sz w:val="24"/>
        </w:rPr>
        <w:t>, 1(1), 55–93.</w:t>
      </w:r>
    </w:p>
    <w:p>
      <w:pPr>
        <w:spacing w:before="0" w:after="0" w:line="276" w:lineRule="auto"/>
        <w:ind w:firstLine="720"/>
      </w:pPr>
      <w:r>
        <w:rPr>
          <w:rFonts w:ascii="Times New Roman" w:hAnsi="Times New Roman"/>
          <w:sz w:val="24"/>
        </w:rPr>
        <w:t xml:space="preserve">Hansen, S., McMahon, M., &amp; Prat, A. (2018). Transparency and Deliberation within the FOMC: A Computational Linguistics Approach. </w:t>
      </w:r>
      <w:r>
        <w:rPr>
          <w:rFonts w:ascii="Times New Roman" w:hAnsi="Times New Roman"/>
          <w:i/>
          <w:sz w:val="24"/>
        </w:rPr>
        <w:t>Quarterly Journal of Economics</w:t>
      </w:r>
      <w:r>
        <w:rPr>
          <w:rFonts w:ascii="Times New Roman" w:hAnsi="Times New Roman"/>
          <w:sz w:val="24"/>
        </w:rPr>
        <w:t>, 133(2), 801–870.</w:t>
      </w:r>
    </w:p>
    <w:p>
      <w:pPr>
        <w:spacing w:before="0" w:after="0" w:line="276" w:lineRule="auto"/>
        <w:ind w:firstLine="720"/>
      </w:pPr>
      <w:r>
        <w:rPr>
          <w:rFonts w:ascii="Times New Roman" w:hAnsi="Times New Roman"/>
          <w:sz w:val="24"/>
        </w:rPr>
        <w:t xml:space="preserve">Huang, A. H., Zang, A. Y., &amp; Zheng, R. (2022). Evidence on the Information Content of Text in Analyst Reports. </w:t>
      </w:r>
      <w:r>
        <w:rPr>
          <w:rFonts w:ascii="Times New Roman" w:hAnsi="Times New Roman"/>
          <w:i/>
          <w:sz w:val="24"/>
        </w:rPr>
        <w:t>Review of Accounting Studies</w:t>
      </w:r>
      <w:r>
        <w:rPr>
          <w:rFonts w:ascii="Times New Roman" w:hAnsi="Times New Roman"/>
          <w:sz w:val="24"/>
        </w:rPr>
        <w:t>, 27, 85–119.</w:t>
      </w:r>
    </w:p>
    <w:p>
      <w:pPr>
        <w:spacing w:before="0" w:after="0" w:line="276" w:lineRule="auto"/>
        <w:ind w:firstLine="720"/>
      </w:pPr>
      <w:r>
        <w:rPr>
          <w:rFonts w:ascii="Times New Roman" w:hAnsi="Times New Roman"/>
          <w:sz w:val="24"/>
        </w:rPr>
        <w:t xml:space="preserve">Jarociński, M., &amp; Karadi, P. (2020). Deconstructing Monetary Policy Surprises—The Role of Information Shocks. </w:t>
      </w:r>
      <w:r>
        <w:rPr>
          <w:rFonts w:ascii="Times New Roman" w:hAnsi="Times New Roman"/>
          <w:i/>
          <w:sz w:val="24"/>
        </w:rPr>
        <w:t>American Economic Journal: Macroeconomics</w:t>
      </w:r>
      <w:r>
        <w:rPr>
          <w:rFonts w:ascii="Times New Roman" w:hAnsi="Times New Roman"/>
          <w:sz w:val="24"/>
        </w:rPr>
        <w:t>, 12(2), 1–43.</w:t>
      </w:r>
    </w:p>
    <w:p>
      <w:pPr>
        <w:spacing w:before="0" w:after="0" w:line="276" w:lineRule="auto"/>
        <w:ind w:firstLine="720"/>
      </w:pPr>
      <w:r>
        <w:rPr>
          <w:rFonts w:ascii="Times New Roman" w:hAnsi="Times New Roman"/>
          <w:sz w:val="24"/>
        </w:rPr>
        <w:t>Jeenas, P. (2019). Firm Balance Sheet Liquidity, Monetary Policy Shocks, and Investment Dynamics. Working Paper, Stockholm School of Economics.</w:t>
      </w:r>
    </w:p>
    <w:p>
      <w:pPr>
        <w:spacing w:before="0" w:after="0" w:line="276" w:lineRule="auto"/>
        <w:ind w:firstLine="720"/>
      </w:pPr>
      <w:r>
        <w:rPr>
          <w:rFonts w:ascii="Times New Roman" w:hAnsi="Times New Roman"/>
          <w:sz w:val="24"/>
        </w:rPr>
        <w:t xml:space="preserve">Kuttner, K. N. (2001). Monetary Policy Surprises and Interest Rates: Evidence from the Fed Funds Futures Market. </w:t>
      </w:r>
      <w:r>
        <w:rPr>
          <w:rFonts w:ascii="Times New Roman" w:hAnsi="Times New Roman"/>
          <w:i/>
          <w:sz w:val="24"/>
        </w:rPr>
        <w:t>Journal of Monetary Economics</w:t>
      </w:r>
      <w:r>
        <w:rPr>
          <w:rFonts w:ascii="Times New Roman" w:hAnsi="Times New Roman"/>
          <w:sz w:val="24"/>
        </w:rPr>
        <w:t>, 47(3), 523–544.</w:t>
      </w:r>
    </w:p>
    <w:p>
      <w:pPr>
        <w:spacing w:before="0" w:after="0" w:line="276" w:lineRule="auto"/>
        <w:ind w:firstLine="720"/>
      </w:pPr>
      <w:r>
        <w:rPr>
          <w:rFonts w:ascii="Times New Roman" w:hAnsi="Times New Roman"/>
          <w:sz w:val="24"/>
        </w:rPr>
        <w:t xml:space="preserve">Loughran, T., &amp; McDonald, B. (2011). When Is a Liability Not a Liability? Textual Analysis, Dictionaries, and 10-Ks. </w:t>
      </w:r>
      <w:r>
        <w:rPr>
          <w:rFonts w:ascii="Times New Roman" w:hAnsi="Times New Roman"/>
          <w:i/>
          <w:sz w:val="24"/>
        </w:rPr>
        <w:t>Journal of Finance</w:t>
      </w:r>
      <w:r>
        <w:rPr>
          <w:rFonts w:ascii="Times New Roman" w:hAnsi="Times New Roman"/>
          <w:sz w:val="24"/>
        </w:rPr>
        <w:t>, 66(1), 35–65.</w:t>
      </w:r>
    </w:p>
    <w:p>
      <w:pPr>
        <w:spacing w:before="0" w:after="0" w:line="276" w:lineRule="auto"/>
        <w:ind w:firstLine="720"/>
      </w:pPr>
      <w:r>
        <w:rPr>
          <w:rFonts w:ascii="Times New Roman" w:hAnsi="Times New Roman"/>
          <w:sz w:val="24"/>
        </w:rPr>
        <w:t xml:space="preserve">Lucca, D. O., &amp; Trebbi, F. (2009). Measuring Central Bank Communication: An Automated Approach with Application to FOMC Statements. </w:t>
      </w:r>
      <w:r>
        <w:rPr>
          <w:rFonts w:ascii="Times New Roman" w:hAnsi="Times New Roman"/>
          <w:i/>
          <w:sz w:val="24"/>
        </w:rPr>
        <w:t>American Economic Journal: Applied Economics</w:t>
      </w:r>
      <w:r>
        <w:rPr>
          <w:rFonts w:ascii="Times New Roman" w:hAnsi="Times New Roman"/>
          <w:sz w:val="24"/>
        </w:rPr>
        <w:t>, 1(2), 168–193.</w:t>
      </w:r>
    </w:p>
    <w:p>
      <w:pPr>
        <w:spacing w:before="0" w:after="0" w:line="276" w:lineRule="auto"/>
        <w:ind w:firstLine="720"/>
      </w:pPr>
      <w:r>
        <w:rPr>
          <w:rFonts w:ascii="Times New Roman" w:hAnsi="Times New Roman"/>
          <w:sz w:val="24"/>
        </w:rPr>
        <w:t xml:space="preserve">Nakamura, E., &amp; Steinsson, J. (2018). High-Frequency Identification of Monetary Non-Neutrality: The Information Effect. </w:t>
      </w:r>
      <w:r>
        <w:rPr>
          <w:rFonts w:ascii="Times New Roman" w:hAnsi="Times New Roman"/>
          <w:i/>
          <w:sz w:val="24"/>
        </w:rPr>
        <w:t>Quarterly Journal of Economics</w:t>
      </w:r>
      <w:r>
        <w:rPr>
          <w:rFonts w:ascii="Times New Roman" w:hAnsi="Times New Roman"/>
          <w:sz w:val="24"/>
        </w:rPr>
        <w:t>, 133(3), 1283–1330.</w:t>
      </w:r>
    </w:p>
    <w:p>
      <w:pPr>
        <w:spacing w:before="0" w:after="0" w:line="276" w:lineRule="auto"/>
        <w:ind w:firstLine="720"/>
      </w:pPr>
      <w:r>
        <w:rPr>
          <w:rFonts w:ascii="Times New Roman" w:hAnsi="Times New Roman"/>
          <w:sz w:val="24"/>
        </w:rPr>
        <w:t xml:space="preserve">Newey, W. K., &amp; West, K. D. (1987). A Simple, Positive Semi-Definite, Heteroskedasticity and Autocorrelation Consistent Covariance Matrix. </w:t>
      </w:r>
      <w:r>
        <w:rPr>
          <w:rFonts w:ascii="Times New Roman" w:hAnsi="Times New Roman"/>
          <w:i/>
          <w:sz w:val="24"/>
        </w:rPr>
        <w:t>Econometrica</w:t>
      </w:r>
      <w:r>
        <w:rPr>
          <w:rFonts w:ascii="Times New Roman" w:hAnsi="Times New Roman"/>
          <w:sz w:val="24"/>
        </w:rPr>
        <w:t>, 55(3), 703–708.</w:t>
      </w:r>
    </w:p>
    <w:p>
      <w:pPr>
        <w:spacing w:before="0" w:after="0" w:line="276" w:lineRule="auto"/>
        <w:ind w:firstLine="720"/>
      </w:pPr>
      <w:r>
        <w:rPr>
          <w:rFonts w:ascii="Times New Roman" w:hAnsi="Times New Roman"/>
          <w:sz w:val="24"/>
        </w:rPr>
        <w:t xml:space="preserve">Newey, W. K., &amp; West, K. D. (1994). Automatic Lag Selection in Covariance Matrix Estimation. </w:t>
      </w:r>
      <w:r>
        <w:rPr>
          <w:rFonts w:ascii="Times New Roman" w:hAnsi="Times New Roman"/>
          <w:i/>
          <w:sz w:val="24"/>
        </w:rPr>
        <w:t>Review of Economic Studies</w:t>
      </w:r>
      <w:r>
        <w:rPr>
          <w:rFonts w:ascii="Times New Roman" w:hAnsi="Times New Roman"/>
          <w:sz w:val="24"/>
        </w:rPr>
        <w:t>, 61(4), 631–653.</w:t>
      </w:r>
    </w:p>
    <w:p>
      <w:pPr>
        <w:spacing w:before="0" w:after="0" w:line="276" w:lineRule="auto"/>
        <w:ind w:firstLine="720"/>
      </w:pPr>
      <w:r>
        <w:rPr>
          <w:rFonts w:ascii="Times New Roman" w:hAnsi="Times New Roman"/>
          <w:sz w:val="24"/>
        </w:rPr>
        <w:t xml:space="preserve">Romer, C. D., &amp; Romer, D. H. (1989). Does Monetary Policy Matter? A New Test in the Spirit of Friedman and Schwartz. </w:t>
      </w:r>
      <w:r>
        <w:rPr>
          <w:rFonts w:ascii="Times New Roman" w:hAnsi="Times New Roman"/>
          <w:i/>
          <w:sz w:val="24"/>
        </w:rPr>
        <w:t>NBER Macroeconomics Annual</w:t>
      </w:r>
      <w:r>
        <w:rPr>
          <w:rFonts w:ascii="Times New Roman" w:hAnsi="Times New Roman"/>
          <w:sz w:val="24"/>
        </w:rPr>
        <w:t>, 4, 121–184.</w:t>
      </w:r>
    </w:p>
    <w:p>
      <w:pPr>
        <w:spacing w:before="0" w:after="0" w:line="276" w:lineRule="auto"/>
        <w:ind w:firstLine="720"/>
      </w:pPr>
      <w:r>
        <w:rPr>
          <w:rFonts w:ascii="Times New Roman" w:hAnsi="Times New Roman"/>
          <w:sz w:val="24"/>
        </w:rPr>
        <w:t xml:space="preserve">Romer, C. D., &amp; Romer, D. H. (2000). Federal Reserve Information and the Behavior of Interest Rates. </w:t>
      </w:r>
      <w:r>
        <w:rPr>
          <w:rFonts w:ascii="Times New Roman" w:hAnsi="Times New Roman"/>
          <w:i/>
          <w:sz w:val="24"/>
        </w:rPr>
        <w:t>American Economic Review</w:t>
      </w:r>
      <w:r>
        <w:rPr>
          <w:rFonts w:ascii="Times New Roman" w:hAnsi="Times New Roman"/>
          <w:sz w:val="24"/>
        </w:rPr>
        <w:t>, 90(3), 429–457.</w:t>
      </w:r>
    </w:p>
    <w:p>
      <w:pPr>
        <w:spacing w:before="0" w:after="0" w:line="276" w:lineRule="auto"/>
        <w:ind w:firstLine="720"/>
      </w:pPr>
      <w:r>
        <w:rPr>
          <w:rFonts w:ascii="Times New Roman" w:hAnsi="Times New Roman"/>
          <w:sz w:val="24"/>
        </w:rPr>
        <w:t xml:space="preserve">Rosa, C. (2011). Words That Shake Traders: The Stock Market's Reaction to Central Bank Communication in Real Time. </w:t>
      </w:r>
      <w:r>
        <w:rPr>
          <w:rFonts w:ascii="Times New Roman" w:hAnsi="Times New Roman"/>
          <w:i/>
          <w:sz w:val="24"/>
        </w:rPr>
        <w:t>Journal of Empirical Finance</w:t>
      </w:r>
      <w:r>
        <w:rPr>
          <w:rFonts w:ascii="Times New Roman" w:hAnsi="Times New Roman"/>
          <w:sz w:val="24"/>
        </w:rPr>
        <w:t>, 18(5), 915–934.</w:t>
      </w:r>
    </w:p>
    <w:p>
      <w:pPr>
        <w:spacing w:before="0" w:after="0" w:line="276" w:lineRule="auto"/>
        <w:ind w:firstLine="720"/>
      </w:pPr>
      <w:r>
        <w:rPr>
          <w:rFonts w:ascii="Times New Roman" w:hAnsi="Times New Roman"/>
          <w:sz w:val="24"/>
        </w:rPr>
        <w:t xml:space="preserve">Swanson, E. T. (2021). Measuring the Effects of Federal Reserve Forward Guidance and Asset Purchases on Financial Markets. </w:t>
      </w:r>
      <w:r>
        <w:rPr>
          <w:rFonts w:ascii="Times New Roman" w:hAnsi="Times New Roman"/>
          <w:i/>
          <w:sz w:val="24"/>
        </w:rPr>
        <w:t>Journal of Monetary Economics</w:t>
      </w:r>
      <w:r>
        <w:rPr>
          <w:rFonts w:ascii="Times New Roman" w:hAnsi="Times New Roman"/>
          <w:sz w:val="24"/>
        </w:rPr>
        <w:t>, 118, 32–53.</w:t>
      </w:r>
    </w:p>
    <w:p>
      <w:pPr>
        <w:spacing w:before="0" w:after="0" w:line="276" w:lineRule="auto"/>
        <w:ind w:firstLine="720"/>
      </w:pPr>
      <w:r>
        <w:rPr>
          <w:rFonts w:ascii="Times New Roman" w:hAnsi="Times New Roman"/>
          <w:sz w:val="24"/>
        </w:rPr>
        <w:t xml:space="preserve">Tadle, R. C. (2022). FOMC Minutes Sentiments and Their Impact on Financial Markets. </w:t>
      </w:r>
      <w:r>
        <w:rPr>
          <w:rFonts w:ascii="Times New Roman" w:hAnsi="Times New Roman"/>
          <w:i/>
          <w:sz w:val="24"/>
        </w:rPr>
        <w:t>Journal of Economics and Business</w:t>
      </w:r>
      <w:r>
        <w:rPr>
          <w:rFonts w:ascii="Times New Roman" w:hAnsi="Times New Roman"/>
          <w:sz w:val="24"/>
        </w:rPr>
        <w:t>, 118, 106021.</w:t>
      </w:r>
    </w:p>
    <w:p>
      <w:pPr>
        <w:spacing w:before="0" w:after="0" w:line="276" w:lineRule="auto"/>
        <w:ind w:firstLine="720"/>
      </w:pPr>
      <w:r>
        <w:rPr>
          <w:rFonts w:ascii="Times New Roman" w:hAnsi="Times New Roman"/>
          <w:sz w:val="24"/>
        </w:rPr>
        <w:t xml:space="preserve">White, H. (1980). A Heteroskedasticity-Consistent Covariance Matrix Estimator and a Direct Test for Heteroskedasticity. </w:t>
      </w:r>
      <w:r>
        <w:rPr>
          <w:rFonts w:ascii="Times New Roman" w:hAnsi="Times New Roman"/>
          <w:i/>
          <w:sz w:val="24"/>
        </w:rPr>
        <w:t>Econometrica</w:t>
      </w:r>
      <w:r>
        <w:rPr>
          <w:rFonts w:ascii="Times New Roman" w:hAnsi="Times New Roman"/>
          <w:sz w:val="24"/>
        </w:rPr>
        <w:t>, 48(4), 817–838.</w:t>
      </w:r>
    </w:p>
    <w:p>
      <w:pPr>
        <w:spacing w:before="0" w:after="0" w:line="276" w:lineRule="auto"/>
        <w:ind w:firstLine="720"/>
      </w:pPr>
      <w:r>
        <w:rPr>
          <w:rFonts w:ascii="Times New Roman" w:hAnsi="Times New Roman"/>
          <w:sz w:val="24"/>
        </w:rPr>
        <w:t>Weinig, M. (2025). Narrative Monetary Policy Surprises. SSRN Working Paper.</w:t>
      </w:r>
    </w:p>
    <w:p>
      <w:pPr>
        <w:spacing w:before="0" w:after="0" w:line="276" w:lineRule="auto"/>
        <w:ind w:firstLine="720"/>
      </w:pPr>
      <w:r>
        <w:rPr>
          <w:rFonts w:ascii="Times New Roman" w:hAnsi="Times New Roman"/>
          <w:sz w:val="24"/>
        </w:rPr>
        <w:t xml:space="preserve">Yang, Y., UY, M. C. S., &amp; Huang, A. (2020). FinBERT: A Pretrained Language Model for Financial Communications. </w:t>
      </w:r>
      <w:r>
        <w:rPr>
          <w:rFonts w:ascii="Times New Roman" w:hAnsi="Times New Roman"/>
          <w:i/>
          <w:sz w:val="24"/>
        </w:rPr>
        <w:t>arXiv preprint arXiv:2006.08097</w:t>
      </w:r>
      <w:r>
        <w:rPr>
          <w:rFonts w:ascii="Times New Roman" w:hAnsi="Times New Roman"/>
          <w:sz w:val="24"/>
        </w:rPr>
        <w:t>.</w:t>
      </w:r>
    </w:p>
    <w:p>
      <w:pPr>
        <w:spacing w:before="0" w:after="0" w:line="276" w:lineRule="auto"/>
        <w:ind w:firstLine="720"/>
      </w:pPr>
      <w:r>
        <w:rPr>
          <w:rFonts w:ascii="Times New Roman" w:hAnsi="Times New Roman"/>
          <w:sz w:val="24"/>
        </w:rPr>
        <w:t xml:space="preserve">Yao, J., &amp; Chai, X. (2025). Interpreting Fedspeak with Confidence: An LLM-Based Uncertainty-Aware Framework for Monetary Policy Stance Classification. </w:t>
      </w:r>
      <w:r>
        <w:rPr>
          <w:rFonts w:ascii="Times New Roman" w:hAnsi="Times New Roman"/>
          <w:i/>
          <w:sz w:val="24"/>
        </w:rPr>
        <w:t>arXiv preprint arXiv:2508.08001</w:t>
      </w:r>
      <w:r>
        <w:rPr>
          <w:rFonts w:ascii="Times New Roman" w:hAnsi="Times New Roman"/>
          <w:sz w:val="24"/>
        </w:rPr>
        <w:t>.</w:t>
      </w:r>
    </w:p>
    <w:p>
      <w:pPr>
        <w:spacing w:before="240" w:after="120" w:line="276" w:lineRule="auto"/>
      </w:pPr>
      <w:r>
        <w:rPr>
          <w:rFonts w:ascii="Times New Roman" w:hAnsi="Times New Roman"/>
          <w:b/>
          <w:sz w:val="26"/>
        </w:rPr>
        <w:t>Appendix A: Expanded Central Bank Sentiment Dictionary</w:t>
      </w:r>
    </w:p>
    <w:p>
      <w:pPr>
        <w:spacing w:before="240" w:after="120" w:line="276" w:lineRule="auto"/>
      </w:pPr>
      <w:r>
        <w:rPr>
          <w:rFonts w:ascii="Times New Roman" w:hAnsi="Times New Roman"/>
          <w:b/>
          <w:i/>
          <w:sz w:val="24"/>
        </w:rPr>
        <w:t>A.1 Hawkish Terms (591)</w:t>
      </w:r>
    </w:p>
    <w:p>
      <w:pPr>
        <w:spacing w:before="0" w:after="0" w:line="276" w:lineRule="auto"/>
        <w:ind w:firstLine="720"/>
      </w:pPr>
      <w:r>
        <w:rPr>
          <w:rFonts w:ascii="Times New Roman" w:hAnsi="Times New Roman"/>
          <w:sz w:val="24"/>
        </w:rPr>
        <w:t>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spacing w:before="240" w:after="120" w:line="276" w:lineRule="auto"/>
      </w:pPr>
      <w:r>
        <w:rPr>
          <w:rFonts w:ascii="Times New Roman" w:hAnsi="Times New Roman"/>
          <w:b/>
          <w:i/>
          <w:sz w:val="24"/>
        </w:rPr>
        <w:t>A.2 Dovish Terms (222)</w:t>
      </w:r>
    </w:p>
    <w:p>
      <w:pPr>
        <w:spacing w:before="0" w:after="0" w:line="276" w:lineRule="auto"/>
        <w:ind w:firstLine="720"/>
      </w:pPr>
      <w:r>
        <w:rPr>
          <w:rFonts w:ascii="Times New Roman" w:hAnsi="Times New Roman"/>
          <w:sz w:val="24"/>
        </w:rPr>
        <w:t>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spacing w:before="240" w:after="120" w:line="276" w:lineRule="auto"/>
      </w:pPr>
      <w:r>
        <w:rPr>
          <w:rFonts w:ascii="Times New Roman" w:hAnsi="Times New Roman"/>
          <w:b/>
          <w:sz w:val="26"/>
        </w:rPr>
        <w:t>Appendix B: Data Sources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8E8E8"/>
          </w:tcPr>
          <w:p>
            <w:pPr>
              <w:jc w:val="center"/>
            </w:pPr>
            <w:r/>
            <w:r>
              <w:rPr>
                <w:rFonts w:ascii="Times New Roman" w:hAnsi="Times New Roman"/>
                <w:b/>
                <w:sz w:val="20"/>
              </w:rPr>
              <w:t>Variable</w:t>
            </w:r>
          </w:p>
        </w:tc>
        <w:tc>
          <w:tcPr>
            <w:tcW w:type="dxa" w:w="2160"/>
            <w:shd w:fill="E8E8E8"/>
          </w:tcPr>
          <w:p>
            <w:pPr>
              <w:jc w:val="center"/>
            </w:pPr>
            <w:r/>
            <w:r>
              <w:rPr>
                <w:rFonts w:ascii="Times New Roman" w:hAnsi="Times New Roman"/>
                <w:b/>
                <w:sz w:val="20"/>
              </w:rPr>
              <w:t>Source</w:t>
            </w:r>
          </w:p>
        </w:tc>
        <w:tc>
          <w:tcPr>
            <w:tcW w:type="dxa" w:w="2160"/>
            <w:shd w:fill="E8E8E8"/>
          </w:tcPr>
          <w:p>
            <w:pPr>
              <w:jc w:val="center"/>
            </w:pPr>
            <w:r/>
            <w:r>
              <w:rPr>
                <w:rFonts w:ascii="Times New Roman" w:hAnsi="Times New Roman"/>
                <w:b/>
                <w:sz w:val="20"/>
              </w:rPr>
              <w:t>Frequency</w:t>
            </w:r>
          </w:p>
        </w:tc>
        <w:tc>
          <w:tcPr>
            <w:tcW w:type="dxa" w:w="2160"/>
            <w:shd w:fill="E8E8E8"/>
          </w:tcPr>
          <w:p>
            <w:pPr>
              <w:jc w:val="center"/>
            </w:pPr>
            <w:r/>
            <w:r>
              <w:rPr>
                <w:rFonts w:ascii="Times New Roman" w:hAnsi="Times New Roman"/>
                <w:b/>
                <w:sz w:val="20"/>
              </w:rPr>
              <w:t>Coverage</w:t>
            </w:r>
          </w:p>
        </w:tc>
      </w:tr>
      <w:tr>
        <w:tc>
          <w:tcPr>
            <w:tcW w:type="dxa" w:w="2160"/>
          </w:tcPr>
          <w:p>
            <w:pPr>
              <w:jc w:val="center"/>
            </w:pPr>
            <w:r/>
            <w:r>
              <w:rPr>
                <w:rFonts w:ascii="Times New Roman" w:hAnsi="Times New Roman"/>
                <w:sz w:val="20"/>
              </w:rPr>
              <w:t>Target/Path shocks</w:t>
            </w:r>
          </w:p>
        </w:tc>
        <w:tc>
          <w:tcPr>
            <w:tcW w:type="dxa" w:w="2160"/>
          </w:tcPr>
          <w:p>
            <w:pPr>
              <w:jc w:val="center"/>
            </w:pPr>
            <w:r/>
            <w:r>
              <w:rPr>
                <w:rFonts w:ascii="Times New Roman" w:hAnsi="Times New Roman"/>
                <w:sz w:val="20"/>
              </w:rPr>
              <w:t>Acosta (2022)</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1995--2022</w:t>
            </w:r>
          </w:p>
        </w:tc>
      </w:tr>
      <w:tr>
        <w:tc>
          <w:tcPr>
            <w:tcW w:type="dxa" w:w="2160"/>
          </w:tcPr>
          <w:p>
            <w:pPr>
              <w:jc w:val="center"/>
            </w:pPr>
            <w:r/>
            <w:r>
              <w:rPr>
                <w:rFonts w:ascii="Times New Roman" w:hAnsi="Times New Roman"/>
                <w:sz w:val="20"/>
              </w:rPr>
              <w:t>FOMC statements</w:t>
            </w:r>
          </w:p>
        </w:tc>
        <w:tc>
          <w:tcPr>
            <w:tcW w:type="dxa" w:w="2160"/>
          </w:tcPr>
          <w:p>
            <w:pPr>
              <w:jc w:val="center"/>
            </w:pPr>
            <w:r/>
            <w:r>
              <w:rPr>
                <w:rFonts w:ascii="Times New Roman" w:hAnsi="Times New Roman"/>
                <w:sz w:val="20"/>
              </w:rPr>
              <w:t>Fed website</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2006--2025</w:t>
            </w:r>
          </w:p>
        </w:tc>
      </w:tr>
      <w:tr>
        <w:tc>
          <w:tcPr>
            <w:tcW w:type="dxa" w:w="2160"/>
          </w:tcPr>
          <w:p>
            <w:pPr>
              <w:jc w:val="center"/>
            </w:pPr>
            <w:r/>
            <w:r>
              <w:rPr>
                <w:rFonts w:ascii="Times New Roman" w:hAnsi="Times New Roman"/>
                <w:sz w:val="20"/>
              </w:rPr>
              <w:t>CRSP VW/EW/S&amp;P returns</w:t>
            </w:r>
          </w:p>
        </w:tc>
        <w:tc>
          <w:tcPr>
            <w:tcW w:type="dxa" w:w="2160"/>
          </w:tcPr>
          <w:p>
            <w:pPr>
              <w:jc w:val="center"/>
            </w:pPr>
            <w:r/>
            <w:r>
              <w:rPr>
                <w:rFonts w:ascii="Times New Roman" w:hAnsi="Times New Roman"/>
                <w:sz w:val="20"/>
              </w:rPr>
              <w:t>WRDS (crsp.dsi)</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1990--2024</w:t>
            </w:r>
          </w:p>
        </w:tc>
      </w:tr>
      <w:tr>
        <w:tc>
          <w:tcPr>
            <w:tcW w:type="dxa" w:w="2160"/>
          </w:tcPr>
          <w:p>
            <w:pPr>
              <w:jc w:val="center"/>
            </w:pPr>
            <w:r/>
            <w:r>
              <w:rPr>
                <w:rFonts w:ascii="Times New Roman" w:hAnsi="Times New Roman"/>
                <w:sz w:val="20"/>
              </w:rPr>
              <w:t>Gold price</w:t>
            </w:r>
          </w:p>
        </w:tc>
        <w:tc>
          <w:tcPr>
            <w:tcW w:type="dxa" w:w="2160"/>
          </w:tcPr>
          <w:p>
            <w:pPr>
              <w:jc w:val="center"/>
            </w:pPr>
            <w:r/>
            <w:r>
              <w:rPr>
                <w:rFonts w:ascii="Times New Roman" w:hAnsi="Times New Roman"/>
                <w:sz w:val="20"/>
              </w:rPr>
              <w:t>FRED (GOLDAMGBD228NLBM)</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1968--2025</w:t>
            </w:r>
          </w:p>
        </w:tc>
      </w:tr>
      <w:tr>
        <w:tc>
          <w:tcPr>
            <w:tcW w:type="dxa" w:w="2160"/>
          </w:tcPr>
          <w:p>
            <w:pPr>
              <w:jc w:val="center"/>
            </w:pPr>
            <w:r/>
            <w:r>
              <w:rPr>
                <w:rFonts w:ascii="Times New Roman" w:hAnsi="Times New Roman"/>
                <w:sz w:val="20"/>
              </w:rPr>
              <w:t>10Y Treasury yield</w:t>
            </w:r>
          </w:p>
        </w:tc>
        <w:tc>
          <w:tcPr>
            <w:tcW w:type="dxa" w:w="2160"/>
          </w:tcPr>
          <w:p>
            <w:pPr>
              <w:jc w:val="center"/>
            </w:pPr>
            <w:r/>
            <w:r>
              <w:rPr>
                <w:rFonts w:ascii="Times New Roman" w:hAnsi="Times New Roman"/>
                <w:sz w:val="20"/>
              </w:rPr>
              <w:t>FRED (DGS10)</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1962--2025</w:t>
            </w:r>
          </w:p>
        </w:tc>
      </w:tr>
      <w:tr>
        <w:tc>
          <w:tcPr>
            <w:tcW w:type="dxa" w:w="2160"/>
          </w:tcPr>
          <w:p>
            <w:pPr>
              <w:jc w:val="center"/>
            </w:pPr>
            <w:r/>
            <w:r>
              <w:rPr>
                <w:rFonts w:ascii="Times New Roman" w:hAnsi="Times New Roman"/>
                <w:sz w:val="20"/>
              </w:rPr>
              <w:t>13W T-bill yield</w:t>
            </w:r>
          </w:p>
        </w:tc>
        <w:tc>
          <w:tcPr>
            <w:tcW w:type="dxa" w:w="2160"/>
          </w:tcPr>
          <w:p>
            <w:pPr>
              <w:jc w:val="center"/>
            </w:pPr>
            <w:r/>
            <w:r>
              <w:rPr>
                <w:rFonts w:ascii="Times New Roman" w:hAnsi="Times New Roman"/>
                <w:sz w:val="20"/>
              </w:rPr>
              <w:t>FRED (DGS3MO)</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1981--2025</w:t>
            </w:r>
          </w:p>
        </w:tc>
      </w:tr>
      <w:tr>
        <w:tc>
          <w:tcPr>
            <w:tcW w:type="dxa" w:w="2160"/>
          </w:tcPr>
          <w:p>
            <w:pPr>
              <w:jc w:val="center"/>
            </w:pPr>
            <w:r/>
            <w:r>
              <w:rPr>
                <w:rFonts w:ascii="Times New Roman" w:hAnsi="Times New Roman"/>
                <w:sz w:val="20"/>
              </w:rPr>
              <w:t>VIX</w:t>
            </w:r>
          </w:p>
        </w:tc>
        <w:tc>
          <w:tcPr>
            <w:tcW w:type="dxa" w:w="2160"/>
          </w:tcPr>
          <w:p>
            <w:pPr>
              <w:jc w:val="center"/>
            </w:pPr>
            <w:r/>
            <w:r>
              <w:rPr>
                <w:rFonts w:ascii="Times New Roman" w:hAnsi="Times New Roman"/>
                <w:sz w:val="20"/>
              </w:rPr>
              <w:t>FRED (VIXCLS)</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1990--2025</w:t>
            </w:r>
          </w:p>
        </w:tc>
      </w:tr>
      <w:tr>
        <w:tc>
          <w:tcPr>
            <w:tcW w:type="dxa" w:w="2160"/>
          </w:tcPr>
          <w:p>
            <w:pPr>
              <w:jc w:val="center"/>
            </w:pPr>
            <w:r/>
            <w:r>
              <w:rPr>
                <w:rFonts w:ascii="Times New Roman" w:hAnsi="Times New Roman"/>
                <w:sz w:val="20"/>
              </w:rPr>
              <w:t>Fed Funds Rate</w:t>
            </w:r>
          </w:p>
        </w:tc>
        <w:tc>
          <w:tcPr>
            <w:tcW w:type="dxa" w:w="2160"/>
          </w:tcPr>
          <w:p>
            <w:pPr>
              <w:jc w:val="center"/>
            </w:pPr>
            <w:r/>
            <w:r>
              <w:rPr>
                <w:rFonts w:ascii="Times New Roman" w:hAnsi="Times New Roman"/>
                <w:sz w:val="20"/>
              </w:rPr>
              <w:t>FRED (DFF)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1954--2025</w:t>
            </w:r>
          </w:p>
        </w:tc>
      </w:tr>
      <w:tr>
        <w:tc>
          <w:tcPr>
            <w:tcW w:type="dxa" w:w="2160"/>
          </w:tcPr>
          <w:p>
            <w:pPr>
              <w:jc w:val="center"/>
            </w:pPr>
            <w:r/>
            <w:r>
              <w:rPr>
                <w:rFonts w:ascii="Times New Roman" w:hAnsi="Times New Roman"/>
                <w:sz w:val="20"/>
              </w:rPr>
              <w:t>Financial stocks</w:t>
            </w:r>
          </w:p>
        </w:tc>
        <w:tc>
          <w:tcPr>
            <w:tcW w:type="dxa" w:w="2160"/>
          </w:tcPr>
          <w:p>
            <w:pPr>
              <w:jc w:val="center"/>
            </w:pPr>
            <w:r/>
            <w:r>
              <w:rPr>
                <w:rFonts w:ascii="Times New Roman" w:hAnsi="Times New Roman"/>
                <w:sz w:val="20"/>
              </w:rPr>
              <w:t>WRDS (crsp.dsf)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2020--2025</w:t>
            </w:r>
          </w:p>
        </w:tc>
      </w:tr>
    </w:tbl>
    <w:p>
      <w:pPr>
        <w:spacing w:before="240" w:after="120" w:line="276" w:lineRule="auto"/>
      </w:pPr>
      <w:r>
        <w:rPr>
          <w:rFonts w:ascii="Times New Roman" w:hAnsi="Times New Roman"/>
          <w:b/>
          <w:sz w:val="26"/>
        </w:rPr>
        <w:t>Appendix C: Additional Robustness</w:t>
      </w:r>
    </w:p>
    <w:p>
      <w:pPr>
        <w:spacing w:before="240" w:after="120" w:line="276" w:lineRule="auto"/>
      </w:pPr>
      <w:r>
        <w:rPr>
          <w:rFonts w:ascii="Times New Roman" w:hAnsi="Times New Roman"/>
          <w:b/>
          <w:i/>
          <w:sz w:val="24"/>
        </w:rPr>
        <w:t>C.1 Regime-Specific Results</w:t>
      </w:r>
    </w:p>
    <w:p>
      <w:pPr>
        <w:spacing w:before="0" w:after="0" w:line="276" w:lineRule="auto"/>
        <w:ind w:firstLine="720"/>
      </w:pPr>
      <w:r>
        <w:rPr>
          <w:rFonts w:ascii="Times New Roman" w:hAnsi="Times New Roman"/>
          <w:sz w:val="24"/>
        </w:rPr>
        <w:t>These results are reported in Table 6 in the main text.</w:t>
      </w:r>
    </w:p>
    <w:p>
      <w:pPr>
        <w:spacing w:before="240" w:after="120" w:line="276" w:lineRule="auto"/>
      </w:pPr>
      <w:r>
        <w:rPr>
          <w:rFonts w:ascii="Times New Roman" w:hAnsi="Times New Roman"/>
          <w:b/>
          <w:i/>
          <w:sz w:val="24"/>
        </w:rPr>
        <w:t>C.2 Sentiment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8E8E8"/>
          </w:tcPr>
          <w:p>
            <w:pPr>
              <w:jc w:val="center"/>
            </w:pPr>
            <w:r/>
            <w:r>
              <w:rPr>
                <w:rFonts w:ascii="Times New Roman" w:hAnsi="Times New Roman"/>
                <w:b/>
                <w:sz w:val="20"/>
              </w:rPr>
              <w:t>Statistic</w:t>
            </w:r>
          </w:p>
        </w:tc>
        <w:tc>
          <w:tcPr>
            <w:tcW w:type="dxa" w:w="2160"/>
            <w:shd w:fill="E8E8E8"/>
          </w:tcPr>
          <w:p>
            <w:pPr>
              <w:jc w:val="center"/>
            </w:pPr>
            <w:r/>
            <w:r>
              <w:rPr>
                <w:rFonts w:ascii="Times New Roman" w:hAnsi="Times New Roman"/>
                <w:b/>
                <w:sz w:val="20"/>
              </w:rPr>
              <w:t>Combined</w:t>
            </w:r>
          </w:p>
        </w:tc>
        <w:tc>
          <w:tcPr>
            <w:tcW w:type="dxa" w:w="2160"/>
            <w:shd w:fill="E8E8E8"/>
          </w:tcPr>
          <w:p>
            <w:pPr>
              <w:jc w:val="center"/>
            </w:pPr>
            <w:r/>
            <w:r>
              <w:rPr>
                <w:rFonts w:ascii="Times New Roman" w:hAnsi="Times New Roman"/>
                <w:b/>
                <w:sz w:val="20"/>
              </w:rPr>
              <w:t>LM Score</w:t>
            </w:r>
          </w:p>
        </w:tc>
        <w:tc>
          <w:tcPr>
            <w:tcW w:type="dxa" w:w="2160"/>
            <w:shd w:fill="E8E8E8"/>
          </w:tcPr>
          <w:p>
            <w:pPr>
              <w:jc w:val="center"/>
            </w:pPr>
            <w:r/>
            <w:r>
              <w:rPr>
                <w:rFonts w:ascii="Times New Roman" w:hAnsi="Times New Roman"/>
                <w:b/>
                <w:sz w:val="20"/>
              </w:rPr>
              <w:t>CB Score</w:t>
            </w:r>
          </w:p>
        </w:tc>
      </w:tr>
      <w:tr>
        <w:tc>
          <w:tcPr>
            <w:tcW w:type="dxa" w:w="2160"/>
          </w:tcPr>
          <w:p>
            <w:pPr>
              <w:jc w:val="center"/>
            </w:pPr>
            <w:r/>
            <w:r>
              <w:rPr>
                <w:rFonts w:ascii="Times New Roman" w:hAnsi="Times New Roman"/>
                <w:sz w:val="20"/>
              </w:rPr>
              <w:t>Mean</w:t>
            </w:r>
          </w:p>
        </w:tc>
        <w:tc>
          <w:tcPr>
            <w:tcW w:type="dxa" w:w="2160"/>
          </w:tcPr>
          <w:p>
            <w:pPr>
              <w:jc w:val="center"/>
            </w:pPr>
            <w:r/>
            <w:r>
              <w:rPr>
                <w:rFonts w:ascii="Times New Roman" w:hAnsi="Times New Roman"/>
                <w:sz w:val="20"/>
              </w:rPr>
              <w:t>0.014</w:t>
            </w:r>
          </w:p>
        </w:tc>
        <w:tc>
          <w:tcPr>
            <w:tcW w:type="dxa" w:w="2160"/>
          </w:tcPr>
          <w:p>
            <w:pPr>
              <w:jc w:val="center"/>
            </w:pPr>
            <w:r/>
            <w:r>
              <w:rPr>
                <w:rFonts w:ascii="Times New Roman" w:hAnsi="Times New Roman"/>
                <w:sz w:val="20"/>
              </w:rPr>
              <w:t>0.041</w:t>
            </w:r>
          </w:p>
        </w:tc>
        <w:tc>
          <w:tcPr>
            <w:tcW w:type="dxa" w:w="2160"/>
          </w:tcPr>
          <w:p>
            <w:pPr>
              <w:jc w:val="center"/>
            </w:pPr>
            <w:r/>
            <w:r>
              <w:rPr>
                <w:rFonts w:ascii="Times New Roman" w:hAnsi="Times New Roman"/>
                <w:sz w:val="20"/>
              </w:rPr>
              <w:t>−0.013</w:t>
            </w:r>
          </w:p>
        </w:tc>
      </w:tr>
      <w:tr>
        <w:tc>
          <w:tcPr>
            <w:tcW w:type="dxa" w:w="2160"/>
          </w:tcPr>
          <w:p>
            <w:pPr>
              <w:jc w:val="center"/>
            </w:pPr>
            <w:r/>
            <w:r>
              <w:rPr>
                <w:rFonts w:ascii="Times New Roman" w:hAnsi="Times New Roman"/>
                <w:sz w:val="20"/>
              </w:rPr>
              <w:t>Std</w:t>
            </w:r>
          </w:p>
        </w:tc>
        <w:tc>
          <w:tcPr>
            <w:tcW w:type="dxa" w:w="2160"/>
          </w:tcPr>
          <w:p>
            <w:pPr>
              <w:jc w:val="center"/>
            </w:pPr>
            <w:r/>
            <w:r>
              <w:rPr>
                <w:rFonts w:ascii="Times New Roman" w:hAnsi="Times New Roman"/>
                <w:sz w:val="20"/>
              </w:rPr>
              <w:t>0.006</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0.005</w:t>
            </w:r>
          </w:p>
        </w:tc>
      </w:tr>
      <w:tr>
        <w:tc>
          <w:tcPr>
            <w:tcW w:type="dxa" w:w="2160"/>
          </w:tcPr>
          <w:p>
            <w:pPr>
              <w:jc w:val="center"/>
            </w:pPr>
            <w:r/>
            <w:r>
              <w:rPr>
                <w:rFonts w:ascii="Times New Roman" w:hAnsi="Times New Roman"/>
                <w:sz w:val="20"/>
              </w:rPr>
              <w:t>Min</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0.031</w:t>
            </w:r>
          </w:p>
        </w:tc>
        <w:tc>
          <w:tcPr>
            <w:tcW w:type="dxa" w:w="2160"/>
          </w:tcPr>
          <w:p>
            <w:pPr>
              <w:jc w:val="center"/>
            </w:pPr>
            <w:r/>
            <w:r>
              <w:rPr>
                <w:rFonts w:ascii="Times New Roman" w:hAnsi="Times New Roman"/>
                <w:sz w:val="20"/>
              </w:rPr>
              <w:t>−0.022</w:t>
            </w:r>
          </w:p>
        </w:tc>
      </w:tr>
      <w:tr>
        <w:tc>
          <w:tcPr>
            <w:tcW w:type="dxa" w:w="2160"/>
          </w:tcPr>
          <w:p>
            <w:pPr>
              <w:jc w:val="center"/>
            </w:pPr>
            <w:r/>
            <w:r>
              <w:rPr>
                <w:rFonts w:ascii="Times New Roman" w:hAnsi="Times New Roman"/>
                <w:sz w:val="20"/>
              </w:rPr>
              <w:t>Max</w:t>
            </w:r>
          </w:p>
        </w:tc>
        <w:tc>
          <w:tcPr>
            <w:tcW w:type="dxa" w:w="2160"/>
          </w:tcPr>
          <w:p>
            <w:pPr>
              <w:jc w:val="center"/>
            </w:pPr>
            <w:r/>
            <w:r>
              <w:rPr>
                <w:rFonts w:ascii="Times New Roman" w:hAnsi="Times New Roman"/>
                <w:sz w:val="20"/>
              </w:rPr>
              <w:t>0.034</w:t>
            </w:r>
          </w:p>
        </w:tc>
        <w:tc>
          <w:tcPr>
            <w:tcW w:type="dxa" w:w="2160"/>
          </w:tcPr>
          <w:p>
            <w:pPr>
              <w:jc w:val="center"/>
            </w:pPr>
            <w:r/>
            <w:r>
              <w:rPr>
                <w:rFonts w:ascii="Times New Roman" w:hAnsi="Times New Roman"/>
                <w:sz w:val="20"/>
              </w:rPr>
              <w:t>0.071</w:t>
            </w:r>
          </w:p>
        </w:tc>
        <w:tc>
          <w:tcPr>
            <w:tcW w:type="dxa" w:w="2160"/>
          </w:tcPr>
          <w:p>
            <w:pPr>
              <w:jc w:val="center"/>
            </w:pPr>
            <w:r/>
            <w:r>
              <w:rPr>
                <w:rFonts w:ascii="Times New Roman" w:hAnsi="Times New Roman"/>
                <w:sz w:val="20"/>
              </w:rPr>
              <w:t>0.005</w:t>
            </w:r>
          </w:p>
        </w:tc>
      </w:tr>
      <w:tr>
        <w:tc>
          <w:tcPr>
            <w:tcW w:type="dxa" w:w="2160"/>
          </w:tcPr>
          <w:p>
            <w:pPr>
              <w:jc w:val="center"/>
            </w:pPr>
            <w:r/>
            <w:r>
              <w:rPr>
                <w:rFonts w:ascii="Times New Roman" w:hAnsi="Times New Roman"/>
                <w:sz w:val="20"/>
              </w:rPr>
              <w:t>% Negative</w:t>
            </w:r>
          </w:p>
        </w:tc>
        <w:tc>
          <w:tcPr>
            <w:tcW w:type="dxa" w:w="2160"/>
          </w:tcPr>
          <w:p>
            <w:pPr>
              <w:jc w:val="center"/>
            </w:pPr>
            <w:r/>
            <w:r>
              <w:rPr>
                <w:rFonts w:ascii="Times New Roman" w:hAnsi="Times New Roman"/>
                <w:sz w:val="20"/>
              </w:rPr>
              <w:t>0%</w:t>
            </w:r>
          </w:p>
        </w:tc>
        <w:tc>
          <w:tcPr>
            <w:tcW w:type="dxa" w:w="2160"/>
          </w:tcPr>
          <w:p>
            <w:pPr>
              <w:jc w:val="center"/>
            </w:pPr>
            <w:r/>
            <w:r>
              <w:rPr>
                <w:rFonts w:ascii="Times New Roman" w:hAnsi="Times New Roman"/>
                <w:sz w:val="20"/>
              </w:rPr>
              <w:t>0%</w:t>
            </w:r>
          </w:p>
        </w:tc>
        <w:tc>
          <w:tcPr>
            <w:tcW w:type="dxa" w:w="2160"/>
          </w:tcPr>
          <w:p>
            <w:pPr>
              <w:jc w:val="center"/>
            </w:pPr>
            <w:r/>
            <w:r>
              <w:rPr>
                <w:rFonts w:ascii="Times New Roman" w:hAnsi="Times New Roman"/>
                <w:sz w:val="20"/>
              </w:rPr>
              <w:t>92.3%</w:t>
            </w:r>
          </w:p>
        </w:tc>
      </w:tr>
      <w:tr>
        <w:tc>
          <w:tcPr>
            <w:tcW w:type="dxa" w:w="2160"/>
          </w:tcPr>
          <w:p>
            <w:pPr>
              <w:jc w:val="center"/>
            </w:pPr>
            <w:r/>
            <w:r>
              <w:rPr>
                <w:rFonts w:ascii="Times New Roman" w:hAnsi="Times New Roman"/>
                <w:sz w:val="20"/>
              </w:rPr>
              <w:t>% Positive</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1.7%</w:t>
            </w:r>
          </w:p>
        </w:tc>
      </w:tr>
    </w:tbl>
    <w:p>
      <w:pPr>
        <w:spacing w:before="0" w:after="0" w:line="276" w:lineRule="auto"/>
        <w:ind w:firstLine="720"/>
      </w:pPr>
      <w:r>
        <w:rPr>
          <w:rFonts w:ascii="Times New Roman" w:hAnsi="Times New Roman"/>
          <w:sz w:val="24"/>
        </w:rPr>
        <w:t>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spacing w:before="240" w:after="120" w:line="276" w:lineRule="auto"/>
      </w:pPr>
      <w:r>
        <w:rPr>
          <w:rFonts w:ascii="Times New Roman" w:hAnsi="Times New Roman"/>
          <w:b/>
          <w:i/>
          <w:sz w:val="24"/>
        </w:rPr>
        <w:t>C.3 Newey-West Lag Sensitivity (H1 Regression)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8E8E8"/>
          </w:tcPr>
          <w:p>
            <w:pPr>
              <w:jc w:val="center"/>
            </w:pPr>
            <w:r/>
            <w:r>
              <w:rPr>
                <w:rFonts w:ascii="Times New Roman" w:hAnsi="Times New Roman"/>
                <w:b/>
                <w:sz w:val="20"/>
              </w:rPr>
              <w:t>Lag</w:t>
            </w:r>
          </w:p>
        </w:tc>
        <w:tc>
          <w:tcPr>
            <w:tcW w:type="dxa" w:w="1440"/>
            <w:shd w:fill="E8E8E8"/>
          </w:tcPr>
          <w:p>
            <w:pPr>
              <w:jc w:val="center"/>
            </w:pPr>
            <w:r/>
            <w:r>
              <w:rPr>
                <w:rFonts w:ascii="Times New Roman" w:hAnsi="Times New Roman"/>
                <w:b/>
                <w:sz w:val="20"/>
              </w:rPr>
              <w:t>β_T (t)</w:t>
            </w:r>
          </w:p>
        </w:tc>
        <w:tc>
          <w:tcPr>
            <w:tcW w:type="dxa" w:w="1440"/>
            <w:shd w:fill="E8E8E8"/>
          </w:tcPr>
          <w:p>
            <w:pPr>
              <w:jc w:val="center"/>
            </w:pPr>
            <w:r/>
            <w:r>
              <w:rPr>
                <w:rFonts w:ascii="Times New Roman" w:hAnsi="Times New Roman"/>
                <w:b/>
                <w:sz w:val="20"/>
              </w:rPr>
              <w:t>p_target</w:t>
            </w:r>
          </w:p>
        </w:tc>
        <w:tc>
          <w:tcPr>
            <w:tcW w:type="dxa" w:w="1440"/>
            <w:shd w:fill="E8E8E8"/>
          </w:tcPr>
          <w:p>
            <w:pPr>
              <w:jc w:val="center"/>
            </w:pPr>
            <w:r/>
            <w:r>
              <w:rPr>
                <w:rFonts w:ascii="Times New Roman" w:hAnsi="Times New Roman"/>
                <w:b/>
                <w:sz w:val="20"/>
              </w:rPr>
              <w:t>β_P (t)</w:t>
            </w:r>
          </w:p>
        </w:tc>
        <w:tc>
          <w:tcPr>
            <w:tcW w:type="dxa" w:w="1440"/>
            <w:shd w:fill="E8E8E8"/>
          </w:tcPr>
          <w:p>
            <w:pPr>
              <w:jc w:val="center"/>
            </w:pPr>
            <w:r/>
            <w:r>
              <w:rPr>
                <w:rFonts w:ascii="Times New Roman" w:hAnsi="Times New Roman"/>
                <w:b/>
                <w:sz w:val="20"/>
              </w:rPr>
              <w:t>p_path</w:t>
            </w:r>
          </w:p>
        </w:tc>
        <w:tc>
          <w:tcPr>
            <w:tcW w:type="dxa" w:w="1440"/>
            <w:shd w:fill="E8E8E8"/>
          </w:tcPr>
          <w:p>
            <w:pPr>
              <w:jc w:val="center"/>
            </w:pPr>
            <w:r/>
            <w:r>
              <w:rPr>
                <w:rFonts w:ascii="Times New Roman" w:hAnsi="Times New Roman"/>
                <w:b/>
                <w:sz w:val="20"/>
              </w:rPr>
              <w:t>R²</w:t>
            </w:r>
          </w:p>
        </w:tc>
      </w:tr>
      <w:tr>
        <w:tc>
          <w:tcPr>
            <w:tcW w:type="dxa" w:w="1440"/>
          </w:tcPr>
          <w:p>
            <w:pPr>
              <w:jc w:val="center"/>
            </w:pPr>
            <w:r/>
            <w:r>
              <w:rPr>
                <w:rFonts w:ascii="Times New Roman" w:hAnsi="Times New Roman"/>
                <w:sz w:val="20"/>
              </w:rPr>
              <w:t>1</w:t>
            </w:r>
          </w:p>
        </w:tc>
        <w:tc>
          <w:tcPr>
            <w:tcW w:type="dxa" w:w="1440"/>
          </w:tcPr>
          <w:p>
            <w:pPr>
              <w:jc w:val="center"/>
            </w:pPr>
            <w:r/>
            <w:r>
              <w:rPr>
                <w:rFonts w:ascii="Times New Roman" w:hAnsi="Times New Roman"/>
                <w:sz w:val="20"/>
              </w:rPr>
              <w:t>0.000577 (2.78)</w:t>
            </w:r>
          </w:p>
        </w:tc>
        <w:tc>
          <w:tcPr>
            <w:tcW w:type="dxa" w:w="1440"/>
          </w:tcPr>
          <w:p>
            <w:pPr>
              <w:jc w:val="center"/>
            </w:pPr>
            <w:r/>
            <w:r>
              <w:rPr>
                <w:rFonts w:ascii="Times New Roman" w:hAnsi="Times New Roman"/>
                <w:sz w:val="20"/>
              </w:rPr>
              <w:t>0.006</w:t>
            </w:r>
          </w:p>
        </w:tc>
        <w:tc>
          <w:tcPr>
            <w:tcW w:type="dxa" w:w="1440"/>
          </w:tcPr>
          <w:p>
            <w:pPr>
              <w:jc w:val="center"/>
            </w:pPr>
            <w:r/>
            <w:r>
              <w:rPr>
                <w:rFonts w:ascii="Times New Roman" w:hAnsi="Times New Roman"/>
                <w:sz w:val="20"/>
              </w:rPr>
              <w:t>0.000633 (1.64)</w:t>
            </w:r>
          </w:p>
        </w:tc>
        <w:tc>
          <w:tcPr>
            <w:tcW w:type="dxa" w:w="1440"/>
          </w:tcPr>
          <w:p>
            <w:pPr>
              <w:jc w:val="center"/>
            </w:pPr>
            <w:r/>
            <w:r>
              <w:rPr>
                <w:rFonts w:ascii="Times New Roman" w:hAnsi="Times New Roman"/>
                <w:sz w:val="20"/>
              </w:rPr>
              <w:t>0.100</w:t>
            </w:r>
          </w:p>
        </w:tc>
        <w:tc>
          <w:tcPr>
            <w:tcW w:type="dxa" w:w="1440"/>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0.000577 (2.61)</w:t>
            </w:r>
          </w:p>
        </w:tc>
        <w:tc>
          <w:tcPr>
            <w:tcW w:type="dxa" w:w="1440"/>
          </w:tcPr>
          <w:p>
            <w:pPr>
              <w:jc w:val="center"/>
            </w:pPr>
            <w:r/>
            <w:r>
              <w:rPr>
                <w:rFonts w:ascii="Times New Roman" w:hAnsi="Times New Roman"/>
                <w:sz w:val="20"/>
              </w:rPr>
              <w:t>0.010</w:t>
            </w:r>
          </w:p>
        </w:tc>
        <w:tc>
          <w:tcPr>
            <w:tcW w:type="dxa" w:w="1440"/>
          </w:tcPr>
          <w:p>
            <w:pPr>
              <w:jc w:val="center"/>
            </w:pPr>
            <w:r/>
            <w:r>
              <w:rPr>
                <w:rFonts w:ascii="Times New Roman" w:hAnsi="Times New Roman"/>
                <w:sz w:val="20"/>
              </w:rPr>
              <w:t>0.000633 (1.55)</w:t>
            </w:r>
          </w:p>
        </w:tc>
        <w:tc>
          <w:tcPr>
            <w:tcW w:type="dxa" w:w="1440"/>
          </w:tcPr>
          <w:p>
            <w:pPr>
              <w:jc w:val="center"/>
            </w:pPr>
            <w:r/>
            <w:r>
              <w:rPr>
                <w:rFonts w:ascii="Times New Roman" w:hAnsi="Times New Roman"/>
                <w:sz w:val="20"/>
              </w:rPr>
              <w:t>0.123</w:t>
            </w:r>
          </w:p>
        </w:tc>
        <w:tc>
          <w:tcPr>
            <w:tcW w:type="dxa" w:w="1440"/>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4</w:t>
            </w:r>
          </w:p>
        </w:tc>
        <w:tc>
          <w:tcPr>
            <w:tcW w:type="dxa" w:w="1440"/>
          </w:tcPr>
          <w:p>
            <w:pPr>
              <w:jc w:val="center"/>
            </w:pPr>
            <w:r/>
            <w:r>
              <w:rPr>
                <w:rFonts w:ascii="Times New Roman" w:hAnsi="Times New Roman"/>
                <w:sz w:val="20"/>
              </w:rPr>
              <w:t>0.000577 (2.43)</w:t>
            </w:r>
          </w:p>
        </w:tc>
        <w:tc>
          <w:tcPr>
            <w:tcW w:type="dxa" w:w="1440"/>
          </w:tcPr>
          <w:p>
            <w:pPr>
              <w:jc w:val="center"/>
            </w:pPr>
            <w:r/>
            <w:r>
              <w:rPr>
                <w:rFonts w:ascii="Times New Roman" w:hAnsi="Times New Roman"/>
                <w:sz w:val="20"/>
              </w:rPr>
              <w:t>0.017</w:t>
            </w:r>
          </w:p>
        </w:tc>
        <w:tc>
          <w:tcPr>
            <w:tcW w:type="dxa" w:w="1440"/>
          </w:tcPr>
          <w:p>
            <w:pPr>
              <w:jc w:val="center"/>
            </w:pPr>
            <w:r/>
            <w:r>
              <w:rPr>
                <w:rFonts w:ascii="Times New Roman" w:hAnsi="Times New Roman"/>
                <w:sz w:val="20"/>
              </w:rPr>
              <w:t>0.000633 (1.44)</w:t>
            </w:r>
          </w:p>
        </w:tc>
        <w:tc>
          <w:tcPr>
            <w:tcW w:type="dxa" w:w="1440"/>
          </w:tcPr>
          <w:p>
            <w:pPr>
              <w:jc w:val="center"/>
            </w:pPr>
            <w:r/>
            <w:r>
              <w:rPr>
                <w:rFonts w:ascii="Times New Roman" w:hAnsi="Times New Roman"/>
                <w:sz w:val="20"/>
              </w:rPr>
              <w:t>0.152</w:t>
            </w:r>
          </w:p>
        </w:tc>
        <w:tc>
          <w:tcPr>
            <w:tcW w:type="dxa" w:w="1440"/>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6</w:t>
            </w:r>
          </w:p>
        </w:tc>
        <w:tc>
          <w:tcPr>
            <w:tcW w:type="dxa" w:w="1440"/>
          </w:tcPr>
          <w:p>
            <w:pPr>
              <w:jc w:val="center"/>
            </w:pPr>
            <w:r/>
            <w:r>
              <w:rPr>
                <w:rFonts w:ascii="Times New Roman" w:hAnsi="Times New Roman"/>
                <w:sz w:val="20"/>
              </w:rPr>
              <w:t>0.000577 (2.29)</w:t>
            </w:r>
          </w:p>
        </w:tc>
        <w:tc>
          <w:tcPr>
            <w:tcW w:type="dxa" w:w="1440"/>
          </w:tcPr>
          <w:p>
            <w:pPr>
              <w:jc w:val="center"/>
            </w:pPr>
            <w:r/>
            <w:r>
              <w:rPr>
                <w:rFonts w:ascii="Times New Roman" w:hAnsi="Times New Roman"/>
                <w:sz w:val="20"/>
              </w:rPr>
              <w:t>0.024</w:t>
            </w:r>
          </w:p>
        </w:tc>
        <w:tc>
          <w:tcPr>
            <w:tcW w:type="dxa" w:w="1440"/>
          </w:tcPr>
          <w:p>
            <w:pPr>
              <w:jc w:val="center"/>
            </w:pPr>
            <w:r/>
            <w:r>
              <w:rPr>
                <w:rFonts w:ascii="Times New Roman" w:hAnsi="Times New Roman"/>
                <w:sz w:val="20"/>
              </w:rPr>
              <w:t>0.000633 (1.45)</w:t>
            </w:r>
          </w:p>
        </w:tc>
        <w:tc>
          <w:tcPr>
            <w:tcW w:type="dxa" w:w="1440"/>
          </w:tcPr>
          <w:p>
            <w:pPr>
              <w:jc w:val="center"/>
            </w:pPr>
            <w:r/>
            <w:r>
              <w:rPr>
                <w:rFonts w:ascii="Times New Roman" w:hAnsi="Times New Roman"/>
                <w:sz w:val="20"/>
              </w:rPr>
              <w:t>0.149</w:t>
            </w:r>
          </w:p>
        </w:tc>
        <w:tc>
          <w:tcPr>
            <w:tcW w:type="dxa" w:w="1440"/>
          </w:tcPr>
          <w:p>
            <w:pPr>
              <w:jc w:val="center"/>
            </w:pPr>
            <w:r/>
            <w:r>
              <w:rPr>
                <w:rFonts w:ascii="Times New Roman" w:hAnsi="Times New Roman"/>
                <w:sz w:val="20"/>
              </w:rPr>
              <w:t>1.57%</w:t>
            </w:r>
          </w:p>
        </w:tc>
      </w:tr>
    </w:tbl>
    <w:p>
      <w:pPr>
        <w:spacing w:before="240" w:after="120" w:line="276" w:lineRule="auto"/>
      </w:pPr>
      <w:r>
        <w:rPr>
          <w:rFonts w:ascii="Times New Roman" w:hAnsi="Times New Roman"/>
          <w:b/>
          <w:i/>
          <w:sz w:val="24"/>
        </w:rPr>
        <w:t>C.4 Data Source Comparison (S&amp;P 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8E8E8"/>
          </w:tcPr>
          <w:p>
            <w:pPr>
              <w:jc w:val="center"/>
            </w:pPr>
            <w:r/>
            <w:r>
              <w:rPr>
                <w:rFonts w:ascii="Times New Roman" w:hAnsi="Times New Roman"/>
                <w:b/>
                <w:sz w:val="20"/>
              </w:rPr>
              <w:t>Data Source</w:t>
            </w:r>
          </w:p>
        </w:tc>
        <w:tc>
          <w:tcPr>
            <w:tcW w:type="dxa" w:w="1728"/>
            <w:shd w:fill="E8E8E8"/>
          </w:tcPr>
          <w:p>
            <w:pPr>
              <w:jc w:val="center"/>
            </w:pPr>
            <w:r/>
            <w:r>
              <w:rPr>
                <w:rFonts w:ascii="Times New Roman" w:hAnsi="Times New Roman"/>
                <w:b/>
                <w:sz w:val="20"/>
              </w:rPr>
              <w:t>β_T</w:t>
            </w:r>
          </w:p>
        </w:tc>
        <w:tc>
          <w:tcPr>
            <w:tcW w:type="dxa" w:w="1728"/>
            <w:shd w:fill="E8E8E8"/>
          </w:tcPr>
          <w:p>
            <w:pPr>
              <w:jc w:val="center"/>
            </w:pPr>
            <w:r/>
            <w:r>
              <w:rPr>
                <w:rFonts w:ascii="Times New Roman" w:hAnsi="Times New Roman"/>
                <w:b/>
                <w:sz w:val="20"/>
              </w:rPr>
              <w:t>t_target</w:t>
            </w:r>
          </w:p>
        </w:tc>
        <w:tc>
          <w:tcPr>
            <w:tcW w:type="dxa" w:w="1728"/>
            <w:shd w:fill="E8E8E8"/>
          </w:tcPr>
          <w:p>
            <w:pPr>
              <w:jc w:val="center"/>
            </w:pPr>
            <w:r/>
            <w:r>
              <w:rPr>
                <w:rFonts w:ascii="Times New Roman" w:hAnsi="Times New Roman"/>
                <w:b/>
                <w:sz w:val="20"/>
              </w:rPr>
              <w:t>p_target</w:t>
            </w:r>
          </w:p>
        </w:tc>
        <w:tc>
          <w:tcPr>
            <w:tcW w:type="dxa" w:w="1728"/>
            <w:shd w:fill="E8E8E8"/>
          </w:tcPr>
          <w:p>
            <w:pPr>
              <w:jc w:val="center"/>
            </w:pPr>
            <w:r/>
            <w:r>
              <w:rPr>
                <w:rFonts w:ascii="Times New Roman" w:hAnsi="Times New Roman"/>
                <w:b/>
                <w:sz w:val="20"/>
              </w:rPr>
              <w:t>R²</w:t>
            </w:r>
          </w:p>
        </w:tc>
      </w:tr>
      <w:tr>
        <w:tc>
          <w:tcPr>
            <w:tcW w:type="dxa" w:w="1728"/>
          </w:tcPr>
          <w:p>
            <w:pPr>
              <w:jc w:val="center"/>
            </w:pPr>
            <w:r/>
            <w:r>
              <w:rPr>
                <w:rFonts w:ascii="Times New Roman" w:hAnsi="Times New Roman"/>
                <w:sz w:val="20"/>
              </w:rPr>
              <w:t>CRSP (sprtrn)</w:t>
            </w:r>
          </w:p>
        </w:tc>
        <w:tc>
          <w:tcPr>
            <w:tcW w:type="dxa" w:w="1728"/>
          </w:tcPr>
          <w:p>
            <w:pPr>
              <w:jc w:val="center"/>
            </w:pPr>
            <w:r/>
            <w:r>
              <w:rPr>
                <w:rFonts w:ascii="Times New Roman" w:hAnsi="Times New Roman"/>
                <w:sz w:val="20"/>
              </w:rPr>
              <w:t>−0.391</w:t>
            </w:r>
          </w:p>
        </w:tc>
        <w:tc>
          <w:tcPr>
            <w:tcW w:type="dxa" w:w="1728"/>
          </w:tcPr>
          <w:p>
            <w:pPr>
              <w:jc w:val="center"/>
            </w:pPr>
            <w:r/>
            <w:r>
              <w:rPr>
                <w:rFonts w:ascii="Times New Roman" w:hAnsi="Times New Roman"/>
                <w:sz w:val="20"/>
              </w:rPr>
              <w:t>−1.80</w:t>
            </w:r>
          </w:p>
        </w:tc>
        <w:tc>
          <w:tcPr>
            <w:tcW w:type="dxa" w:w="1728"/>
          </w:tcPr>
          <w:p>
            <w:pPr>
              <w:jc w:val="center"/>
            </w:pPr>
            <w:r/>
            <w:r>
              <w:rPr>
                <w:rFonts w:ascii="Times New Roman" w:hAnsi="Times New Roman"/>
                <w:sz w:val="20"/>
              </w:rPr>
              <w:t>0.073</w:t>
            </w:r>
          </w:p>
        </w:tc>
        <w:tc>
          <w:tcPr>
            <w:tcW w:type="dxa" w:w="1728"/>
          </w:tcPr>
          <w:p>
            <w:pPr>
              <w:jc w:val="center"/>
            </w:pPr>
            <w:r/>
            <w:r>
              <w:rPr>
                <w:rFonts w:ascii="Times New Roman" w:hAnsi="Times New Roman"/>
                <w:sz w:val="20"/>
              </w:rPr>
              <w:t>0.078</w:t>
            </w:r>
          </w:p>
        </w:tc>
      </w:tr>
      <w:tr>
        <w:tc>
          <w:tcPr>
            <w:tcW w:type="dxa" w:w="1728"/>
          </w:tcPr>
          <w:p>
            <w:pPr>
              <w:jc w:val="center"/>
            </w:pPr>
            <w:r/>
            <w:r>
              <w:rPr>
                <w:rFonts w:ascii="Times New Roman" w:hAnsi="Times New Roman"/>
                <w:sz w:val="20"/>
              </w:rPr>
              <w:t>yfinance (^GSPC)</w:t>
            </w:r>
          </w:p>
        </w:tc>
        <w:tc>
          <w:tcPr>
            <w:tcW w:type="dxa" w:w="1728"/>
          </w:tcPr>
          <w:p>
            <w:pPr>
              <w:jc w:val="center"/>
            </w:pPr>
            <w:r/>
            <w:r>
              <w:rPr>
                <w:rFonts w:ascii="Times New Roman" w:hAnsi="Times New Roman"/>
                <w:sz w:val="20"/>
              </w:rPr>
              <w:t>−0.259</w:t>
            </w:r>
          </w:p>
        </w:tc>
        <w:tc>
          <w:tcPr>
            <w:tcW w:type="dxa" w:w="1728"/>
          </w:tcPr>
          <w:p>
            <w:pPr>
              <w:jc w:val="center"/>
            </w:pPr>
            <w:r/>
            <w:r>
              <w:rPr>
                <w:rFonts w:ascii="Times New Roman" w:hAnsi="Times New Roman"/>
                <w:sz w:val="20"/>
              </w:rPr>
              <w:t>−2.19</w:t>
            </w:r>
          </w:p>
        </w:tc>
        <w:tc>
          <w:tcPr>
            <w:tcW w:type="dxa" w:w="1728"/>
          </w:tcPr>
          <w:p>
            <w:pPr>
              <w:jc w:val="center"/>
            </w:pPr>
            <w:r/>
            <w:r>
              <w:rPr>
                <w:rFonts w:ascii="Times New Roman" w:hAnsi="Times New Roman"/>
                <w:sz w:val="20"/>
              </w:rPr>
              <w:t>0.030</w:t>
            </w:r>
          </w:p>
        </w:tc>
        <w:tc>
          <w:tcPr>
            <w:tcW w:type="dxa" w:w="1728"/>
          </w:tcPr>
          <w:p>
            <w:pPr>
              <w:jc w:val="center"/>
            </w:pPr>
            <w:r/>
            <w:r>
              <w:rPr>
                <w:rFonts w:ascii="Times New Roman" w:hAnsi="Times New Roman"/>
                <w:sz w:val="20"/>
              </w:rPr>
              <w:t>0.029</w:t>
            </w:r>
          </w:p>
        </w:tc>
      </w:tr>
    </w:tbl>
    <w:p>
      <w:pPr>
        <w:spacing w:before="0" w:after="0" w:line="276" w:lineRule="auto"/>
        <w:ind w:firstLine="720"/>
      </w:pPr>
      <w:r>
        <w:rPr>
          <w:rFonts w:ascii="Times New Roman" w:hAnsi="Times New Roman"/>
          <w:sz w:val="24"/>
        </w:rPr>
        <w:t>The yfinance coefficient is 34% smaller in magnitude than the CRSP coefficient, reflecting the absence of delisting adjustments in the yfinance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