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rPr>
          <w:trHeight w:val="16838" w:hRule="exact"/>
        </w:trPr>
        <w:tc>
          <w:tcPr>
            <w:tcW w:type="pct" w:w="100%"/>
            <w:tcBorders>
              <w:top w:val="none" w:color="FFFFFF" w:sz="0"/>
              <w:left w:val="none" w:color="FFFFFF" w:sz="0"/>
              <w:bottom w:val="none" w:color="FFFFFF" w:sz="0"/>
              <w:right w:val="none" w:color="FFFFFF" w:sz="0"/>
            </w:tcBorders>
            <w:shd w:fill="0F2027" w:val="clear"/>
            <w:vAlign w:val="top"/>
          </w:tcPr>
          <w:p>
            <w:pPr>
              <w:spacing w:before="4200"/>
            </w:pPr>
          </w:p>
          <w:p>
            <w:pPr>
              <w:pBdr>
                <w:bottom w:val="single" w:color="D4AF37" w:sz="12" w:space="20"/>
              </w:pBdr>
              <w:ind w:left="1200" w:right="1200"/>
            </w:pPr>
          </w:p>
          <w:p>
            <w:pPr>
              <w:spacing w:before="400"/>
            </w:pPr>
          </w:p>
          <w:p>
            <w:pPr>
              <w:spacing w:line="920" w:lineRule="atLeast"/>
              <w:ind w:left="1200" w:right="1200"/>
              <w:jc w:val="left"/>
            </w:pPr>
            <w:r>
              <w:rPr>
                <w:rFonts w:ascii="Times New Roman" w:eastAsia="SimHei"/>
                <w:b/>
                <w:bCs/>
                <w:color w:val="FFFFFF"/>
                <w:sz w:val="72"/>
                <w:szCs w:val="72"/>
              </w:rPr>
              <w:t xml:space="preserve">Monetary Policy Lab</w:t>
            </w:r>
          </w:p>
          <w:p>
            <w:pPr>
              <w:spacing w:before="200" w:line="480" w:lineRule="atLeast"/>
              <w:ind w:left="1200" w:right="1200"/>
              <w:jc w:val="left"/>
            </w:pPr>
            <w:r>
              <w:rPr>
                <w:rFonts w:ascii="Times New Roman" w:eastAsia="Microsoft YaHei"/>
                <w:color w:val="D4AF37"/>
                <w:sz w:val="36"/>
                <w:szCs w:val="36"/>
              </w:rPr>
              <w:t xml:space="preserve">Computational Details &amp; Technical Reference</w:t>
            </w:r>
          </w:p>
          <w:p>
            <w:pPr>
              <w:spacing w:before="200"/>
            </w:pPr>
          </w:p>
          <w:p>
            <w:pPr>
              <w:pBdr>
                <w:bottom w:val="single" w:color="D4AF37" w:sz="12" w:space="20"/>
              </w:pBdr>
              <w:ind w:left="1200" w:right="1200"/>
            </w:pPr>
          </w:p>
          <w:p>
            <w:pPr>
              <w:spacing w:before="600"/>
            </w:pPr>
          </w:p>
          <w:p>
            <w:pPr>
              <w:spacing w:line="360"/>
              <w:ind w:left="1200"/>
              <w:jc w:val="left"/>
            </w:pPr>
            <w:r>
              <w:rPr>
                <w:rFonts w:ascii="Times New Roman"/>
                <w:color w:val="90989F"/>
                <w:sz w:val="22"/>
                <w:szCs w:val="22"/>
              </w:rPr>
              <w:t xml:space="preserve">Platform: </w:t>
            </w:r>
            <w:r>
              <w:rPr>
                <w:rFonts w:ascii="Times New Roman"/>
                <w:color w:val="D4AF37"/>
                <w:sz w:val="22"/>
                <w:szCs w:val="22"/>
              </w:rPr>
              <w:t xml:space="preserve">https://monetary-policy-lab.streamlit.app</w:t>
            </w:r>
          </w:p>
          <w:p>
            <w:pPr>
              <w:spacing w:line="360"/>
              <w:ind w:left="1200"/>
              <w:jc w:val="left"/>
            </w:pPr>
            <w:r>
              <w:rPr>
                <w:rFonts w:ascii="Times New Roman"/>
                <w:color w:val="90989F"/>
                <w:sz w:val="22"/>
                <w:szCs w:val="22"/>
              </w:rPr>
              <w:t xml:space="preserve">Repository: </w:t>
            </w:r>
            <w:r>
              <w:rPr>
                <w:rFonts w:ascii="Times New Roman"/>
                <w:color w:val="D4AF37"/>
                <w:sz w:val="22"/>
                <w:szCs w:val="22"/>
              </w:rPr>
              <w:t xml:space="preserve">github.com/dechang64/monetary-policy-lab</w:t>
            </w:r>
          </w:p>
          <w:p>
            <w:pPr>
              <w:spacing w:line="360"/>
              <w:ind w:left="1200"/>
              <w:jc w:val="left"/>
            </w:pPr>
            <w:r>
              <w:rPr>
                <w:rFonts w:ascii="Times New Roman"/>
                <w:color w:val="90989F"/>
                <w:sz w:val="22"/>
                <w:szCs w:val="22"/>
              </w:rPr>
              <w:t xml:space="preserve">Version: </w:t>
            </w:r>
            <w:r>
              <w:rPr>
                <w:rFonts w:ascii="Times New Roman"/>
                <w:color w:val="B0B8C0"/>
                <w:sz w:val="22"/>
                <w:szCs w:val="22"/>
              </w:rPr>
              <w:t xml:space="preserve">v1.0 (Phase 1 Complete, WRDS Integration Pending)</w:t>
            </w:r>
          </w:p>
          <w:p>
            <w:pPr>
              <w:spacing w:before="200" w:line="360"/>
              <w:ind w:left="1200"/>
              <w:jc w:val="left"/>
            </w:pPr>
            <w:r>
              <w:rPr>
                <w:rFonts w:ascii="Times New Roman"/>
                <w:color w:val="90989F"/>
                <w:sz w:val="22"/>
                <w:szCs w:val="22"/>
              </w:rPr>
              <w:t xml:space="preserve">Date: May 2025</w:t>
            </w:r>
          </w:p>
        </w:tc>
      </w:tr>
    </w:tbl>
    <w:p>
      <w:pPr>
        <w:sectPr>
          <w:pgSz w:w="11906" w:h="16838" w:orient="portrait"/>
          <w:pgMar w:top="0" w:right="0" w:bottom="0" w:left="0" w:header="708" w:footer="708" w:gutter="0"/>
          <w:pgNumType/>
          <w:docGrid w:linePitch="360"/>
        </w:sectPr>
      </w:pPr>
    </w:p>
    <w:p>
      <w:pPr>
        <w:spacing w:after="300" w:before="200"/>
      </w:pPr>
      <w:r>
        <w:rPr>
          <w:rFonts w:ascii="Times New Roman" w:eastAsia="SimHei"/>
          <w:b/>
          <w:bCs/>
          <w:color w:val="0F2027"/>
          <w:sz w:val="36"/>
          <w:szCs w:val="36"/>
        </w:rPr>
        <w:t xml:space="preserve">Table of Contents</w:t>
      </w:r>
    </w:p>
    <w:sdt>
      <w:sdtPr>
        <w:alias w:val="Table of Contents"/>
      </w:sdtPr>
      <w:sdtContent>
        <w:p>
          <w:r>
            <w:fldChar w:fldCharType="begin" w:dirty="true"/>
          </w:r>
          <w:r>
            <w:instrText xml:space="preserve">TOC \h \o "1-3"</w:instrText>
          </w:r>
          <w:r>
            <w:fldChar w:fldCharType="separate"/>
          </w:r>
        </w:p>
        <w:p>
          <w:pPr>
            <w:pStyle w:val="9"/>
            <w:tabs>
              <w:tab w:val="right" w:leader="dot" w:pos="9026"/>
            </w:tabs>
            <w:spacing w:before="120" w:after="60"/>
          </w:pPr>
          <w:hyperlink w:anchor="_Toc100000" w:history="1">
            <w:r>
              <w:rPr>
                <w:rStyle w:val="Hyperlink"/>
              </w:rPr>
              <w:t>1. Architecture Overview</w:t>
            </w:r>
            <w:r>
              <w:tab/>
            </w:r>
            <w:r>
              <w:fldChar w:fldCharType="begin"/>
            </w:r>
            <w:r>
              <w:instrText xml:space="preserve"> PAGEREF _Toc100000 \h </w:instrText>
            </w:r>
            <w:r>
              <w:fldChar w:fldCharType="separate"/>
            </w:r>
            <w:r>
              <w:t>1</w:t>
            </w:r>
            <w:r>
              <w:fldChar w:fldCharType="end"/>
            </w:r>
          </w:hyperlink>
        </w:p>
        <w:p>
          <w:pPr>
            <w:pStyle w:val="9"/>
            <w:tabs>
              <w:tab w:val="right" w:leader="dot" w:pos="9026"/>
            </w:tabs>
            <w:spacing w:before="120" w:after="60"/>
          </w:pPr>
          <w:hyperlink w:anchor="_Toc100001" w:history="1">
            <w:r>
              <w:rPr>
                <w:rStyle w:val="Hyperlink"/>
              </w:rPr>
              <w:t>2. Data Sources &amp; Pipeline</w:t>
            </w:r>
            <w:r>
              <w:tab/>
            </w:r>
            <w:r>
              <w:fldChar w:fldCharType="begin"/>
            </w:r>
            <w:r>
              <w:instrText xml:space="preserve"> PAGEREF _Toc100001 \h </w:instrText>
            </w:r>
            <w:r>
              <w:fldChar w:fldCharType="separate"/>
            </w:r>
            <w:r>
              <w:t>2</w:t>
            </w:r>
            <w:r>
              <w:fldChar w:fldCharType="end"/>
            </w:r>
          </w:hyperlink>
        </w:p>
        <w:p>
          <w:pPr>
            <w:pStyle w:val="11"/>
            <w:ind w:left="360"/>
            <w:tabs>
              <w:tab w:val="right" w:leader="dot" w:pos="9026"/>
            </w:tabs>
            <w:spacing w:before="120" w:after="60"/>
          </w:pPr>
          <w:hyperlink w:anchor="_Toc100002" w:history="1">
            <w:r>
              <w:rPr>
                <w:rStyle w:val="Hyperlink"/>
              </w:rPr>
              <w:t>2.1 FRED API Integration</w:t>
            </w:r>
            <w:r>
              <w:tab/>
            </w:r>
            <w:r>
              <w:fldChar w:fldCharType="begin"/>
            </w:r>
            <w:r>
              <w:instrText xml:space="preserve"> PAGEREF _Toc100002 \h </w:instrText>
            </w:r>
            <w:r>
              <w:fldChar w:fldCharType="separate"/>
            </w:r>
            <w:r>
              <w:t>2</w:t>
            </w:r>
            <w:r>
              <w:fldChar w:fldCharType="end"/>
            </w:r>
          </w:hyperlink>
        </w:p>
        <w:p>
          <w:pPr>
            <w:pStyle w:val="11"/>
            <w:ind w:left="360"/>
            <w:tabs>
              <w:tab w:val="right" w:leader="dot" w:pos="9026"/>
            </w:tabs>
            <w:spacing w:before="120" w:after="60"/>
          </w:pPr>
          <w:hyperlink w:anchor="_Toc100003" w:history="1">
            <w:r>
              <w:rPr>
                <w:rStyle w:val="Hyperlink"/>
              </w:rPr>
              <w:t>2.2 FOMC Statement Scraping</w:t>
            </w:r>
            <w:r>
              <w:tab/>
            </w:r>
            <w:r>
              <w:fldChar w:fldCharType="begin"/>
            </w:r>
            <w:r>
              <w:instrText xml:space="preserve"> PAGEREF _Toc100003 \h </w:instrText>
            </w:r>
            <w:r>
              <w:fldChar w:fldCharType="separate"/>
            </w:r>
            <w:r>
              <w:t>2</w:t>
            </w:r>
            <w:r>
              <w:fldChar w:fldCharType="end"/>
            </w:r>
          </w:hyperlink>
        </w:p>
        <w:p>
          <w:pPr>
            <w:pStyle w:val="11"/>
            <w:ind w:left="360"/>
            <w:tabs>
              <w:tab w:val="right" w:leader="dot" w:pos="9026"/>
            </w:tabs>
            <w:spacing w:before="120" w:after="60"/>
          </w:pPr>
          <w:hyperlink w:anchor="_Toc100004" w:history="1">
            <w:r>
              <w:rPr>
                <w:rStyle w:val="Hyperlink"/>
              </w:rPr>
              <w:t>2.3 Asset Price Data</w:t>
            </w:r>
            <w:r>
              <w:tab/>
            </w:r>
            <w:r>
              <w:fldChar w:fldCharType="begin"/>
            </w:r>
            <w:r>
              <w:instrText xml:space="preserve"> PAGEREF _Toc100004 \h </w:instrText>
            </w:r>
            <w:r>
              <w:fldChar w:fldCharType="separate"/>
            </w:r>
            <w:r>
              <w:t>3</w:t>
            </w:r>
            <w:r>
              <w:fldChar w:fldCharType="end"/>
            </w:r>
          </w:hyperlink>
        </w:p>
        <w:p>
          <w:pPr>
            <w:pStyle w:val="11"/>
            <w:ind w:left="360"/>
            <w:tabs>
              <w:tab w:val="right" w:leader="dot" w:pos="9026"/>
            </w:tabs>
            <w:spacing w:before="120" w:after="60"/>
          </w:pPr>
          <w:hyperlink w:anchor="_Toc100005" w:history="1">
            <w:r>
              <w:rPr>
                <w:rStyle w:val="Hyperlink"/>
              </w:rPr>
              <w:t>2.4 WRDS Integration (Planned)</w:t>
            </w:r>
            <w:r>
              <w:tab/>
            </w:r>
            <w:r>
              <w:fldChar w:fldCharType="begin"/>
            </w:r>
            <w:r>
              <w:instrText xml:space="preserve"> PAGEREF _Toc100005 \h </w:instrText>
            </w:r>
            <w:r>
              <w:fldChar w:fldCharType="separate"/>
            </w:r>
            <w:r>
              <w:t>3</w:t>
            </w:r>
            <w:r>
              <w:fldChar w:fldCharType="end"/>
            </w:r>
          </w:hyperlink>
        </w:p>
        <w:p>
          <w:pPr>
            <w:pStyle w:val="9"/>
            <w:tabs>
              <w:tab w:val="right" w:leader="dot" w:pos="9026"/>
            </w:tabs>
            <w:spacing w:before="120" w:after="60"/>
          </w:pPr>
          <w:hyperlink w:anchor="_Toc100006" w:history="1">
            <w:r>
              <w:rPr>
                <w:rStyle w:val="Hyperlink"/>
              </w:rPr>
              <w:t>3. Monetary Policy Surprise</w:t>
            </w:r>
            <w:r>
              <w:tab/>
            </w:r>
            <w:r>
              <w:fldChar w:fldCharType="begin"/>
            </w:r>
            <w:r>
              <w:instrText xml:space="preserve"> PAGEREF _Toc100006 \h </w:instrText>
            </w:r>
            <w:r>
              <w:fldChar w:fldCharType="separate"/>
            </w:r>
            <w:r>
              <w:t>3</w:t>
            </w:r>
            <w:r>
              <w:fldChar w:fldCharType="end"/>
            </w:r>
          </w:hyperlink>
        </w:p>
        <w:p>
          <w:pPr>
            <w:pStyle w:val="11"/>
            <w:ind w:left="360"/>
            <w:tabs>
              <w:tab w:val="right" w:leader="dot" w:pos="9026"/>
            </w:tabs>
            <w:spacing w:before="120" w:after="60"/>
          </w:pPr>
          <w:hyperlink w:anchor="_Toc100007" w:history="1">
            <w:r>
              <w:rPr>
                <w:rStyle w:val="Hyperlink"/>
              </w:rPr>
              <w:t>3.1 Current Implementation: Rate Change Proxy</w:t>
            </w:r>
            <w:r>
              <w:tab/>
            </w:r>
            <w:r>
              <w:fldChar w:fldCharType="begin"/>
            </w:r>
            <w:r>
              <w:instrText xml:space="preserve"> PAGEREF _Toc100007 \h </w:instrText>
            </w:r>
            <w:r>
              <w:fldChar w:fldCharType="separate"/>
            </w:r>
            <w:r>
              <w:t>3</w:t>
            </w:r>
            <w:r>
              <w:fldChar w:fldCharType="end"/>
            </w:r>
          </w:hyperlink>
        </w:p>
        <w:p>
          <w:pPr>
            <w:pStyle w:val="11"/>
            <w:ind w:left="360"/>
            <w:tabs>
              <w:tab w:val="right" w:leader="dot" w:pos="9026"/>
            </w:tabs>
            <w:spacing w:before="120" w:after="60"/>
          </w:pPr>
          <w:hyperlink w:anchor="_Toc100008" w:history="1">
            <w:r>
              <w:rPr>
                <w:rStyle w:val="Hyperlink"/>
              </w:rPr>
              <w:t>3.2 Kuttner (2001) Method (Planned)</w:t>
            </w:r>
            <w:r>
              <w:tab/>
            </w:r>
            <w:r>
              <w:fldChar w:fldCharType="begin"/>
            </w:r>
            <w:r>
              <w:instrText xml:space="preserve"> PAGEREF _Toc100008 \h </w:instrText>
            </w:r>
            <w:r>
              <w:fldChar w:fldCharType="separate"/>
            </w:r>
            <w:r>
              <w:t>4</w:t>
            </w:r>
            <w:r>
              <w:fldChar w:fldCharType="end"/>
            </w:r>
          </w:hyperlink>
        </w:p>
        <w:p>
          <w:pPr>
            <w:pStyle w:val="11"/>
            <w:ind w:left="360"/>
            <w:tabs>
              <w:tab w:val="right" w:leader="dot" w:pos="9026"/>
            </w:tabs>
            <w:spacing w:before="120" w:after="60"/>
          </w:pPr>
          <w:hyperlink w:anchor="_Toc100009" w:history="1">
            <w:r>
              <w:rPr>
                <w:rStyle w:val="Hyperlink"/>
              </w:rPr>
              <w:t>3.3 Gürkaynak et al. (2005) Path Factor (Planned)</w:t>
            </w:r>
            <w:r>
              <w:tab/>
            </w:r>
            <w:r>
              <w:fldChar w:fldCharType="begin"/>
            </w:r>
            <w:r>
              <w:instrText xml:space="preserve"> PAGEREF _Toc100009 \h </w:instrText>
            </w:r>
            <w:r>
              <w:fldChar w:fldCharType="separate"/>
            </w:r>
            <w:r>
              <w:t>4</w:t>
            </w:r>
            <w:r>
              <w:fldChar w:fldCharType="end"/>
            </w:r>
          </w:hyperlink>
        </w:p>
        <w:p>
          <w:pPr>
            <w:pStyle w:val="9"/>
            <w:tabs>
              <w:tab w:val="right" w:leader="dot" w:pos="9026"/>
            </w:tabs>
            <w:spacing w:before="120" w:after="60"/>
          </w:pPr>
          <w:hyperlink w:anchor="_Toc100010" w:history="1">
            <w:r>
              <w:rPr>
                <w:rStyle w:val="Hyperlink"/>
              </w:rPr>
              <w:t>4. Sentiment Analysis</w:t>
            </w:r>
            <w:r>
              <w:tab/>
            </w:r>
            <w:r>
              <w:fldChar w:fldCharType="begin"/>
            </w:r>
            <w:r>
              <w:instrText xml:space="preserve"> PAGEREF _Toc100010 \h </w:instrText>
            </w:r>
            <w:r>
              <w:fldChar w:fldCharType="separate"/>
            </w:r>
            <w:r>
              <w:t>5</w:t>
            </w:r>
            <w:r>
              <w:fldChar w:fldCharType="end"/>
            </w:r>
          </w:hyperlink>
        </w:p>
        <w:p>
          <w:pPr>
            <w:pStyle w:val="11"/>
            <w:ind w:left="360"/>
            <w:tabs>
              <w:tab w:val="right" w:leader="dot" w:pos="9026"/>
            </w:tabs>
            <w:spacing w:before="120" w:after="60"/>
          </w:pPr>
          <w:hyperlink w:anchor="_Toc100011" w:history="1">
            <w:r>
              <w:rPr>
                <w:rStyle w:val="Hyperlink"/>
              </w:rPr>
              <w:t>4.1 Dual-Dictionary Method</w:t>
            </w:r>
            <w:r>
              <w:tab/>
            </w:r>
            <w:r>
              <w:fldChar w:fldCharType="begin"/>
            </w:r>
            <w:r>
              <w:instrText xml:space="preserve"> PAGEREF _Toc100011 \h </w:instrText>
            </w:r>
            <w:r>
              <w:fldChar w:fldCharType="separate"/>
            </w:r>
            <w:r>
              <w:t>5</w:t>
            </w:r>
            <w:r>
              <w:fldChar w:fldCharType="end"/>
            </w:r>
          </w:hyperlink>
        </w:p>
        <w:p>
          <w:pPr>
            <w:pStyle w:val="11"/>
            <w:ind w:left="360"/>
            <w:tabs>
              <w:tab w:val="right" w:leader="dot" w:pos="9026"/>
            </w:tabs>
            <w:spacing w:before="120" w:after="60"/>
          </w:pPr>
          <w:hyperlink w:anchor="_Toc100012" w:history="1">
            <w:r>
              <w:rPr>
                <w:rStyle w:val="Hyperlink"/>
              </w:rPr>
              <w:t>4.2 Known Limitations</w:t>
            </w:r>
            <w:r>
              <w:tab/>
            </w:r>
            <w:r>
              <w:fldChar w:fldCharType="begin"/>
            </w:r>
            <w:r>
              <w:instrText xml:space="preserve"> PAGEREF _Toc100012 \h </w:instrText>
            </w:r>
            <w:r>
              <w:fldChar w:fldCharType="separate"/>
            </w:r>
            <w:r>
              <w:t>5</w:t>
            </w:r>
            <w:r>
              <w:fldChar w:fldCharType="end"/>
            </w:r>
          </w:hyperlink>
        </w:p>
        <w:p>
          <w:pPr>
            <w:pStyle w:val="11"/>
            <w:ind w:left="360"/>
            <w:tabs>
              <w:tab w:val="right" w:leader="dot" w:pos="9026"/>
            </w:tabs>
            <w:spacing w:before="120" w:after="60"/>
          </w:pPr>
          <w:hyperlink w:anchor="_Toc100013" w:history="1">
            <w:r>
              <w:rPr>
                <w:rStyle w:val="Hyperlink"/>
              </w:rPr>
              <w:t>4.3 Planned Upgrades</w:t>
            </w:r>
            <w:r>
              <w:tab/>
            </w:r>
            <w:r>
              <w:fldChar w:fldCharType="begin"/>
            </w:r>
            <w:r>
              <w:instrText xml:space="preserve"> PAGEREF _Toc100013 \h </w:instrText>
            </w:r>
            <w:r>
              <w:fldChar w:fldCharType="separate"/>
            </w:r>
            <w:r>
              <w:t>6</w:t>
            </w:r>
            <w:r>
              <w:fldChar w:fldCharType="end"/>
            </w:r>
          </w:hyperlink>
        </w:p>
        <w:p>
          <w:pPr>
            <w:pStyle w:val="9"/>
            <w:tabs>
              <w:tab w:val="right" w:leader="dot" w:pos="9026"/>
            </w:tabs>
            <w:spacing w:before="120" w:after="60"/>
          </w:pPr>
          <w:hyperlink w:anchor="_Toc100014" w:history="1">
            <w:r>
              <w:rPr>
                <w:rStyle w:val="Hyperlink"/>
              </w:rPr>
              <w:t>5. Two-Shock Decomposition</w:t>
            </w:r>
            <w:r>
              <w:tab/>
            </w:r>
            <w:r>
              <w:fldChar w:fldCharType="begin"/>
            </w:r>
            <w:r>
              <w:instrText xml:space="preserve"> PAGEREF _Toc100014 \h </w:instrText>
            </w:r>
            <w:r>
              <w:fldChar w:fldCharType="separate"/>
            </w:r>
            <w:r>
              <w:t>6</w:t>
            </w:r>
            <w:r>
              <w:fldChar w:fldCharType="end"/>
            </w:r>
          </w:hyperlink>
        </w:p>
        <w:p>
          <w:pPr>
            <w:pStyle w:val="11"/>
            <w:ind w:left="360"/>
            <w:tabs>
              <w:tab w:val="right" w:leader="dot" w:pos="9026"/>
            </w:tabs>
            <w:spacing w:before="120" w:after="60"/>
          </w:pPr>
          <w:hyperlink w:anchor="_Toc100015" w:history="1">
            <w:r>
              <w:rPr>
                <w:rStyle w:val="Hyperlink"/>
              </w:rPr>
              <w:t>5.1 Variance Decomposition</w:t>
            </w:r>
            <w:r>
              <w:tab/>
            </w:r>
            <w:r>
              <w:fldChar w:fldCharType="begin"/>
            </w:r>
            <w:r>
              <w:instrText xml:space="preserve"> PAGEREF _Toc100015 \h </w:instrText>
            </w:r>
            <w:r>
              <w:fldChar w:fldCharType="separate"/>
            </w:r>
            <w:r>
              <w:t>6</w:t>
            </w:r>
            <w:r>
              <w:fldChar w:fldCharType="end"/>
            </w:r>
          </w:hyperlink>
        </w:p>
        <w:p>
          <w:pPr>
            <w:pStyle w:val="11"/>
            <w:ind w:left="360"/>
            <w:tabs>
              <w:tab w:val="right" w:leader="dot" w:pos="9026"/>
            </w:tabs>
            <w:spacing w:before="120" w:after="60"/>
          </w:pPr>
          <w:hyperlink w:anchor="_Toc100016" w:history="1">
            <w:r>
              <w:rPr>
                <w:rStyle w:val="Hyperlink"/>
              </w:rPr>
              <w:t>5.2 Simulation-Based Decomposition</w:t>
            </w:r>
            <w:r>
              <w:tab/>
            </w:r>
            <w:r>
              <w:fldChar w:fldCharType="begin"/>
            </w:r>
            <w:r>
              <w:instrText xml:space="preserve"> PAGEREF _Toc100016 \h </w:instrText>
            </w:r>
            <w:r>
              <w:fldChar w:fldCharType="separate"/>
            </w:r>
            <w:r>
              <w:t>7</w:t>
            </w:r>
            <w:r>
              <w:fldChar w:fldCharType="end"/>
            </w:r>
          </w:hyperlink>
        </w:p>
        <w:p>
          <w:pPr>
            <w:pStyle w:val="9"/>
            <w:tabs>
              <w:tab w:val="right" w:leader="dot" w:pos="9026"/>
            </w:tabs>
            <w:spacing w:before="120" w:after="60"/>
          </w:pPr>
          <w:hyperlink w:anchor="_Toc100017" w:history="1">
            <w:r>
              <w:rPr>
                <w:rStyle w:val="Hyperlink"/>
              </w:rPr>
              <w:t>6. Regression Framework</w:t>
            </w:r>
            <w:r>
              <w:tab/>
            </w:r>
            <w:r>
              <w:fldChar w:fldCharType="begin"/>
            </w:r>
            <w:r>
              <w:instrText xml:space="preserve"> PAGEREF _Toc100017 \h </w:instrText>
            </w:r>
            <w:r>
              <w:fldChar w:fldCharType="separate"/>
            </w:r>
            <w:r>
              <w:t>8</w:t>
            </w:r>
            <w:r>
              <w:fldChar w:fldCharType="end"/>
            </w:r>
          </w:hyperlink>
        </w:p>
        <w:p>
          <w:pPr>
            <w:pStyle w:val="11"/>
            <w:ind w:left="360"/>
            <w:tabs>
              <w:tab w:val="right" w:leader="dot" w:pos="9026"/>
            </w:tabs>
            <w:spacing w:before="120" w:after="60"/>
          </w:pPr>
          <w:hyperlink w:anchor="_Toc100018" w:history="1">
            <w:r>
              <w:rPr>
                <w:rStyle w:val="Hyperlink"/>
              </w:rPr>
              <w:t>6.1 Core Specifications</w:t>
            </w:r>
            <w:r>
              <w:tab/>
            </w:r>
            <w:r>
              <w:fldChar w:fldCharType="begin"/>
            </w:r>
            <w:r>
              <w:instrText xml:space="preserve"> PAGEREF _Toc100018 \h </w:instrText>
            </w:r>
            <w:r>
              <w:fldChar w:fldCharType="separate"/>
            </w:r>
            <w:r>
              <w:t>8</w:t>
            </w:r>
            <w:r>
              <w:fldChar w:fldCharType="end"/>
            </w:r>
          </w:hyperlink>
        </w:p>
        <w:p>
          <w:pPr>
            <w:pStyle w:val="11"/>
            <w:ind w:left="360"/>
            <w:tabs>
              <w:tab w:val="right" w:leader="dot" w:pos="9026"/>
            </w:tabs>
            <w:spacing w:before="120" w:after="60"/>
          </w:pPr>
          <w:hyperlink w:anchor="_Toc100019" w:history="1">
            <w:r>
              <w:rPr>
                <w:rStyle w:val="Hyperlink"/>
              </w:rPr>
              <w:t>6.2 Estimation Method</w:t>
            </w:r>
            <w:r>
              <w:tab/>
            </w:r>
            <w:r>
              <w:fldChar w:fldCharType="begin"/>
            </w:r>
            <w:r>
              <w:instrText xml:space="preserve"> PAGEREF _Toc100019 \h </w:instrText>
            </w:r>
            <w:r>
              <w:fldChar w:fldCharType="separate"/>
            </w:r>
            <w:r>
              <w:t>9</w:t>
            </w:r>
            <w:r>
              <w:fldChar w:fldCharType="end"/>
            </w:r>
          </w:hyperlink>
        </w:p>
        <w:p>
          <w:pPr>
            <w:pStyle w:val="11"/>
            <w:ind w:left="360"/>
            <w:tabs>
              <w:tab w:val="right" w:leader="dot" w:pos="9026"/>
            </w:tabs>
            <w:spacing w:before="120" w:after="60"/>
          </w:pPr>
          <w:hyperlink w:anchor="_Toc100020" w:history="1">
            <w:r>
              <w:rPr>
                <w:rStyle w:val="Hyperlink"/>
              </w:rPr>
              <w:t>6.3 Multiple Testing Correction</w:t>
            </w:r>
            <w:r>
              <w:tab/>
            </w:r>
            <w:r>
              <w:fldChar w:fldCharType="begin"/>
            </w:r>
            <w:r>
              <w:instrText xml:space="preserve"> PAGEREF _Toc100020 \h </w:instrText>
            </w:r>
            <w:r>
              <w:fldChar w:fldCharType="separate"/>
            </w:r>
            <w:r>
              <w:t>10</w:t>
            </w:r>
            <w:r>
              <w:fldChar w:fldCharType="end"/>
            </w:r>
          </w:hyperlink>
        </w:p>
        <w:p>
          <w:pPr>
            <w:pStyle w:val="9"/>
            <w:tabs>
              <w:tab w:val="right" w:leader="dot" w:pos="9026"/>
            </w:tabs>
            <w:spacing w:before="120" w:after="60"/>
          </w:pPr>
          <w:hyperlink w:anchor="_Toc100021" w:history="1">
            <w:r>
              <w:rPr>
                <w:rStyle w:val="Hyperlink"/>
              </w:rPr>
              <w:t>7. Event Study Methodology</w:t>
            </w:r>
            <w:r>
              <w:tab/>
            </w:r>
            <w:r>
              <w:fldChar w:fldCharType="begin"/>
            </w:r>
            <w:r>
              <w:instrText xml:space="preserve"> PAGEREF _Toc100021 \h </w:instrText>
            </w:r>
            <w:r>
              <w:fldChar w:fldCharType="separate"/>
            </w:r>
            <w:r>
              <w:t>10</w:t>
            </w:r>
            <w:r>
              <w:fldChar w:fldCharType="end"/>
            </w:r>
          </w:hyperlink>
        </w:p>
        <w:p>
          <w:pPr>
            <w:pStyle w:val="9"/>
            <w:tabs>
              <w:tab w:val="right" w:leader="dot" w:pos="9026"/>
            </w:tabs>
            <w:spacing w:before="120" w:after="60"/>
          </w:pPr>
          <w:hyperlink w:anchor="_Toc100022" w:history="1">
            <w:r>
              <w:rPr>
                <w:rStyle w:val="Hyperlink"/>
              </w:rPr>
              <w:t>8. Capital Flow Analysis</w:t>
            </w:r>
            <w:r>
              <w:tab/>
            </w:r>
            <w:r>
              <w:fldChar w:fldCharType="begin"/>
            </w:r>
            <w:r>
              <w:instrText xml:space="preserve"> PAGEREF _Toc100022 \h </w:instrText>
            </w:r>
            <w:r>
              <w:fldChar w:fldCharType="separate"/>
            </w:r>
            <w:r>
              <w:t>11</w:t>
            </w:r>
            <w:r>
              <w:fldChar w:fldCharType="end"/>
            </w:r>
          </w:hyperlink>
        </w:p>
        <w:p>
          <w:pPr>
            <w:pStyle w:val="9"/>
            <w:tabs>
              <w:tab w:val="right" w:leader="dot" w:pos="9026"/>
            </w:tabs>
            <w:spacing w:before="120" w:after="60"/>
          </w:pPr>
          <w:hyperlink w:anchor="_Toc100023" w:history="1">
            <w:r>
              <w:rPr>
                <w:rStyle w:val="Hyperlink"/>
              </w:rPr>
              <w:t>9. Current Results vs. Literature Benchmarks</w:t>
            </w:r>
            <w:r>
              <w:tab/>
            </w:r>
            <w:r>
              <w:fldChar w:fldCharType="begin"/>
            </w:r>
            <w:r>
              <w:instrText xml:space="preserve"> PAGEREF _Toc100023 \h </w:instrText>
            </w:r>
            <w:r>
              <w:fldChar w:fldCharType="separate"/>
            </w:r>
            <w:r>
              <w:t>12</w:t>
            </w:r>
            <w:r>
              <w:fldChar w:fldCharType="end"/>
            </w:r>
          </w:hyperlink>
        </w:p>
        <w:p>
          <w:pPr>
            <w:pStyle w:val="9"/>
            <w:tabs>
              <w:tab w:val="right" w:leader="dot" w:pos="9026"/>
            </w:tabs>
            <w:spacing w:before="120" w:after="60"/>
          </w:pPr>
          <w:hyperlink w:anchor="_Toc100024" w:history="1">
            <w:r>
              <w:rPr>
                <w:rStyle w:val="Hyperlink"/>
              </w:rPr>
              <w:t>10. Statistical Inference Notes</w:t>
            </w:r>
            <w:r>
              <w:tab/>
            </w:r>
            <w:r>
              <w:fldChar w:fldCharType="begin"/>
            </w:r>
            <w:r>
              <w:instrText xml:space="preserve"> PAGEREF _Toc100024 \h </w:instrText>
            </w:r>
            <w:r>
              <w:fldChar w:fldCharType="separate"/>
            </w:r>
            <w:r>
              <w:t>13</w:t>
            </w:r>
            <w:r>
              <w:fldChar w:fldCharType="end"/>
            </w:r>
          </w:hyperlink>
        </w:p>
        <w:p>
          <w:pPr>
            <w:pStyle w:val="11"/>
            <w:ind w:left="360"/>
            <w:tabs>
              <w:tab w:val="right" w:leader="dot" w:pos="9026"/>
            </w:tabs>
            <w:spacing w:before="120" w:after="60"/>
          </w:pPr>
          <w:hyperlink w:anchor="_Toc100025" w:history="1">
            <w:r>
              <w:rPr>
                <w:rStyle w:val="Hyperlink"/>
              </w:rPr>
              <w:t>10.1 Standard Errors</w:t>
            </w:r>
            <w:r>
              <w:tab/>
            </w:r>
            <w:r>
              <w:fldChar w:fldCharType="begin"/>
            </w:r>
            <w:r>
              <w:instrText xml:space="preserve"> PAGEREF _Toc100025 \h </w:instrText>
            </w:r>
            <w:r>
              <w:fldChar w:fldCharType="separate"/>
            </w:r>
            <w:r>
              <w:t>13</w:t>
            </w:r>
            <w:r>
              <w:fldChar w:fldCharType="end"/>
            </w:r>
          </w:hyperlink>
        </w:p>
        <w:p>
          <w:pPr>
            <w:pStyle w:val="11"/>
            <w:ind w:left="360"/>
            <w:tabs>
              <w:tab w:val="right" w:leader="dot" w:pos="9026"/>
            </w:tabs>
            <w:spacing w:before="120" w:after="60"/>
          </w:pPr>
          <w:hyperlink w:anchor="_Toc100026" w:history="1">
            <w:r>
              <w:rPr>
                <w:rStyle w:val="Hyperlink"/>
              </w:rPr>
              <w:t>10.2 Multiple Testing</w:t>
            </w:r>
            <w:r>
              <w:tab/>
            </w:r>
            <w:r>
              <w:fldChar w:fldCharType="begin"/>
            </w:r>
            <w:r>
              <w:instrText xml:space="preserve"> PAGEREF _Toc100026 \h </w:instrText>
            </w:r>
            <w:r>
              <w:fldChar w:fldCharType="separate"/>
            </w:r>
            <w:r>
              <w:t>14</w:t>
            </w:r>
            <w:r>
              <w:fldChar w:fldCharType="end"/>
            </w:r>
          </w:hyperlink>
        </w:p>
        <w:p>
          <w:pPr>
            <w:pStyle w:val="11"/>
            <w:ind w:left="360"/>
            <w:tabs>
              <w:tab w:val="right" w:leader="dot" w:pos="9026"/>
            </w:tabs>
            <w:spacing w:before="120" w:after="60"/>
          </w:pPr>
          <w:hyperlink w:anchor="_Toc100027" w:history="1">
            <w:r>
              <w:rPr>
                <w:rStyle w:val="Hyperlink"/>
              </w:rPr>
              <w:t>10.3 Endogeneity</w:t>
            </w:r>
            <w:r>
              <w:tab/>
            </w:r>
            <w:r>
              <w:fldChar w:fldCharType="begin"/>
            </w:r>
            <w:r>
              <w:instrText xml:space="preserve"> PAGEREF _Toc100027 \h </w:instrText>
            </w:r>
            <w:r>
              <w:fldChar w:fldCharType="separate"/>
            </w:r>
            <w:r>
              <w:t>14</w:t>
            </w:r>
            <w:r>
              <w:fldChar w:fldCharType="end"/>
            </w:r>
          </w:hyperlink>
        </w:p>
        <w:p>
          <w:pPr>
            <w:pStyle w:val="9"/>
            <w:tabs>
              <w:tab w:val="right" w:leader="dot" w:pos="9026"/>
            </w:tabs>
            <w:spacing w:before="120" w:after="60"/>
          </w:pPr>
          <w:hyperlink w:anchor="_Toc100028" w:history="1">
            <w:r>
              <w:rPr>
                <w:rStyle w:val="Hyperlink"/>
              </w:rPr>
              <w:t>11. Reproducibility &amp; Technical Notes</w:t>
            </w:r>
            <w:r>
              <w:tab/>
            </w:r>
            <w:r>
              <w:fldChar w:fldCharType="begin"/>
            </w:r>
            <w:r>
              <w:instrText xml:space="preserve"> PAGEREF _Toc100028 \h </w:instrText>
            </w:r>
            <w:r>
              <w:fldChar w:fldCharType="separate"/>
            </w:r>
            <w:r>
              <w:t>14</w:t>
            </w:r>
            <w:r>
              <w:fldChar w:fldCharType="end"/>
            </w:r>
          </w:hyperlink>
        </w:p>
        <w:p>
          <w:pPr>
            <w:pStyle w:val="11"/>
            <w:ind w:left="360"/>
            <w:tabs>
              <w:tab w:val="right" w:leader="dot" w:pos="9026"/>
            </w:tabs>
            <w:spacing w:before="120" w:after="60"/>
          </w:pPr>
          <w:hyperlink w:anchor="_Toc100029" w:history="1">
            <w:r>
              <w:rPr>
                <w:rStyle w:val="Hyperlink"/>
              </w:rPr>
              <w:t>11.1 Data Caching</w:t>
            </w:r>
            <w:r>
              <w:tab/>
            </w:r>
            <w:r>
              <w:fldChar w:fldCharType="begin"/>
            </w:r>
            <w:r>
              <w:instrText xml:space="preserve"> PAGEREF _Toc100029 \h </w:instrText>
            </w:r>
            <w:r>
              <w:fldChar w:fldCharType="separate"/>
            </w:r>
            <w:r>
              <w:t>14</w:t>
            </w:r>
            <w:r>
              <w:fldChar w:fldCharType="end"/>
            </w:r>
          </w:hyperlink>
        </w:p>
        <w:p>
          <w:pPr>
            <w:pStyle w:val="11"/>
            <w:ind w:left="360"/>
            <w:tabs>
              <w:tab w:val="right" w:leader="dot" w:pos="9026"/>
            </w:tabs>
            <w:spacing w:before="120" w:after="60"/>
          </w:pPr>
          <w:hyperlink w:anchor="_Toc100030" w:history="1">
            <w:r>
              <w:rPr>
                <w:rStyle w:val="Hyperlink"/>
              </w:rPr>
              <w:t>11.2 Randomness</w:t>
            </w:r>
            <w:r>
              <w:tab/>
            </w:r>
            <w:r>
              <w:fldChar w:fldCharType="begin"/>
            </w:r>
            <w:r>
              <w:instrText xml:space="preserve"> PAGEREF _Toc100030 \h </w:instrText>
            </w:r>
            <w:r>
              <w:fldChar w:fldCharType="separate"/>
            </w:r>
            <w:r>
              <w:t>14</w:t>
            </w:r>
            <w:r>
              <w:fldChar w:fldCharType="end"/>
            </w:r>
          </w:hyperlink>
        </w:p>
        <w:p>
          <w:pPr>
            <w:pStyle w:val="11"/>
            <w:ind w:left="360"/>
            <w:tabs>
              <w:tab w:val="right" w:leader="dot" w:pos="9026"/>
            </w:tabs>
            <w:spacing w:before="120" w:after="60"/>
          </w:pPr>
          <w:hyperlink w:anchor="_Toc100031" w:history="1">
            <w:r>
              <w:rPr>
                <w:rStyle w:val="Hyperlink"/>
              </w:rPr>
              <w:t>11.3 Dependencies</w:t>
            </w:r>
            <w:r>
              <w:tab/>
            </w:r>
            <w:r>
              <w:fldChar w:fldCharType="begin"/>
            </w:r>
            <w:r>
              <w:instrText xml:space="preserve"> PAGEREF _Toc100031 \h </w:instrText>
            </w:r>
            <w:r>
              <w:fldChar w:fldCharType="separate"/>
            </w:r>
            <w:r>
              <w:t>15</w:t>
            </w:r>
            <w:r>
              <w:fldChar w:fldCharType="end"/>
            </w:r>
          </w:hyperlink>
        </w:p>
        <w:p>
          <w:pPr>
            <w:pStyle w:val="9"/>
            <w:tabs>
              <w:tab w:val="right" w:leader="dot" w:pos="9026"/>
            </w:tabs>
            <w:spacing w:before="120" w:after="60"/>
          </w:pPr>
          <w:hyperlink w:anchor="_Toc100032" w:history="1">
            <w:r>
              <w:rPr>
                <w:rStyle w:val="Hyperlink"/>
              </w:rPr>
              <w:t>12. Upgrade Roadmap</w:t>
            </w:r>
            <w:r>
              <w:tab/>
            </w:r>
            <w:r>
              <w:fldChar w:fldCharType="begin"/>
            </w:r>
            <w:r>
              <w:instrText xml:space="preserve"> PAGEREF _Toc100032 \h </w:instrText>
            </w:r>
            <w:r>
              <w:fldChar w:fldCharType="separate"/>
            </w:r>
            <w:r>
              <w:t>15</w:t>
            </w:r>
            <w:r>
              <w:fldChar w:fldCharType="end"/>
            </w:r>
          </w:hyperlink>
        </w:p>
        <w:p>
          <w:pPr>
            <w:pStyle w:val="9"/>
            <w:tabs>
              <w:tab w:val="right" w:leader="dot" w:pos="9026"/>
            </w:tabs>
            <w:spacing w:before="120" w:after="60"/>
          </w:pPr>
          <w:hyperlink w:anchor="_Toc100033" w:history="1">
            <w:r>
              <w:rPr>
                <w:rStyle w:val="Hyperlink"/>
              </w:rPr>
              <w:t>References</w:t>
            </w:r>
            <w:r>
              <w:tab/>
            </w:r>
            <w:r>
              <w:fldChar w:fldCharType="begin"/>
            </w:r>
            <w:r>
              <w:instrText xml:space="preserve"> PAGEREF _Toc100033 \h </w:instrText>
            </w:r>
            <w:r>
              <w:fldChar w:fldCharType="separate"/>
            </w:r>
            <w:r>
              <w:t>15</w:t>
            </w:r>
            <w:r>
              <w:fldChar w:fldCharType="end"/>
            </w:r>
          </w:hyperlink>
        </w:p>
        <w:p>
          <w:r>
            <w:fldChar w:fldCharType="end"/>
          </w:r>
        </w:p>
      </w:sdtContent>
    </w:sdt>
    <w:p>
      <w:pPr>
        <w:spacing w:before="200"/>
      </w:pPr>
      <w:r>
        <w:rPr>
          <w:rFonts w:ascii="Times New Roman"/>
          <w:i/>
          <w:iCs/>
          <w:color w:val="4A6575"/>
          <w:sz w:val="20"/>
          <w:szCs w:val="20"/>
        </w:rPr>
        <w:t xml:space="preserve">Note: Right-click the TOC and select “Update Field” to refresh page numbers after opening in Word.</w:t>
      </w:r>
    </w:p>
    <w:p>
      <w:r>
        <w:br w:type="page"/>
      </w:r>
    </w:p>
    <w:p>
      <w:pPr>
        <w:sectPr>
          <w:footerReference w:type="default" r:id="rId7"/>
          <w:pgSz w:w="11906" w:h="16838" w:orient="portrait"/>
          <w:pgMar w:top="1440" w:right="1417" w:bottom="1440" w:left="1701" w:header="708" w:footer="708" w:gutter="0"/>
          <w:pgNumType w:start="1" w:fmt="upperRoman"/>
          <w:docGrid w:linePitch="360"/>
        </w:sectPr>
      </w:pPr>
    </w:p>
    <w:p>
      <w:pPr>
        <w:pStyle w:val="Heading1"/>
        <w:spacing w:after="160" w:before="360" w:line="312"/>
      </w:pPr>
      <w:bookmarkStart w:id="100000" w:name="_Toc100000"/>
      <w:r>
        <w:rPr>
          <w:rFonts w:ascii="Times New Roman" w:eastAsia="SimHei"/>
          <w:b/>
          <w:bCs/>
          <w:color w:val="0F2027"/>
          <w:sz w:val="32"/>
          <w:szCs w:val="32"/>
        </w:rPr>
        <w:t xml:space="preserve">1. Architecture Overview</w:t>
      </w:r>
      <w:bookmarkEnd w:id="100000"/>
    </w:p>
    <w:p>
      <w:pPr>
        <w:spacing w:after="80" w:line="312"/>
        <w:ind w:firstLine="480"/>
        <w:jc w:val="both"/>
      </w:pPr>
      <w:r>
        <w:rPr>
          <w:rFonts w:ascii="Times New Roman" w:eastAsia="Microsoft YaHei"/>
          <w:color w:val="1A2B40"/>
          <w:sz w:val="24"/>
          <w:szCs w:val="24"/>
        </w:rPr>
        <w:t xml:space="preserve">The Monetary Policy Lab is a two-layer computational platform for FOMC monetary policy analysis. The interactive dashboard (Streamlit) provides real-time exploration, visualization, and scenario analysis across 8 modules, while the research engine runs formal econometric analysis offline and stores structured results.</w:t>
      </w:r>
    </w:p>
    <w:tbl>
      <w:tblPr>
        <w:tblW w:type="pct" w:w="100%"/>
        <w:tblBorders>
          <w:top w:val="single" w:color="D4AF37" w:sz="4"/>
          <w:left w:val="none"/>
          <w:bottom w:val="single" w:color="D4AF37" w:sz="4"/>
          <w:right w:val="none"/>
          <w:insideH w:val="single" w:color="D0D8D0" w:sz="1"/>
          <w:insideV w:val="none"/>
        </w:tblBorders>
      </w:tblPr>
      <w:tblGrid>
        <w:gridCol w:w="100"/>
        <w:gridCol w:w="100"/>
        <w:gridCol w:w="100"/>
      </w:tblGrid>
      <w:tr>
        <w:trPr>
          <w:cantSplit/>
          <w:tblHeader/>
        </w:trPr>
        <w:tc>
          <w:tcPr>
            <w:tcW w:type="pct" w:w="25%"/>
            <w:shd w:fill="0F2027" w:val="clear"/>
            <w:tcMar>
              <w:top w:type="dxa" w:w="60"/>
              <w:left w:type="dxa" w:w="120"/>
              <w:bottom w:type="dxa" w:w="60"/>
              <w:right w:type="dxa" w:w="120"/>
            </w:tcMar>
          </w:tcPr>
          <w:p>
            <w:pPr>
              <w:jc w:val="center"/>
            </w:pPr>
            <w:r>
              <w:rPr>
                <w:rFonts w:ascii="Times New Roman" w:eastAsia="Microsoft YaHei"/>
                <w:b/>
                <w:bCs/>
                <w:color w:val="FFFFFF"/>
                <w:sz w:val="21"/>
                <w:szCs w:val="21"/>
              </w:rPr>
              <w:t xml:space="preserve">Layer</w:t>
            </w:r>
          </w:p>
        </w:tc>
        <w:tc>
          <w:tcPr>
            <w:tcW w:type="pct" w:w="35%"/>
            <w:shd w:fill="0F2027" w:val="clear"/>
            <w:tcMar>
              <w:top w:type="dxa" w:w="60"/>
              <w:left w:type="dxa" w:w="120"/>
              <w:bottom w:type="dxa" w:w="60"/>
              <w:right w:type="dxa" w:w="120"/>
            </w:tcMar>
          </w:tcPr>
          <w:p>
            <w:pPr>
              <w:jc w:val="center"/>
            </w:pPr>
            <w:r>
              <w:rPr>
                <w:rFonts w:ascii="Times New Roman" w:eastAsia="Microsoft YaHei"/>
                <w:b/>
                <w:bCs/>
                <w:color w:val="FFFFFF"/>
                <w:sz w:val="21"/>
                <w:szCs w:val="21"/>
              </w:rPr>
              <w:t xml:space="preserve">Component</w:t>
            </w:r>
          </w:p>
        </w:tc>
        <w:tc>
          <w:tcPr>
            <w:tcW w:type="pct" w:w="40%"/>
            <w:shd w:fill="0F2027" w:val="clear"/>
            <w:tcMar>
              <w:top w:type="dxa" w:w="60"/>
              <w:left w:type="dxa" w:w="120"/>
              <w:bottom w:type="dxa" w:w="60"/>
              <w:right w:type="dxa" w:w="120"/>
            </w:tcMar>
          </w:tcPr>
          <w:p>
            <w:pPr>
              <w:jc w:val="center"/>
            </w:pPr>
            <w:r>
              <w:rPr>
                <w:rFonts w:ascii="Times New Roman" w:eastAsia="Microsoft YaHei"/>
                <w:b/>
                <w:bCs/>
                <w:color w:val="FFFFFF"/>
                <w:sz w:val="21"/>
                <w:szCs w:val="21"/>
              </w:rPr>
              <w:t xml:space="preserve">Purpose</w:t>
            </w:r>
          </w:p>
        </w:tc>
      </w:tr>
      <w:tr>
        <w:trPr>
          <w:cantSplit/>
        </w:trPr>
        <w:tc>
          <w:tcPr>
            <w:tcW w:type="pct" w:w="25%"/>
            <w:shd w:fill="F0F4F8" w:val="clear"/>
            <w:tcMar>
              <w:top w:type="dxa" w:w="60"/>
              <w:left w:type="dxa" w:w="120"/>
              <w:bottom w:type="dxa" w:w="60"/>
              <w:right w:type="dxa" w:w="120"/>
            </w:tcMar>
          </w:tcPr>
          <w:p>
            <w:pPr>
              <w:jc w:val="left"/>
            </w:pPr>
            <w:r>
              <w:rPr>
                <w:rFonts w:ascii="Times New Roman" w:eastAsia="Microsoft YaHei"/>
                <w:color w:val="1A2B40"/>
                <w:sz w:val="21"/>
                <w:szCs w:val="21"/>
              </w:rPr>
              <w:t xml:space="preserve">Interactive Dashboard</w:t>
            </w:r>
          </w:p>
        </w:tc>
        <w:tc>
          <w:tcPr>
            <w:tcW w:type="pct" w:w="35%"/>
            <w:shd w:fill="F0F4F8" w:val="clear"/>
            <w:tcMar>
              <w:top w:type="dxa" w:w="60"/>
              <w:left w:type="dxa" w:w="120"/>
              <w:bottom w:type="dxa" w:w="60"/>
              <w:right w:type="dxa" w:w="120"/>
            </w:tcMar>
          </w:tcPr>
          <w:p>
            <w:pPr>
              <w:jc w:val="left"/>
            </w:pPr>
            <w:r>
              <w:rPr>
                <w:rFonts w:ascii="Times New Roman" w:eastAsia="Microsoft YaHei"/>
                <w:color w:val="1A2B40"/>
                <w:sz w:val="21"/>
                <w:szCs w:val="21"/>
              </w:rPr>
              <w:t xml:space="preserve">app.py + modules/</w:t>
            </w:r>
          </w:p>
        </w:tc>
        <w:tc>
          <w:tcPr>
            <w:tcW w:type="pct" w:w="40%"/>
            <w:shd w:fill="F0F4F8" w:val="clear"/>
            <w:tcMar>
              <w:top w:type="dxa" w:w="60"/>
              <w:left w:type="dxa" w:w="120"/>
              <w:bottom w:type="dxa" w:w="60"/>
              <w:right w:type="dxa" w:w="120"/>
            </w:tcMar>
          </w:tcPr>
          <w:p>
            <w:pPr>
              <w:jc w:val="left"/>
            </w:pPr>
            <w:r>
              <w:rPr>
                <w:rFonts w:ascii="Times New Roman" w:eastAsia="Microsoft YaHei"/>
                <w:color w:val="1A2B40"/>
                <w:sz w:val="21"/>
                <w:szCs w:val="21"/>
              </w:rPr>
              <w:t xml:space="preserve">Real-time exploration, visualization, scenario analysis</w:t>
            </w:r>
          </w:p>
        </w:tc>
      </w:tr>
      <w:tr>
        <w:trPr>
          <w:cantSplit/>
        </w:trPr>
        <w:tc>
          <w:tcPr>
            <w:tcW w:type="pct" w:w="25%"/>
            <w:shd w:fill="FFFFFF" w:val="clear"/>
            <w:tcMar>
              <w:top w:type="dxa" w:w="60"/>
              <w:left w:type="dxa" w:w="120"/>
              <w:bottom w:type="dxa" w:w="60"/>
              <w:right w:type="dxa" w:w="120"/>
            </w:tcMar>
          </w:tcPr>
          <w:p>
            <w:pPr>
              <w:jc w:val="left"/>
            </w:pPr>
            <w:r>
              <w:rPr>
                <w:rFonts w:ascii="Times New Roman" w:eastAsia="Microsoft YaHei"/>
                <w:color w:val="1A2B40"/>
                <w:sz w:val="21"/>
                <w:szCs w:val="21"/>
              </w:rPr>
              <w:t xml:space="preserve">Research Engine</w:t>
            </w:r>
          </w:p>
        </w:tc>
        <w:tc>
          <w:tcPr>
            <w:tcW w:type="pct" w:w="35%"/>
            <w:shd w:fill="FFFFFF" w:val="clear"/>
            <w:tcMar>
              <w:top w:type="dxa" w:w="60"/>
              <w:left w:type="dxa" w:w="120"/>
              <w:bottom w:type="dxa" w:w="60"/>
              <w:right w:type="dxa" w:w="120"/>
            </w:tcMar>
          </w:tcPr>
          <w:p>
            <w:pPr>
              <w:jc w:val="left"/>
            </w:pPr>
            <w:r>
              <w:rPr>
                <w:rFonts w:ascii="Times New Roman" w:eastAsia="Microsoft YaHei"/>
                <w:color w:val="1A2B40"/>
                <w:sz w:val="21"/>
                <w:szCs w:val="21"/>
              </w:rPr>
              <w:t xml:space="preserve">mp-research-platform/</w:t>
            </w:r>
          </w:p>
        </w:tc>
        <w:tc>
          <w:tcPr>
            <w:tcW w:type="pct" w:w="40%"/>
            <w:shd w:fill="FFFFFF" w:val="clear"/>
            <w:tcMar>
              <w:top w:type="dxa" w:w="60"/>
              <w:left w:type="dxa" w:w="120"/>
              <w:bottom w:type="dxa" w:w="60"/>
              <w:right w:type="dxa" w:w="120"/>
            </w:tcMar>
          </w:tcPr>
          <w:p>
            <w:pPr>
              <w:jc w:val="left"/>
            </w:pPr>
            <w:r>
              <w:rPr>
                <w:rFonts w:ascii="Times New Roman" w:eastAsia="Microsoft YaHei"/>
                <w:color w:val="1A2B40"/>
                <w:sz w:val="21"/>
                <w:szCs w:val="21"/>
              </w:rPr>
              <w:t xml:space="preserve">Batch regression pipeline, hypothesis testing, robustness checks</w:t>
            </w:r>
          </w:p>
        </w:tc>
      </w:tr>
    </w:tbl>
    <w:p>
      <w:pPr>
        <w:spacing w:after="160" w:before="60" w:line="312"/>
        <w:jc w:val="center"/>
      </w:pPr>
      <w:r>
        <w:rPr>
          <w:rFonts w:ascii="Times New Roman" w:eastAsia="Microsoft YaHei"/>
          <w:color w:val="4A6575"/>
          <w:sz w:val="21"/>
          <w:szCs w:val="21"/>
        </w:rPr>
        <w:t xml:space="preserve">Table 1: Platform Architecture</w:t>
      </w:r>
    </w:p>
    <w:p>
      <w:pPr>
        <w:spacing w:after="80" w:line="312"/>
        <w:ind w:firstLine="480"/>
        <w:jc w:val="both"/>
      </w:pPr>
      <w:r>
        <w:rPr>
          <w:rFonts w:ascii="Times New Roman" w:eastAsia="Microsoft YaHei"/>
          <w:color w:val="1A2B40"/>
          <w:sz w:val="24"/>
          <w:szCs w:val="24"/>
        </w:rPr>
        <w:t xml:space="preserve">The dashboard modules include: Dashboard (overview), Fed Intelligence (FOMC calendar + rate tracker), Research (hypothesis testing), Replication (paper replication), Sentiment (NLP analysis), Two Shocks (target/path decomposition), Capital Flow (cross-border flows), Event Study (short-window analysis), and Data Explorer (raw data browser).</w:t>
      </w:r>
    </w:p>
    <w:p>
      <w:pPr>
        <w:pStyle w:val="Heading1"/>
        <w:spacing w:after="160" w:before="360" w:line="312"/>
      </w:pPr>
      <w:bookmarkStart w:id="100001" w:name="_Toc100001"/>
      <w:r>
        <w:rPr>
          <w:rFonts w:ascii="Times New Roman" w:eastAsia="SimHei"/>
          <w:b/>
          <w:bCs/>
          <w:color w:val="0F2027"/>
          <w:sz w:val="32"/>
          <w:szCs w:val="32"/>
        </w:rPr>
        <w:t xml:space="preserve">2. Data Sources &amp; Pipeline</w:t>
      </w:r>
      <w:bookmarkEnd w:id="100001"/>
    </w:p>
    <w:p>
      <w:pPr>
        <w:pStyle w:val="Heading2"/>
        <w:spacing w:after="120" w:before="280" w:line="312"/>
      </w:pPr>
      <w:bookmarkStart w:id="100002" w:name="_Toc100002"/>
      <w:r>
        <w:rPr>
          <w:rFonts w:ascii="Times New Roman" w:eastAsia="SimHei"/>
          <w:b/>
          <w:bCs/>
          <w:color w:val="0F2027"/>
          <w:sz w:val="28"/>
          <w:szCs w:val="28"/>
        </w:rPr>
        <w:t xml:space="preserve">2.1 FRED API Integration</w:t>
      </w:r>
      <w:bookmarkEnd w:id="100002"/>
    </w:p>
    <w:p>
      <w:pPr>
        <w:spacing w:after="80" w:line="312"/>
        <w:ind w:firstLine="480"/>
        <w:jc w:val="both"/>
      </w:pPr>
      <w:r>
        <w:rPr>
          <w:rFonts w:ascii="Times New Roman" w:eastAsia="Microsoft YaHei"/>
          <w:color w:val="1A2B40"/>
          <w:sz w:val="24"/>
          <w:szCs w:val="24"/>
        </w:rPr>
        <w:t xml:space="preserve">The FRED connector (data/fred_connector.py, class FREDConnector) fetches 31 data series from FRED, organized into 8 categories. All series are cached locally with automatic refresh logic.</w:t>
      </w:r>
    </w:p>
    <w:tbl>
      <w:tblPr>
        <w:tblW w:type="pct" w:w="100%"/>
        <w:tblBorders>
          <w:top w:val="single" w:color="D4AF37" w:sz="4"/>
          <w:left w:val="none"/>
          <w:bottom w:val="single" w:color="D4AF37" w:sz="4"/>
          <w:right w:val="none"/>
          <w:insideH w:val="single" w:color="D0D8D0" w:sz="1"/>
          <w:insideV w:val="none"/>
        </w:tblBorders>
      </w:tblPr>
      <w:tblGrid>
        <w:gridCol w:w="100"/>
        <w:gridCol w:w="100"/>
        <w:gridCol w:w="100"/>
        <w:gridCol w:w="100"/>
      </w:tblGrid>
      <w:tr>
        <w:trPr>
          <w:cantSplit/>
          <w:tblHeader/>
        </w:trPr>
        <w:tc>
          <w:tcPr>
            <w:tcW w:type="pct" w:w="15%"/>
            <w:shd w:fill="0F2027" w:val="clear"/>
            <w:tcMar>
              <w:top w:type="dxa" w:w="60"/>
              <w:left w:type="dxa" w:w="120"/>
              <w:bottom w:type="dxa" w:w="60"/>
              <w:right w:type="dxa" w:w="120"/>
            </w:tcMar>
          </w:tcPr>
          <w:p>
            <w:pPr>
              <w:jc w:val="center"/>
            </w:pPr>
            <w:r>
              <w:rPr>
                <w:rFonts w:ascii="Times New Roman" w:eastAsia="Microsoft YaHei"/>
                <w:b/>
                <w:bCs/>
                <w:color w:val="FFFFFF"/>
                <w:sz w:val="21"/>
                <w:szCs w:val="21"/>
              </w:rPr>
              <w:t xml:space="preserve">Category</w:t>
            </w:r>
          </w:p>
        </w:tc>
        <w:tc>
          <w:tcPr>
            <w:tcW w:type="pct" w:w="35%"/>
            <w:shd w:fill="0F2027" w:val="clear"/>
            <w:tcMar>
              <w:top w:type="dxa" w:w="60"/>
              <w:left w:type="dxa" w:w="120"/>
              <w:bottom w:type="dxa" w:w="60"/>
              <w:right w:type="dxa" w:w="120"/>
            </w:tcMar>
          </w:tcPr>
          <w:p>
            <w:pPr>
              <w:jc w:val="center"/>
            </w:pPr>
            <w:r>
              <w:rPr>
                <w:rFonts w:ascii="Times New Roman" w:eastAsia="Microsoft YaHei"/>
                <w:b/>
                <w:bCs/>
                <w:color w:val="FFFFFF"/>
                <w:sz w:val="21"/>
                <w:szCs w:val="21"/>
              </w:rPr>
              <w:t xml:space="preserve">Series</w:t>
            </w:r>
          </w:p>
        </w:tc>
        <w:tc>
          <w:tcPr>
            <w:tcW w:type="pct" w:w="30%"/>
            <w:shd w:fill="0F2027" w:val="clear"/>
            <w:tcMar>
              <w:top w:type="dxa" w:w="60"/>
              <w:left w:type="dxa" w:w="120"/>
              <w:bottom w:type="dxa" w:w="60"/>
              <w:right w:type="dxa" w:w="120"/>
            </w:tcMar>
          </w:tcPr>
          <w:p>
            <w:pPr>
              <w:jc w:val="center"/>
            </w:pPr>
            <w:r>
              <w:rPr>
                <w:rFonts w:ascii="Times New Roman" w:eastAsia="Microsoft YaHei"/>
                <w:b/>
                <w:bCs/>
                <w:color w:val="FFFFFF"/>
                <w:sz w:val="21"/>
                <w:szCs w:val="21"/>
              </w:rPr>
              <w:t xml:space="preserve">FRED IDs</w:t>
            </w:r>
          </w:p>
        </w:tc>
        <w:tc>
          <w:tcPr>
            <w:tcW w:type="pct" w:w="20%"/>
            <w:shd w:fill="0F2027" w:val="clear"/>
            <w:tcMar>
              <w:top w:type="dxa" w:w="60"/>
              <w:left w:type="dxa" w:w="120"/>
              <w:bottom w:type="dxa" w:w="60"/>
              <w:right w:type="dxa" w:w="120"/>
            </w:tcMar>
          </w:tcPr>
          <w:p>
            <w:pPr>
              <w:jc w:val="center"/>
            </w:pPr>
            <w:r>
              <w:rPr>
                <w:rFonts w:ascii="Times New Roman" w:eastAsia="Microsoft YaHei"/>
                <w:b/>
                <w:bCs/>
                <w:color w:val="FFFFFF"/>
                <w:sz w:val="21"/>
                <w:szCs w:val="21"/>
              </w:rPr>
              <w:t xml:space="preserve">Frequency</w:t>
            </w:r>
          </w:p>
        </w:tc>
      </w:tr>
      <w:tr>
        <w:trPr>
          <w:cantSplit/>
        </w:trPr>
        <w:tc>
          <w:tcPr>
            <w:tcW w:type="pct" w:w="15%"/>
            <w:shd w:fill="F0F4F8" w:val="clear"/>
            <w:tcMar>
              <w:top w:type="dxa" w:w="60"/>
              <w:left w:type="dxa" w:w="120"/>
              <w:bottom w:type="dxa" w:w="60"/>
              <w:right w:type="dxa" w:w="120"/>
            </w:tcMar>
          </w:tcPr>
          <w:p>
            <w:pPr>
              <w:jc w:val="left"/>
            </w:pPr>
            <w:r>
              <w:rPr>
                <w:rFonts w:ascii="Times New Roman" w:eastAsia="Microsoft YaHei"/>
                <w:color w:val="1A2B40"/>
                <w:sz w:val="21"/>
                <w:szCs w:val="21"/>
              </w:rPr>
              <w:t xml:space="preserve">Interest Rates</w:t>
            </w:r>
          </w:p>
        </w:tc>
        <w:tc>
          <w:tcPr>
            <w:tcW w:type="pct" w:w="35%"/>
            <w:shd w:fill="F0F4F8" w:val="clear"/>
            <w:tcMar>
              <w:top w:type="dxa" w:w="60"/>
              <w:left w:type="dxa" w:w="120"/>
              <w:bottom w:type="dxa" w:w="60"/>
              <w:right w:type="dxa" w:w="120"/>
            </w:tcMar>
          </w:tcPr>
          <w:p>
            <w:pPr>
              <w:jc w:val="left"/>
            </w:pPr>
            <w:r>
              <w:rPr>
                <w:rFonts w:ascii="Times New Roman" w:eastAsia="Microsoft YaHei"/>
                <w:color w:val="1A2B40"/>
                <w:sz w:val="21"/>
                <w:szCs w:val="21"/>
              </w:rPr>
              <w:t xml:space="preserve">1M/2Y/5Y/10Y/30Y Treasury, 2Y-10Y Spread, EFFR, SOFR</w:t>
            </w:r>
          </w:p>
        </w:tc>
        <w:tc>
          <w:tcPr>
            <w:tcW w:type="pct" w:w="30%"/>
            <w:shd w:fill="F0F4F8" w:val="clear"/>
            <w:tcMar>
              <w:top w:type="dxa" w:w="60"/>
              <w:left w:type="dxa" w:w="120"/>
              <w:bottom w:type="dxa" w:w="60"/>
              <w:right w:type="dxa" w:w="120"/>
            </w:tcMar>
          </w:tcPr>
          <w:p>
            <w:pPr>
              <w:jc w:val="left"/>
            </w:pPr>
            <w:r>
              <w:rPr>
                <w:rFonts w:ascii="Times New Roman" w:eastAsia="Microsoft YaHei"/>
                <w:color w:val="1A2B40"/>
                <w:sz w:val="21"/>
                <w:szCs w:val="21"/>
              </w:rPr>
              <w:t xml:space="preserve">DGS1MO, DGS2, DGS5, DGS10, DGS30, T10Y2Y, DFF, SOFR</w:t>
            </w:r>
          </w:p>
        </w:tc>
        <w:tc>
          <w:tcPr>
            <w:tcW w:type="pct" w:w="20%"/>
            <w:shd w:fill="F0F4F8" w:val="clear"/>
            <w:tcMar>
              <w:top w:type="dxa" w:w="60"/>
              <w:left w:type="dxa" w:w="120"/>
              <w:bottom w:type="dxa" w:w="60"/>
              <w:right w:type="dxa" w:w="120"/>
            </w:tcMar>
          </w:tcPr>
          <w:p>
            <w:pPr>
              <w:jc w:val="left"/>
            </w:pPr>
            <w:r>
              <w:rPr>
                <w:rFonts w:ascii="Times New Roman" w:eastAsia="Microsoft YaHei"/>
                <w:color w:val="1A2B40"/>
                <w:sz w:val="21"/>
                <w:szCs w:val="21"/>
              </w:rPr>
              <w:t xml:space="preserve">Daily</w:t>
            </w:r>
          </w:p>
        </w:tc>
      </w:tr>
      <w:tr>
        <w:trPr>
          <w:cantSplit/>
        </w:trPr>
        <w:tc>
          <w:tcPr>
            <w:tcW w:type="pct" w:w="15%"/>
            <w:shd w:fill="FFFFFF" w:val="clear"/>
            <w:tcMar>
              <w:top w:type="dxa" w:w="60"/>
              <w:left w:type="dxa" w:w="120"/>
              <w:bottom w:type="dxa" w:w="60"/>
              <w:right w:type="dxa" w:w="120"/>
            </w:tcMar>
          </w:tcPr>
          <w:p>
            <w:pPr>
              <w:jc w:val="left"/>
            </w:pPr>
            <w:r>
              <w:rPr>
                <w:rFonts w:ascii="Times New Roman" w:eastAsia="Microsoft YaHei"/>
                <w:color w:val="1A2B40"/>
                <w:sz w:val="21"/>
                <w:szCs w:val="21"/>
              </w:rPr>
              <w:t xml:space="preserve">Inflation</w:t>
            </w:r>
          </w:p>
        </w:tc>
        <w:tc>
          <w:tcPr>
            <w:tcW w:type="pct" w:w="35%"/>
            <w:shd w:fill="FFFFFF" w:val="clear"/>
            <w:tcMar>
              <w:top w:type="dxa" w:w="60"/>
              <w:left w:type="dxa" w:w="120"/>
              <w:bottom w:type="dxa" w:w="60"/>
              <w:right w:type="dxa" w:w="120"/>
            </w:tcMar>
          </w:tcPr>
          <w:p>
            <w:pPr>
              <w:jc w:val="left"/>
            </w:pPr>
            <w:r>
              <w:rPr>
                <w:rFonts w:ascii="Times New Roman" w:eastAsia="Microsoft YaHei"/>
                <w:color w:val="1A2B40"/>
                <w:sz w:val="21"/>
                <w:szCs w:val="21"/>
              </w:rPr>
              <w:t xml:space="preserve">CPI YoY, Core CPI YoY, PCE, Core PCE YoY, 5Y/10Y Breakeven</w:t>
            </w:r>
          </w:p>
        </w:tc>
        <w:tc>
          <w:tcPr>
            <w:tcW w:type="pct" w:w="30%"/>
            <w:shd w:fill="FFFFFF" w:val="clear"/>
            <w:tcMar>
              <w:top w:type="dxa" w:w="60"/>
              <w:left w:type="dxa" w:w="120"/>
              <w:bottom w:type="dxa" w:w="60"/>
              <w:right w:type="dxa" w:w="120"/>
            </w:tcMar>
          </w:tcPr>
          <w:p>
            <w:pPr>
              <w:jc w:val="left"/>
            </w:pPr>
            <w:r>
              <w:rPr>
                <w:rFonts w:ascii="Times New Roman" w:eastAsia="Microsoft YaHei"/>
                <w:color w:val="1A2B40"/>
                <w:sz w:val="21"/>
                <w:szCs w:val="21"/>
              </w:rPr>
              <w:t xml:space="preserve">CPIAUCSL, CPILFESL, PCEPI, PCEPILFE, T5YIE, T10YIE</w:t>
            </w:r>
          </w:p>
        </w:tc>
        <w:tc>
          <w:tcPr>
            <w:tcW w:type="pct" w:w="20%"/>
            <w:shd w:fill="FFFFFF" w:val="clear"/>
            <w:tcMar>
              <w:top w:type="dxa" w:w="60"/>
              <w:left w:type="dxa" w:w="120"/>
              <w:bottom w:type="dxa" w:w="60"/>
              <w:right w:type="dxa" w:w="120"/>
            </w:tcMar>
          </w:tcPr>
          <w:p>
            <w:pPr>
              <w:jc w:val="left"/>
            </w:pPr>
            <w:r>
              <w:rPr>
                <w:rFonts w:ascii="Times New Roman" w:eastAsia="Microsoft YaHei"/>
                <w:color w:val="1A2B40"/>
                <w:sz w:val="21"/>
                <w:szCs w:val="21"/>
              </w:rPr>
              <w:t xml:space="preserve">Monthly/Daily</w:t>
            </w:r>
          </w:p>
        </w:tc>
      </w:tr>
      <w:tr>
        <w:trPr>
          <w:cantSplit/>
        </w:trPr>
        <w:tc>
          <w:tcPr>
            <w:tcW w:type="pct" w:w="15%"/>
            <w:shd w:fill="F0F4F8" w:val="clear"/>
            <w:tcMar>
              <w:top w:type="dxa" w:w="60"/>
              <w:left w:type="dxa" w:w="120"/>
              <w:bottom w:type="dxa" w:w="60"/>
              <w:right w:type="dxa" w:w="120"/>
            </w:tcMar>
          </w:tcPr>
          <w:p>
            <w:pPr>
              <w:jc w:val="left"/>
            </w:pPr>
            <w:r>
              <w:rPr>
                <w:rFonts w:ascii="Times New Roman" w:eastAsia="Microsoft YaHei"/>
                <w:color w:val="1A2B40"/>
                <w:sz w:val="21"/>
                <w:szCs w:val="21"/>
              </w:rPr>
              <w:t xml:space="preserve">Employment</w:t>
            </w:r>
          </w:p>
        </w:tc>
        <w:tc>
          <w:tcPr>
            <w:tcW w:type="pct" w:w="35%"/>
            <w:shd w:fill="F0F4F8" w:val="clear"/>
            <w:tcMar>
              <w:top w:type="dxa" w:w="60"/>
              <w:left w:type="dxa" w:w="120"/>
              <w:bottom w:type="dxa" w:w="60"/>
              <w:right w:type="dxa" w:w="120"/>
            </w:tcMar>
          </w:tcPr>
          <w:p>
            <w:pPr>
              <w:jc w:val="left"/>
            </w:pPr>
            <w:r>
              <w:rPr>
                <w:rFonts w:ascii="Times New Roman" w:eastAsia="Microsoft YaHei"/>
                <w:color w:val="1A2B40"/>
                <w:sz w:val="21"/>
                <w:szCs w:val="21"/>
              </w:rPr>
              <w:t xml:space="preserve">Unemployment Rate, NFP, Avg Hourly Earnings</w:t>
            </w:r>
          </w:p>
        </w:tc>
        <w:tc>
          <w:tcPr>
            <w:tcW w:type="pct" w:w="30%"/>
            <w:shd w:fill="F0F4F8" w:val="clear"/>
            <w:tcMar>
              <w:top w:type="dxa" w:w="60"/>
              <w:left w:type="dxa" w:w="120"/>
              <w:bottom w:type="dxa" w:w="60"/>
              <w:right w:type="dxa" w:w="120"/>
            </w:tcMar>
          </w:tcPr>
          <w:p>
            <w:pPr>
              <w:jc w:val="left"/>
            </w:pPr>
            <w:r>
              <w:rPr>
                <w:rFonts w:ascii="Times New Roman" w:eastAsia="Microsoft YaHei"/>
                <w:color w:val="1A2B40"/>
                <w:sz w:val="21"/>
                <w:szCs w:val="21"/>
              </w:rPr>
              <w:t xml:space="preserve">UNRATE, PAYEMS, CES0500000003</w:t>
            </w:r>
          </w:p>
        </w:tc>
        <w:tc>
          <w:tcPr>
            <w:tcW w:type="pct" w:w="20%"/>
            <w:shd w:fill="F0F4F8" w:val="clear"/>
            <w:tcMar>
              <w:top w:type="dxa" w:w="60"/>
              <w:left w:type="dxa" w:w="120"/>
              <w:bottom w:type="dxa" w:w="60"/>
              <w:right w:type="dxa" w:w="120"/>
            </w:tcMar>
          </w:tcPr>
          <w:p>
            <w:pPr>
              <w:jc w:val="left"/>
            </w:pPr>
            <w:r>
              <w:rPr>
                <w:rFonts w:ascii="Times New Roman" w:eastAsia="Microsoft YaHei"/>
                <w:color w:val="1A2B40"/>
                <w:sz w:val="21"/>
                <w:szCs w:val="21"/>
              </w:rPr>
              <w:t xml:space="preserve">Monthly</w:t>
            </w:r>
          </w:p>
        </w:tc>
      </w:tr>
      <w:tr>
        <w:trPr>
          <w:cantSplit/>
        </w:trPr>
        <w:tc>
          <w:tcPr>
            <w:tcW w:type="pct" w:w="15%"/>
            <w:shd w:fill="FFFFFF" w:val="clear"/>
            <w:tcMar>
              <w:top w:type="dxa" w:w="60"/>
              <w:left w:type="dxa" w:w="120"/>
              <w:bottom w:type="dxa" w:w="60"/>
              <w:right w:type="dxa" w:w="120"/>
            </w:tcMar>
          </w:tcPr>
          <w:p>
            <w:pPr>
              <w:jc w:val="left"/>
            </w:pPr>
            <w:r>
              <w:rPr>
                <w:rFonts w:ascii="Times New Roman" w:eastAsia="Microsoft YaHei"/>
                <w:color w:val="1A2B40"/>
                <w:sz w:val="21"/>
                <w:szCs w:val="21"/>
              </w:rPr>
              <w:t xml:space="preserve">GDP</w:t>
            </w:r>
          </w:p>
        </w:tc>
        <w:tc>
          <w:tcPr>
            <w:tcW w:type="pct" w:w="35%"/>
            <w:shd w:fill="FFFFFF" w:val="clear"/>
            <w:tcMar>
              <w:top w:type="dxa" w:w="60"/>
              <w:left w:type="dxa" w:w="120"/>
              <w:bottom w:type="dxa" w:w="60"/>
              <w:right w:type="dxa" w:w="120"/>
            </w:tcMar>
          </w:tcPr>
          <w:p>
            <w:pPr>
              <w:jc w:val="left"/>
            </w:pPr>
            <w:r>
              <w:rPr>
                <w:rFonts w:ascii="Times New Roman" w:eastAsia="Microsoft YaHei"/>
                <w:color w:val="1A2B40"/>
                <w:sz w:val="21"/>
                <w:szCs w:val="21"/>
              </w:rPr>
              <w:t xml:space="preserve">Real GDP, GDP Deflator</w:t>
            </w:r>
          </w:p>
        </w:tc>
        <w:tc>
          <w:tcPr>
            <w:tcW w:type="pct" w:w="30%"/>
            <w:shd w:fill="FFFFFF" w:val="clear"/>
            <w:tcMar>
              <w:top w:type="dxa" w:w="60"/>
              <w:left w:type="dxa" w:w="120"/>
              <w:bottom w:type="dxa" w:w="60"/>
              <w:right w:type="dxa" w:w="120"/>
            </w:tcMar>
          </w:tcPr>
          <w:p>
            <w:pPr>
              <w:jc w:val="left"/>
            </w:pPr>
            <w:r>
              <w:rPr>
                <w:rFonts w:ascii="Times New Roman" w:eastAsia="Microsoft YaHei"/>
                <w:color w:val="1A2B40"/>
                <w:sz w:val="21"/>
                <w:szCs w:val="21"/>
              </w:rPr>
              <w:t xml:space="preserve">GDPC1, GDPDEF</w:t>
            </w:r>
          </w:p>
        </w:tc>
        <w:tc>
          <w:tcPr>
            <w:tcW w:type="pct" w:w="20%"/>
            <w:shd w:fill="FFFFFF" w:val="clear"/>
            <w:tcMar>
              <w:top w:type="dxa" w:w="60"/>
              <w:left w:type="dxa" w:w="120"/>
              <w:bottom w:type="dxa" w:w="60"/>
              <w:right w:type="dxa" w:w="120"/>
            </w:tcMar>
          </w:tcPr>
          <w:p>
            <w:pPr>
              <w:jc w:val="left"/>
            </w:pPr>
            <w:r>
              <w:rPr>
                <w:rFonts w:ascii="Times New Roman" w:eastAsia="Microsoft YaHei"/>
                <w:color w:val="1A2B40"/>
                <w:sz w:val="21"/>
                <w:szCs w:val="21"/>
              </w:rPr>
              <w:t xml:space="preserve">Quarterly</w:t>
            </w:r>
          </w:p>
        </w:tc>
      </w:tr>
      <w:tr>
        <w:trPr>
          <w:cantSplit/>
        </w:trPr>
        <w:tc>
          <w:tcPr>
            <w:tcW w:type="pct" w:w="15%"/>
            <w:shd w:fill="F0F4F8" w:val="clear"/>
            <w:tcMar>
              <w:top w:type="dxa" w:w="60"/>
              <w:left w:type="dxa" w:w="120"/>
              <w:bottom w:type="dxa" w:w="60"/>
              <w:right w:type="dxa" w:w="120"/>
            </w:tcMar>
          </w:tcPr>
          <w:p>
            <w:pPr>
              <w:jc w:val="left"/>
            </w:pPr>
            <w:r>
              <w:rPr>
                <w:rFonts w:ascii="Times New Roman" w:eastAsia="Microsoft YaHei"/>
                <w:color w:val="1A2B40"/>
                <w:sz w:val="21"/>
                <w:szCs w:val="21"/>
              </w:rPr>
              <w:t xml:space="preserve">Financial Stress</w:t>
            </w:r>
          </w:p>
        </w:tc>
        <w:tc>
          <w:tcPr>
            <w:tcW w:type="pct" w:w="35%"/>
            <w:shd w:fill="F0F4F8" w:val="clear"/>
            <w:tcMar>
              <w:top w:type="dxa" w:w="60"/>
              <w:left w:type="dxa" w:w="120"/>
              <w:bottom w:type="dxa" w:w="60"/>
              <w:right w:type="dxa" w:w="120"/>
            </w:tcMar>
          </w:tcPr>
          <w:p>
            <w:pPr>
              <w:jc w:val="left"/>
            </w:pPr>
            <w:r>
              <w:rPr>
                <w:rFonts w:ascii="Times New Roman" w:eastAsia="Microsoft YaHei"/>
                <w:color w:val="1A2B40"/>
                <w:sz w:val="21"/>
                <w:szCs w:val="21"/>
              </w:rPr>
              <w:t xml:space="preserve">VIX, Financial Conditions Index</w:t>
            </w:r>
          </w:p>
        </w:tc>
        <w:tc>
          <w:tcPr>
            <w:tcW w:type="pct" w:w="30%"/>
            <w:shd w:fill="F0F4F8" w:val="clear"/>
            <w:tcMar>
              <w:top w:type="dxa" w:w="60"/>
              <w:left w:type="dxa" w:w="120"/>
              <w:bottom w:type="dxa" w:w="60"/>
              <w:right w:type="dxa" w:w="120"/>
            </w:tcMar>
          </w:tcPr>
          <w:p>
            <w:pPr>
              <w:jc w:val="left"/>
            </w:pPr>
            <w:r>
              <w:rPr>
                <w:rFonts w:ascii="Times New Roman" w:eastAsia="Microsoft YaHei"/>
                <w:color w:val="1A2B40"/>
                <w:sz w:val="21"/>
                <w:szCs w:val="21"/>
              </w:rPr>
              <w:t xml:space="preserve">VIXCLS, NFCI</w:t>
            </w:r>
          </w:p>
        </w:tc>
        <w:tc>
          <w:tcPr>
            <w:tcW w:type="pct" w:w="20%"/>
            <w:shd w:fill="F0F4F8" w:val="clear"/>
            <w:tcMar>
              <w:top w:type="dxa" w:w="60"/>
              <w:left w:type="dxa" w:w="120"/>
              <w:bottom w:type="dxa" w:w="60"/>
              <w:right w:type="dxa" w:w="120"/>
            </w:tcMar>
          </w:tcPr>
          <w:p>
            <w:pPr>
              <w:jc w:val="left"/>
            </w:pPr>
            <w:r>
              <w:rPr>
                <w:rFonts w:ascii="Times New Roman" w:eastAsia="Microsoft YaHei"/>
                <w:color w:val="1A2B40"/>
                <w:sz w:val="21"/>
                <w:szCs w:val="21"/>
              </w:rPr>
              <w:t xml:space="preserve">Daily/Weekly</w:t>
            </w:r>
          </w:p>
        </w:tc>
      </w:tr>
      <w:tr>
        <w:trPr>
          <w:cantSplit/>
        </w:trPr>
        <w:tc>
          <w:tcPr>
            <w:tcW w:type="pct" w:w="15%"/>
            <w:shd w:fill="FFFFFF" w:val="clear"/>
            <w:tcMar>
              <w:top w:type="dxa" w:w="60"/>
              <w:left w:type="dxa" w:w="120"/>
              <w:bottom w:type="dxa" w:w="60"/>
              <w:right w:type="dxa" w:w="120"/>
            </w:tcMar>
          </w:tcPr>
          <w:p>
            <w:pPr>
              <w:jc w:val="left"/>
            </w:pPr>
            <w:r>
              <w:rPr>
                <w:rFonts w:ascii="Times New Roman" w:eastAsia="Microsoft YaHei"/>
                <w:color w:val="1A2B40"/>
                <w:sz w:val="21"/>
                <w:szCs w:val="21"/>
              </w:rPr>
              <w:t xml:space="preserve">Money Supply</w:t>
            </w:r>
          </w:p>
        </w:tc>
        <w:tc>
          <w:tcPr>
            <w:tcW w:type="pct" w:w="35%"/>
            <w:shd w:fill="FFFFFF" w:val="clear"/>
            <w:tcMar>
              <w:top w:type="dxa" w:w="60"/>
              <w:left w:type="dxa" w:w="120"/>
              <w:bottom w:type="dxa" w:w="60"/>
              <w:right w:type="dxa" w:w="120"/>
            </w:tcMar>
          </w:tcPr>
          <w:p>
            <w:pPr>
              <w:jc w:val="left"/>
            </w:pPr>
            <w:r>
              <w:rPr>
                <w:rFonts w:ascii="Times New Roman" w:eastAsia="Microsoft YaHei"/>
                <w:color w:val="1A2B40"/>
                <w:sz w:val="21"/>
                <w:szCs w:val="21"/>
              </w:rPr>
              <w:t xml:space="preserve">M1, M2</w:t>
            </w:r>
          </w:p>
        </w:tc>
        <w:tc>
          <w:tcPr>
            <w:tcW w:type="pct" w:w="30%"/>
            <w:shd w:fill="FFFFFF" w:val="clear"/>
            <w:tcMar>
              <w:top w:type="dxa" w:w="60"/>
              <w:left w:type="dxa" w:w="120"/>
              <w:bottom w:type="dxa" w:w="60"/>
              <w:right w:type="dxa" w:w="120"/>
            </w:tcMar>
          </w:tcPr>
          <w:p>
            <w:pPr>
              <w:jc w:val="left"/>
            </w:pPr>
            <w:r>
              <w:rPr>
                <w:rFonts w:ascii="Times New Roman" w:eastAsia="Microsoft YaHei"/>
                <w:color w:val="1A2B40"/>
                <w:sz w:val="21"/>
                <w:szCs w:val="21"/>
              </w:rPr>
              <w:t xml:space="preserve">M1SL, M2SL</w:t>
            </w:r>
          </w:p>
        </w:tc>
        <w:tc>
          <w:tcPr>
            <w:tcW w:type="pct" w:w="20%"/>
            <w:shd w:fill="FFFFFF" w:val="clear"/>
            <w:tcMar>
              <w:top w:type="dxa" w:w="60"/>
              <w:left w:type="dxa" w:w="120"/>
              <w:bottom w:type="dxa" w:w="60"/>
              <w:right w:type="dxa" w:w="120"/>
            </w:tcMar>
          </w:tcPr>
          <w:p>
            <w:pPr>
              <w:jc w:val="left"/>
            </w:pPr>
            <w:r>
              <w:rPr>
                <w:rFonts w:ascii="Times New Roman" w:eastAsia="Microsoft YaHei"/>
                <w:color w:val="1A2B40"/>
                <w:sz w:val="21"/>
                <w:szCs w:val="21"/>
              </w:rPr>
              <w:t xml:space="preserve">Monthly</w:t>
            </w:r>
          </w:p>
        </w:tc>
      </w:tr>
      <w:tr>
        <w:trPr>
          <w:cantSplit/>
        </w:trPr>
        <w:tc>
          <w:tcPr>
            <w:tcW w:type="pct" w:w="15%"/>
            <w:shd w:fill="F0F4F8" w:val="clear"/>
            <w:tcMar>
              <w:top w:type="dxa" w:w="60"/>
              <w:left w:type="dxa" w:w="120"/>
              <w:bottom w:type="dxa" w:w="60"/>
              <w:right w:type="dxa" w:w="120"/>
            </w:tcMar>
          </w:tcPr>
          <w:p>
            <w:pPr>
              <w:jc w:val="left"/>
            </w:pPr>
            <w:r>
              <w:rPr>
                <w:rFonts w:ascii="Times New Roman" w:eastAsia="Microsoft YaHei"/>
                <w:color w:val="1A2B40"/>
                <w:sz w:val="21"/>
                <w:szCs w:val="21"/>
              </w:rPr>
              <w:t xml:space="preserve">Credit</w:t>
            </w:r>
          </w:p>
        </w:tc>
        <w:tc>
          <w:tcPr>
            <w:tcW w:type="pct" w:w="35%"/>
            <w:shd w:fill="F0F4F8" w:val="clear"/>
            <w:tcMar>
              <w:top w:type="dxa" w:w="60"/>
              <w:left w:type="dxa" w:w="120"/>
              <w:bottom w:type="dxa" w:w="60"/>
              <w:right w:type="dxa" w:w="120"/>
            </w:tcMar>
          </w:tcPr>
          <w:p>
            <w:pPr>
              <w:jc w:val="left"/>
            </w:pPr>
            <w:r>
              <w:rPr>
                <w:rFonts w:ascii="Times New Roman" w:eastAsia="Microsoft YaHei"/>
                <w:color w:val="1A2B40"/>
                <w:sz w:val="21"/>
                <w:szCs w:val="21"/>
              </w:rPr>
              <w:t xml:space="preserve">Total Credit, Consumer Credit</w:t>
            </w:r>
          </w:p>
        </w:tc>
        <w:tc>
          <w:tcPr>
            <w:tcW w:type="pct" w:w="30%"/>
            <w:shd w:fill="F0F4F8" w:val="clear"/>
            <w:tcMar>
              <w:top w:type="dxa" w:w="60"/>
              <w:left w:type="dxa" w:w="120"/>
              <w:bottom w:type="dxa" w:w="60"/>
              <w:right w:type="dxa" w:w="120"/>
            </w:tcMar>
          </w:tcPr>
          <w:p>
            <w:pPr>
              <w:jc w:val="left"/>
            </w:pPr>
            <w:r>
              <w:rPr>
                <w:rFonts w:ascii="Times New Roman" w:eastAsia="Microsoft YaHei"/>
                <w:color w:val="1A2B40"/>
                <w:sz w:val="21"/>
                <w:szCs w:val="21"/>
              </w:rPr>
              <w:t xml:space="preserve">TOTCI, CCLACBW027SBOG</w:t>
            </w:r>
          </w:p>
        </w:tc>
        <w:tc>
          <w:tcPr>
            <w:tcW w:type="pct" w:w="20%"/>
            <w:shd w:fill="F0F4F8" w:val="clear"/>
            <w:tcMar>
              <w:top w:type="dxa" w:w="60"/>
              <w:left w:type="dxa" w:w="120"/>
              <w:bottom w:type="dxa" w:w="60"/>
              <w:right w:type="dxa" w:w="120"/>
            </w:tcMar>
          </w:tcPr>
          <w:p>
            <w:pPr>
              <w:jc w:val="left"/>
            </w:pPr>
            <w:r>
              <w:rPr>
                <w:rFonts w:ascii="Times New Roman" w:eastAsia="Microsoft YaHei"/>
                <w:color w:val="1A2B40"/>
                <w:sz w:val="21"/>
                <w:szCs w:val="21"/>
              </w:rPr>
              <w:t xml:space="preserve">Monthly/Weekly</w:t>
            </w:r>
          </w:p>
        </w:tc>
      </w:tr>
      <w:tr>
        <w:trPr>
          <w:cantSplit/>
        </w:trPr>
        <w:tc>
          <w:tcPr>
            <w:tcW w:type="pct" w:w="15%"/>
            <w:shd w:fill="FFFFFF" w:val="clear"/>
            <w:tcMar>
              <w:top w:type="dxa" w:w="60"/>
              <w:left w:type="dxa" w:w="120"/>
              <w:bottom w:type="dxa" w:w="60"/>
              <w:right w:type="dxa" w:w="120"/>
            </w:tcMar>
          </w:tcPr>
          <w:p>
            <w:pPr>
              <w:jc w:val="left"/>
            </w:pPr>
            <w:r>
              <w:rPr>
                <w:rFonts w:ascii="Times New Roman" w:eastAsia="Microsoft YaHei"/>
                <w:color w:val="1A2B40"/>
                <w:sz w:val="21"/>
                <w:szCs w:val="21"/>
              </w:rPr>
              <w:t xml:space="preserve">Exchange Rate</w:t>
            </w:r>
          </w:p>
        </w:tc>
        <w:tc>
          <w:tcPr>
            <w:tcW w:type="pct" w:w="35%"/>
            <w:shd w:fill="FFFFFF" w:val="clear"/>
            <w:tcMar>
              <w:top w:type="dxa" w:w="60"/>
              <w:left w:type="dxa" w:w="120"/>
              <w:bottom w:type="dxa" w:w="60"/>
              <w:right w:type="dxa" w:w="120"/>
            </w:tcMar>
          </w:tcPr>
          <w:p>
            <w:pPr>
              <w:jc w:val="left"/>
            </w:pPr>
            <w:r>
              <w:rPr>
                <w:rFonts w:ascii="Times New Roman" w:eastAsia="Microsoft YaHei"/>
                <w:color w:val="1A2B40"/>
                <w:sz w:val="21"/>
                <w:szCs w:val="21"/>
              </w:rPr>
              <w:t xml:space="preserve">Trade-Weighted USD Index</w:t>
            </w:r>
          </w:p>
        </w:tc>
        <w:tc>
          <w:tcPr>
            <w:tcW w:type="pct" w:w="30%"/>
            <w:shd w:fill="FFFFFF" w:val="clear"/>
            <w:tcMar>
              <w:top w:type="dxa" w:w="60"/>
              <w:left w:type="dxa" w:w="120"/>
              <w:bottom w:type="dxa" w:w="60"/>
              <w:right w:type="dxa" w:w="120"/>
            </w:tcMar>
          </w:tcPr>
          <w:p>
            <w:pPr>
              <w:jc w:val="left"/>
            </w:pPr>
            <w:r>
              <w:rPr>
                <w:rFonts w:ascii="Times New Roman" w:eastAsia="Microsoft YaHei"/>
                <w:color w:val="1A2B40"/>
                <w:sz w:val="21"/>
                <w:szCs w:val="21"/>
              </w:rPr>
              <w:t xml:space="preserve">DTWEXBGS</w:t>
            </w:r>
          </w:p>
        </w:tc>
        <w:tc>
          <w:tcPr>
            <w:tcW w:type="pct" w:w="20%"/>
            <w:shd w:fill="FFFFFF" w:val="clear"/>
            <w:tcMar>
              <w:top w:type="dxa" w:w="60"/>
              <w:left w:type="dxa" w:w="120"/>
              <w:bottom w:type="dxa" w:w="60"/>
              <w:right w:type="dxa" w:w="120"/>
            </w:tcMar>
          </w:tcPr>
          <w:p>
            <w:pPr>
              <w:jc w:val="left"/>
            </w:pPr>
            <w:r>
              <w:rPr>
                <w:rFonts w:ascii="Times New Roman" w:eastAsia="Microsoft YaHei"/>
                <w:color w:val="1A2B40"/>
                <w:sz w:val="21"/>
                <w:szCs w:val="21"/>
              </w:rPr>
              <w:t xml:space="preserve">Daily</w:t>
            </w:r>
          </w:p>
        </w:tc>
      </w:tr>
    </w:tbl>
    <w:p>
      <w:pPr>
        <w:spacing w:after="160" w:before="60" w:line="312"/>
        <w:jc w:val="center"/>
      </w:pPr>
      <w:r>
        <w:rPr>
          <w:rFonts w:ascii="Times New Roman" w:eastAsia="Microsoft YaHei"/>
          <w:color w:val="4A6575"/>
          <w:sz w:val="21"/>
          <w:szCs w:val="21"/>
        </w:rPr>
        <w:t xml:space="preserve">Table 2: FRED Data Series (31 series across 8 categories)</w:t>
      </w:r>
    </w:p>
    <w:p>
      <w:pPr>
        <w:spacing w:after="80" w:line="312"/>
        <w:ind w:firstLine="480"/>
        <w:jc w:val="both"/>
      </w:pPr>
      <w:r>
        <w:rPr>
          <w:rFonts w:ascii="Times New Roman" w:eastAsia="Microsoft YaHei"/>
          <w:color w:val="1A2B40"/>
          <w:sz w:val="24"/>
          <w:szCs w:val="24"/>
        </w:rPr>
        <w:t xml:space="preserve">The API call format is: https://api.stlouisfed.org/fred/series/observations?series_id={ID}&amp;api_key={KEY}&amp;file_type=json&amp;observation_start={START}&amp;observation_end={END}. Rate values are in percentage terms (e.g., DFF = 5.33 means 5.33%), requiring multiplication by 100 for basis point conversion.</w:t>
      </w:r>
    </w:p>
    <w:p>
      <w:pPr>
        <w:pStyle w:val="Heading2"/>
        <w:spacing w:after="120" w:before="280" w:line="312"/>
      </w:pPr>
      <w:bookmarkStart w:id="100003" w:name="_Toc100003"/>
      <w:r>
        <w:rPr>
          <w:rFonts w:ascii="Times New Roman" w:eastAsia="SimHei"/>
          <w:b/>
          <w:bCs/>
          <w:color w:val="0F2027"/>
          <w:sz w:val="28"/>
          <w:szCs w:val="28"/>
        </w:rPr>
        <w:t xml:space="preserve">2.2 FOMC Statement Scraping</w:t>
      </w:r>
      <w:bookmarkEnd w:id="100003"/>
    </w:p>
    <w:p>
      <w:pPr>
        <w:spacing w:after="80" w:line="312"/>
        <w:ind w:firstLine="480"/>
        <w:jc w:val="both"/>
      </w:pPr>
      <w:r>
        <w:rPr>
          <w:rFonts w:ascii="Times New Roman" w:eastAsia="Microsoft YaHei"/>
          <w:color w:val="1A2B40"/>
          <w:sz w:val="24"/>
          <w:szCs w:val="24"/>
        </w:rPr>
        <w:t xml:space="preserve">FOMC statements are scraped from the Federal Reserve website (data/fomc_scraper.py, class FOMCScraper). The URL format is: https://www.federalreserve.gov/newsevents/pressreleases/monetary{YYYYMMDD}a.htm. Content is extracted using the div#article CSS selector. The scraper achieved a 155/157 success rate (2006–2025), with 2 failures likely due to emergency meetings or non-standard dates. A 0.3-second delay between requests prevents rate limiting.</w:t>
      </w:r>
    </w:p>
    <w:p>
      <w:pPr>
        <w:pStyle w:val="Heading2"/>
        <w:spacing w:after="120" w:before="280" w:line="312"/>
      </w:pPr>
      <w:bookmarkStart w:id="100004" w:name="_Toc100004"/>
      <w:r>
        <w:rPr>
          <w:rFonts w:ascii="Times New Roman" w:eastAsia="SimHei"/>
          <w:b/>
          <w:bCs/>
          <w:color w:val="0F2027"/>
          <w:sz w:val="28"/>
          <w:szCs w:val="28"/>
        </w:rPr>
        <w:t xml:space="preserve">2.3 Asset Price Data</w:t>
      </w:r>
      <w:bookmarkEnd w:id="100004"/>
    </w:p>
    <w:p>
      <w:pPr>
        <w:spacing w:after="80" w:line="312"/>
        <w:ind w:firstLine="480"/>
        <w:jc w:val="both"/>
      </w:pPr>
      <w:r>
        <w:rPr>
          <w:rFonts w:ascii="Times New Roman" w:eastAsia="Microsoft YaHei"/>
          <w:color w:val="1A2B40"/>
          <w:sz w:val="24"/>
          <w:szCs w:val="24"/>
        </w:rPr>
        <w:t xml:space="preserve">Asset prices are downloaded via yfinance (data/asset_prices.py). The default tickers include: ^GSPC (S&amp;P 500), ^IXIC (NASDAQ), GC=F (Gold), ^TNX (10Y Treasury yield), ^IRX (13W T-bill), DX-Y.NYB (Dollar Index), CL=F (Crude Oil), ^VIX (VIX). The download window is [t-10, t+10] trading days around each FOMC meeting. Note: yfinance returns MultiIndex columns in newer versions; the code uses data['Close'][ticker] rather than data['Close'].</w:t>
      </w:r>
    </w:p>
    <w:p>
      <w:pPr>
        <w:pStyle w:val="Heading2"/>
        <w:spacing w:after="120" w:before="280" w:line="312"/>
      </w:pPr>
      <w:bookmarkStart w:id="100005" w:name="_Toc100005"/>
      <w:r>
        <w:rPr>
          <w:rFonts w:ascii="Times New Roman" w:eastAsia="SimHei"/>
          <w:b/>
          <w:bCs/>
          <w:color w:val="0F2027"/>
          <w:sz w:val="28"/>
          <w:szCs w:val="28"/>
        </w:rPr>
        <w:t xml:space="preserve">2.4 WRDS Integration (Planned)</w:t>
      </w:r>
      <w:bookmarkEnd w:id="100005"/>
    </w:p>
    <w:p>
      <w:pPr>
        <w:spacing w:after="80" w:line="312"/>
        <w:ind w:firstLine="480"/>
        <w:jc w:val="both"/>
      </w:pPr>
      <w:r>
        <w:rPr>
          <w:rFonts w:ascii="Times New Roman" w:eastAsia="Microsoft YaHei"/>
          <w:color w:val="1A2B40"/>
          <w:sz w:val="24"/>
          <w:szCs w:val="24"/>
        </w:rPr>
        <w:t xml:space="preserve">WRDS (Wharton Research Data Services) integration is designed but pending account activation. The connector (data/wrds_connector.py, class WRDSConnector) will provide access to: crsp.dsf (daily stock returns with delisting adjustment), cme.ff (Fed Funds futures for Kuttner surprise), cme.ef (Eurodollar futures for Gürkaynak path factor), taqmsec.ctm_{YYYYMMDD} (TAQ intraday trades), and optionm.opprcd{YYYY} (option implied volatility). Connection requires Duo MFA on first use, with 30-day exemption thereafter.</w:t>
      </w:r>
    </w:p>
    <w:p>
      <w:pPr>
        <w:pStyle w:val="Heading1"/>
        <w:spacing w:after="160" w:before="360" w:line="312"/>
      </w:pPr>
      <w:bookmarkStart w:id="100006" w:name="_Toc100006"/>
      <w:r>
        <w:rPr>
          <w:rFonts w:ascii="Times New Roman" w:eastAsia="SimHei"/>
          <w:b/>
          <w:bCs/>
          <w:color w:val="0F2027"/>
          <w:sz w:val="32"/>
          <w:szCs w:val="32"/>
        </w:rPr>
        <w:t xml:space="preserve">3. Monetary Policy Surprise</w:t>
      </w:r>
      <w:bookmarkEnd w:id="100006"/>
    </w:p>
    <w:p>
      <w:pPr>
        <w:pStyle w:val="Heading2"/>
        <w:spacing w:after="120" w:before="280" w:line="312"/>
      </w:pPr>
      <w:bookmarkStart w:id="100007" w:name="_Toc100007"/>
      <w:r>
        <w:rPr>
          <w:rFonts w:ascii="Times New Roman" w:eastAsia="SimHei"/>
          <w:b/>
          <w:bCs/>
          <w:color w:val="0F2027"/>
          <w:sz w:val="28"/>
          <w:szCs w:val="28"/>
        </w:rPr>
        <w:t xml:space="preserve">3.1 Current Implementation: Rate Change Proxy</w:t>
      </w:r>
      <w:bookmarkEnd w:id="100007"/>
    </w:p>
    <w:p>
      <w:pPr>
        <w:spacing w:after="80" w:line="312"/>
        <w:ind w:firstLine="480"/>
        <w:jc w:val="both"/>
      </w:pPr>
      <w:r>
        <w:rPr>
          <w:rFonts w:ascii="Times New Roman" w:eastAsia="Microsoft YaHei"/>
          <w:color w:val="1A2B40"/>
          <w:sz w:val="24"/>
          <w:szCs w:val="24"/>
        </w:rPr>
        <w:t xml:space="preserve">The current surprise measure (analysis/surprise_calculator.py, class SurpriseCalculator) uses the change in the target rate around FOMC meetings as a proxy for monetary policy surprise:</w:t>
      </w:r>
    </w:p>
    <w:p>
      <w:pPr>
        <w:spacing w:after="120" w:before="120" w:line="312"/>
        <w:jc w:val="center"/>
      </w:pPr>
      <w:r>
        <w:rPr>
          <w:rFonts w:ascii="Times New Roman" w:eastAsia="Microsoft YaHei"/>
          <w:i/>
          <w:iCs/>
          <w:color w:val="1A2B40"/>
          <w:sz w:val="24"/>
          <w:szCs w:val="24"/>
        </w:rPr>
        <w:t xml:space="preserve">Surprise_t = r_t - r_{t-1}</w:t>
      </w:r>
    </w:p>
    <w:p>
      <w:pPr>
        <w:spacing w:after="80" w:line="312"/>
        <w:ind w:firstLine="480"/>
        <w:jc w:val="both"/>
      </w:pPr>
      <w:r>
        <w:rPr>
          <w:rFonts w:ascii="Times New Roman" w:eastAsia="Microsoft YaHei"/>
          <w:color w:val="1A2B40"/>
          <w:sz w:val="24"/>
          <w:szCs w:val="24"/>
        </w:rPr>
        <w:t xml:space="preserve">where r_t is the federal funds target rate after meeting t, and r_{t-1} is the rate before. This is a crude proxy: all meetings with no rate change produce Surprise = 0, which inflates the residual share in variance decomposition and attenuates regression coefficients. The implementation uses DFF (Daily Federal Funds Rate) from FRED as the rate proxy.</w:t>
      </w:r>
    </w:p>
    <w:p>
      <w:pPr>
        <w:pStyle w:val="Heading2"/>
        <w:spacing w:after="120" w:before="280" w:line="312"/>
      </w:pPr>
      <w:bookmarkStart w:id="100008" w:name="_Toc100008"/>
      <w:r>
        <w:rPr>
          <w:rFonts w:ascii="Times New Roman" w:eastAsia="SimHei"/>
          <w:b/>
          <w:bCs/>
          <w:color w:val="0F2027"/>
          <w:sz w:val="28"/>
          <w:szCs w:val="28"/>
        </w:rPr>
        <w:t xml:space="preserve">3.2 Kuttner (2001) Method (Planned)</w:t>
      </w:r>
      <w:bookmarkEnd w:id="100008"/>
    </w:p>
    <w:p>
      <w:pPr>
        <w:spacing w:after="80" w:line="312"/>
        <w:ind w:firstLine="480"/>
        <w:jc w:val="both"/>
      </w:pPr>
      <w:r>
        <w:rPr>
          <w:rFonts w:ascii="Times New Roman" w:eastAsia="Microsoft YaHei"/>
          <w:color w:val="1A2B40"/>
          <w:sz w:val="24"/>
          <w:szCs w:val="24"/>
        </w:rPr>
        <w:t xml:space="preserve">The gold-standard approach computes surprise from Fed Funds futures:</w:t>
      </w:r>
    </w:p>
    <w:p>
      <w:pPr>
        <w:spacing w:after="120" w:before="120" w:line="312"/>
        <w:jc w:val="center"/>
      </w:pPr>
      <w:r>
        <w:rPr>
          <w:rFonts w:ascii="Times New Roman" w:eastAsia="Microsoft YaHei"/>
          <w:i/>
          <w:iCs/>
          <w:color w:val="1A2B40"/>
          <w:sz w:val="24"/>
          <w:szCs w:val="24"/>
        </w:rPr>
        <w:t xml:space="preserve">Surprise_t = (FF_t - FF_{t-1}) × 100  (in basis points)</w:t>
      </w:r>
    </w:p>
    <w:p>
      <w:pPr>
        <w:spacing w:after="80" w:line="312"/>
        <w:ind w:firstLine="480"/>
        <w:jc w:val="both"/>
      </w:pPr>
      <w:r>
        <w:rPr>
          <w:rFonts w:ascii="Times New Roman" w:eastAsia="Microsoft YaHei"/>
          <w:color w:val="1A2B40"/>
          <w:sz w:val="24"/>
          <w:szCs w:val="24"/>
        </w:rPr>
        <w:t xml:space="preserve">where FF_t is the Fed Funds futures contract price on the meeting day, and FF_{t-1} is the price on the day before. This captures the unexpected component of the rate decision. Implementation requires CME Fed Funds futures data from WRDS (cme.ff table).</w:t>
      </w:r>
    </w:p>
    <w:p>
      <w:pPr>
        <w:pStyle w:val="Heading2"/>
        <w:spacing w:after="120" w:before="280" w:line="312"/>
      </w:pPr>
      <w:bookmarkStart w:id="100009" w:name="_Toc100009"/>
      <w:r>
        <w:rPr>
          <w:rFonts w:ascii="Times New Roman" w:eastAsia="SimHei"/>
          <w:b/>
          <w:bCs/>
          <w:color w:val="0F2027"/>
          <w:sz w:val="28"/>
          <w:szCs w:val="28"/>
        </w:rPr>
        <w:t xml:space="preserve">3.3 Gürkaynak et al. (2005) Path Factor (Planned)</w:t>
      </w:r>
      <w:bookmarkEnd w:id="100009"/>
    </w:p>
    <w:p>
      <w:pPr>
        <w:spacing w:after="80" w:line="312"/>
        <w:ind w:firstLine="480"/>
        <w:jc w:val="both"/>
      </w:pPr>
      <w:r>
        <w:rPr>
          <w:rFonts w:ascii="Times New Roman" w:eastAsia="Microsoft YaHei"/>
          <w:color w:val="1A2B40"/>
          <w:sz w:val="24"/>
          <w:szCs w:val="24"/>
        </w:rPr>
        <w:t xml:space="preserve">The path factor captures the expected future trajectory of monetary policy beyond the current meeting:</w:t>
      </w:r>
    </w:p>
    <w:p>
      <w:pPr>
        <w:spacing w:after="120" w:before="120" w:line="312"/>
        <w:jc w:val="center"/>
      </w:pPr>
      <w:r>
        <w:rPr>
          <w:rFonts w:ascii="Times New Roman" w:eastAsia="Microsoft YaHei"/>
          <w:i/>
          <w:iCs/>
          <w:color w:val="1A2B40"/>
          <w:sz w:val="24"/>
          <w:szCs w:val="24"/>
        </w:rPr>
        <w:t xml:space="preserve">Path_t = ΔED2_t - ΔED1_t × β</w:t>
      </w:r>
    </w:p>
    <w:p>
      <w:pPr>
        <w:spacing w:after="80" w:line="312"/>
        <w:ind w:firstLine="480"/>
        <w:jc w:val="both"/>
      </w:pPr>
      <w:r>
        <w:rPr>
          <w:rFonts w:ascii="Times New Roman" w:eastAsia="Microsoft YaHei"/>
          <w:color w:val="1A2B40"/>
          <w:sz w:val="24"/>
          <w:szCs w:val="24"/>
        </w:rPr>
        <w:t xml:space="preserve">where ED1 and ED2 are the first and second Eurodollar futures contracts, and β is the regression coefficient from ED2 on ED1 changes. This decomposition separates the target rate surprise from the forward guidance / path surprise. Implementation requires CME Eurodollar futures data from WRDS (cme.ef table).</w:t>
      </w:r>
    </w:p>
    <w:p>
      <w:pPr>
        <w:pStyle w:val="Heading1"/>
        <w:spacing w:after="160" w:before="360" w:line="312"/>
      </w:pPr>
      <w:bookmarkStart w:id="100010" w:name="_Toc100010"/>
      <w:r>
        <w:rPr>
          <w:rFonts w:ascii="Times New Roman" w:eastAsia="SimHei"/>
          <w:b/>
          <w:bCs/>
          <w:color w:val="0F2027"/>
          <w:sz w:val="32"/>
          <w:szCs w:val="32"/>
        </w:rPr>
        <w:t xml:space="preserve">4. Sentiment Analysis</w:t>
      </w:r>
      <w:bookmarkEnd w:id="100010"/>
    </w:p>
    <w:p>
      <w:pPr>
        <w:pStyle w:val="Heading2"/>
        <w:spacing w:after="120" w:before="280" w:line="312"/>
      </w:pPr>
      <w:bookmarkStart w:id="100011" w:name="_Toc100011"/>
      <w:r>
        <w:rPr>
          <w:rFonts w:ascii="Times New Roman" w:eastAsia="SimHei"/>
          <w:b/>
          <w:bCs/>
          <w:color w:val="0F2027"/>
          <w:sz w:val="28"/>
          <w:szCs w:val="28"/>
        </w:rPr>
        <w:t xml:space="preserve">4.1 Dual-Dictionary Method</w:t>
      </w:r>
      <w:bookmarkEnd w:id="100011"/>
    </w:p>
    <w:p>
      <w:pPr>
        <w:spacing w:after="80" w:line="312"/>
        <w:ind w:firstLine="480"/>
        <w:jc w:val="both"/>
      </w:pPr>
      <w:r>
        <w:rPr>
          <w:rFonts w:ascii="Times New Roman" w:eastAsia="Microsoft YaHei"/>
          <w:color w:val="1A2B40"/>
          <w:sz w:val="24"/>
          <w:szCs w:val="24"/>
        </w:rPr>
        <w:t xml:space="preserve">The sentiment engine (analysis/nlp_engine.py, class NLPEngine) uses a dual-dictionary approach combining Loughran-McDonald (2011) financial sentiment and Corrado-Driessen (CB) hawkish-dovish dictionaries:</w:t>
      </w:r>
    </w:p>
    <w:p>
      <w:pPr>
        <w:spacing w:after="120" w:before="120" w:line="312"/>
        <w:jc w:val="center"/>
      </w:pPr>
      <w:r>
        <w:rPr>
          <w:rFonts w:ascii="Times New Roman" w:eastAsia="Microsoft YaHei"/>
          <w:i/>
          <w:iCs/>
          <w:color w:val="1A2B40"/>
          <w:sz w:val="24"/>
          <w:szCs w:val="24"/>
        </w:rPr>
        <w:t xml:space="preserve">Sentiment_t = 0.5 × [(Pos - Neg) / Total] + 0.5 × [(Hawk - Dove) / Total]</w:t>
      </w:r>
    </w:p>
    <w:p>
      <w:pPr>
        <w:spacing w:after="80" w:line="312"/>
        <w:ind w:firstLine="480"/>
        <w:jc w:val="both"/>
      </w:pPr>
      <w:r>
        <w:rPr>
          <w:rFonts w:ascii="Times New Roman" w:eastAsia="Microsoft YaHei"/>
          <w:color w:val="1A2B40"/>
          <w:sz w:val="24"/>
          <w:szCs w:val="24"/>
        </w:rPr>
        <w:t xml:space="preserve">The LM dictionary contains approximately 30 positive and 30 negative words. The CB dictionary contains approximately 18 hawkish and 18 dovish words plus bigrams. Both dictionaries are sparse for FOMC text, resulting in low sentiment variance (std ≈ 0.003 vs. literature benchmark of 0.035).</w:t>
      </w:r>
    </w:p>
    <w:p>
      <w:pPr>
        <w:pStyle w:val="Heading2"/>
        <w:spacing w:after="120" w:before="280" w:line="312"/>
      </w:pPr>
      <w:bookmarkStart w:id="100012" w:name="_Toc100012"/>
      <w:r>
        <w:rPr>
          <w:rFonts w:ascii="Times New Roman" w:eastAsia="SimHei"/>
          <w:b/>
          <w:bCs/>
          <w:color w:val="0F2027"/>
          <w:sz w:val="28"/>
          <w:szCs w:val="28"/>
        </w:rPr>
        <w:t xml:space="preserve">4.2 Known Limitations</w:t>
      </w:r>
      <w:bookmarkEnd w:id="100012"/>
    </w:p>
    <w:p>
      <w:pPr>
        <w:spacing w:after="40" w:line="312"/>
        <w:ind w:left="720" w:hanging="360"/>
      </w:pPr>
      <w:r>
        <w:rPr>
          <w:rFonts w:ascii="Times New Roman"/>
          <w:color w:val="D4AF37"/>
          <w:sz w:val="24"/>
          <w:szCs w:val="24"/>
        </w:rPr>
        <w:t xml:space="preserve">•  </w:t>
      </w:r>
      <w:r>
        <w:rPr>
          <w:rFonts w:ascii="Times New Roman" w:eastAsia="Microsoft YaHei"/>
          <w:color w:val="1A2B40"/>
          <w:sz w:val="24"/>
          <w:szCs w:val="24"/>
        </w:rPr>
        <w:t xml:space="preserve">Context insensitivity: “higher inflation” and “higher growth” both match positive/hawkish words, but have opposite policy implications</w:t>
      </w:r>
    </w:p>
    <w:p>
      <w:pPr>
        <w:spacing w:after="40" w:line="312"/>
        <w:ind w:left="720" w:hanging="360"/>
      </w:pPr>
      <w:r>
        <w:rPr>
          <w:rFonts w:ascii="Times New Roman"/>
          <w:color w:val="D4AF37"/>
          <w:sz w:val="24"/>
          <w:szCs w:val="24"/>
        </w:rPr>
        <w:t xml:space="preserve">•  </w:t>
      </w:r>
      <w:r>
        <w:rPr>
          <w:rFonts w:ascii="Times New Roman" w:eastAsia="Microsoft YaHei"/>
          <w:color w:val="1A2B40"/>
          <w:sz w:val="24"/>
          <w:szCs w:val="24"/>
        </w:rPr>
        <w:t xml:space="preserve">Negation handling: “not concerned about inflation” is scored as hawkish (matches “inflation” and “concerned”)</w:t>
      </w:r>
    </w:p>
    <w:p>
      <w:pPr>
        <w:spacing w:after="40" w:line="312"/>
        <w:ind w:left="720" w:hanging="360"/>
      </w:pPr>
      <w:r>
        <w:rPr>
          <w:rFonts w:ascii="Times New Roman"/>
          <w:color w:val="D4AF37"/>
          <w:sz w:val="24"/>
          <w:szCs w:val="24"/>
        </w:rPr>
        <w:t xml:space="preserve">•  </w:t>
      </w:r>
      <w:r>
        <w:rPr>
          <w:rFonts w:ascii="Times New Roman" w:eastAsia="Microsoft YaHei"/>
          <w:color w:val="1A2B40"/>
          <w:sz w:val="24"/>
          <w:szCs w:val="24"/>
        </w:rPr>
        <w:t xml:space="preserve">Bigram coverage: only 18 bigrams in the CB dictionary, missing many FOMC-specific collocations</w:t>
      </w:r>
    </w:p>
    <w:p>
      <w:pPr>
        <w:spacing w:after="40" w:line="312"/>
        <w:ind w:left="720" w:hanging="360"/>
      </w:pPr>
      <w:r>
        <w:rPr>
          <w:rFonts w:ascii="Times New Roman"/>
          <w:color w:val="D4AF37"/>
          <w:sz w:val="24"/>
          <w:szCs w:val="24"/>
        </w:rPr>
        <w:t xml:space="preserve">•  </w:t>
      </w:r>
      <w:r>
        <w:rPr>
          <w:rFonts w:ascii="Times New Roman" w:eastAsia="Microsoft YaHei"/>
          <w:color w:val="1A2B40"/>
          <w:sz w:val="24"/>
          <w:szCs w:val="24"/>
        </w:rPr>
        <w:t xml:space="preserve">Temporal drift: the dictionary does not account for changing language norms across FOMC chairs</w:t>
      </w:r>
    </w:p>
    <w:p>
      <w:pPr>
        <w:pStyle w:val="Heading2"/>
        <w:spacing w:after="120" w:before="280" w:line="312"/>
      </w:pPr>
      <w:bookmarkStart w:id="100013" w:name="_Toc100013"/>
      <w:r>
        <w:rPr>
          <w:rFonts w:ascii="Times New Roman" w:eastAsia="SimHei"/>
          <w:b/>
          <w:bCs/>
          <w:color w:val="0F2027"/>
          <w:sz w:val="28"/>
          <w:szCs w:val="28"/>
        </w:rPr>
        <w:t xml:space="preserve">4.3 Planned Upgrades</w:t>
      </w:r>
      <w:bookmarkEnd w:id="100013"/>
    </w:p>
    <w:p>
      <w:pPr>
        <w:spacing w:after="80" w:line="312"/>
        <w:ind w:firstLine="480"/>
        <w:jc w:val="both"/>
      </w:pPr>
      <w:r>
        <w:rPr>
          <w:rFonts w:ascii="Times New Roman" w:eastAsia="Microsoft YaHei"/>
          <w:color w:val="1A2B40"/>
          <w:sz w:val="24"/>
          <w:szCs w:val="24"/>
        </w:rPr>
        <w:t xml:space="preserve">FinBERT (Huang et al., 2022) will replace the dictionary approach in Phase 3. FinBERT is a BERT model fine-tuned on financial text that provides context-aware sentiment scores. Expected improvement: sentiment std from 0.003 to 0.02+. This requires GPU compute, which is not available on the current cloud VM (QEMU/KVM virtual GPU).</w:t>
      </w:r>
    </w:p>
    <w:p>
      <w:pPr>
        <w:pStyle w:val="Heading1"/>
        <w:spacing w:after="160" w:before="360" w:line="312"/>
      </w:pPr>
      <w:bookmarkStart w:id="100014" w:name="_Toc100014"/>
      <w:r>
        <w:rPr>
          <w:rFonts w:ascii="Times New Roman" w:eastAsia="SimHei"/>
          <w:b/>
          <w:bCs/>
          <w:color w:val="0F2027"/>
          <w:sz w:val="32"/>
          <w:szCs w:val="32"/>
        </w:rPr>
        <w:t xml:space="preserve">5. Two-Shock Decomposition</w:t>
      </w:r>
      <w:bookmarkEnd w:id="100014"/>
    </w:p>
    <w:p>
      <w:pPr>
        <w:pStyle w:val="Heading2"/>
        <w:spacing w:after="120" w:before="280" w:line="312"/>
      </w:pPr>
      <w:bookmarkStart w:id="100015" w:name="_Toc100015"/>
      <w:r>
        <w:rPr>
          <w:rFonts w:ascii="Times New Roman" w:eastAsia="SimHei"/>
          <w:b/>
          <w:bCs/>
          <w:color w:val="0F2027"/>
          <w:sz w:val="28"/>
          <w:szCs w:val="28"/>
        </w:rPr>
        <w:t xml:space="preserve">5.1 Variance Decomposition</w:t>
      </w:r>
      <w:bookmarkEnd w:id="100015"/>
    </w:p>
    <w:p>
      <w:pPr>
        <w:spacing w:after="80" w:line="312"/>
        <w:ind w:firstLine="480"/>
        <w:jc w:val="both"/>
      </w:pPr>
      <w:r>
        <w:rPr>
          <w:rFonts w:ascii="Times New Roman" w:eastAsia="Microsoft YaHei"/>
          <w:color w:val="1A2B40"/>
          <w:sz w:val="24"/>
          <w:szCs w:val="24"/>
        </w:rPr>
        <w:t xml:space="preserve">The TwoShocksEngine (analysis/two_shocks.py) decomposes asset return variance into a target rate shock component and an information shock component:</w:t>
      </w:r>
    </w:p>
    <w:p>
      <w:pPr>
        <w:spacing w:after="120" w:before="120" w:line="312"/>
        <w:jc w:val="center"/>
      </w:pPr>
      <w:r>
        <w:rPr>
          <w:rFonts w:ascii="Times New Roman" w:eastAsia="Microsoft YaHei"/>
          <w:i/>
          <w:iCs/>
          <w:color w:val="1A2B40"/>
          <w:sz w:val="24"/>
          <w:szCs w:val="24"/>
        </w:rPr>
        <w:t xml:space="preserve">R_t = α + β × Surprise_t + ε_t</w:t>
      </w:r>
    </w:p>
    <w:p>
      <w:pPr>
        <w:spacing w:after="80" w:line="312"/>
        <w:ind w:firstLine="480"/>
        <w:jc w:val="both"/>
      </w:pPr>
      <w:r>
        <w:rPr>
          <w:rFonts w:ascii="Times New Roman" w:eastAsia="Microsoft YaHei"/>
          <w:color w:val="1A2B40"/>
          <w:sz w:val="24"/>
          <w:szCs w:val="24"/>
        </w:rPr>
        <w:t xml:space="preserve">The variance decomposition is:</w:t>
      </w:r>
    </w:p>
    <w:p>
      <w:pPr>
        <w:spacing w:after="120" w:before="120" w:line="312"/>
        <w:jc w:val="center"/>
      </w:pPr>
      <w:r>
        <w:rPr>
          <w:rFonts w:ascii="Times New Roman" w:eastAsia="Microsoft YaHei"/>
          <w:i/>
          <w:iCs/>
          <w:color w:val="1A2B40"/>
          <w:sz w:val="24"/>
          <w:szCs w:val="24"/>
        </w:rPr>
        <w:t xml:space="preserve">Target Share = Var(β × Surprise) / Var(R)</w:t>
      </w:r>
    </w:p>
    <w:p>
      <w:pPr>
        <w:spacing w:after="120" w:before="120" w:line="312"/>
        <w:jc w:val="center"/>
      </w:pPr>
      <w:r>
        <w:rPr>
          <w:rFonts w:ascii="Times New Roman" w:eastAsia="Microsoft YaHei"/>
          <w:i/>
          <w:iCs/>
          <w:color w:val="1A2B40"/>
          <w:sz w:val="24"/>
          <w:szCs w:val="24"/>
        </w:rPr>
        <w:t xml:space="preserve">Info Share = Var(ε) / Var(R)</w:t>
      </w:r>
    </w:p>
    <w:p>
      <w:pPr>
        <w:spacing w:after="80" w:line="312"/>
        <w:ind w:firstLine="480"/>
        <w:jc w:val="both"/>
      </w:pPr>
      <w:r>
        <w:rPr>
          <w:rFonts w:ascii="Times New Roman" w:eastAsia="Microsoft YaHei"/>
          <w:color w:val="1A2B40"/>
          <w:sz w:val="24"/>
          <w:szCs w:val="24"/>
        </w:rPr>
        <w:t xml:space="preserve">Current results show Info Share = 99.6%, compared to the literature benchmark of 97.2%. The discrepancy is primarily driven by the crude surprise proxy: when most meetings have Surprise = 0, the explained variance is near zero, inflating the residual share.</w:t>
      </w:r>
    </w:p>
    <w:p>
      <w:pPr>
        <w:pStyle w:val="Heading2"/>
        <w:spacing w:after="120" w:before="280" w:line="312"/>
      </w:pPr>
      <w:bookmarkStart w:id="100016" w:name="_Toc100016"/>
      <w:r>
        <w:rPr>
          <w:rFonts w:ascii="Times New Roman" w:eastAsia="SimHei"/>
          <w:b/>
          <w:bCs/>
          <w:color w:val="0F2027"/>
          <w:sz w:val="28"/>
          <w:szCs w:val="28"/>
        </w:rPr>
        <w:t xml:space="preserve">5.2 Simulation-Based Decomposition</w:t>
      </w:r>
      <w:bookmarkEnd w:id="100016"/>
    </w:p>
    <w:p>
      <w:pPr>
        <w:spacing w:after="80" w:line="312"/>
        <w:ind w:firstLine="480"/>
        <w:jc w:val="both"/>
      </w:pPr>
      <w:r>
        <w:rPr>
          <w:rFonts w:ascii="Times New Roman" w:eastAsia="Microsoft YaHei"/>
          <w:color w:val="1A2B40"/>
          <w:sz w:val="24"/>
          <w:szCs w:val="24"/>
        </w:rPr>
        <w:t xml:space="preserve">The engine also implements a simulation-based decomposition using Monte Carlo methods. It generates N = 1000 simulated return paths by:</w:t>
      </w:r>
    </w:p>
    <w:p>
      <w:pPr>
        <w:spacing w:after="40" w:line="312"/>
        <w:ind w:left="720" w:hanging="360"/>
      </w:pPr>
      <w:r>
        <w:rPr>
          <w:rFonts w:ascii="Times New Roman"/>
          <w:color w:val="D4AF37"/>
          <w:sz w:val="24"/>
          <w:szCs w:val="24"/>
        </w:rPr>
        <w:t xml:space="preserve">•  </w:t>
      </w:r>
      <w:r>
        <w:rPr>
          <w:rFonts w:ascii="Times New Roman" w:eastAsia="Microsoft YaHei"/>
          <w:color w:val="1A2B40"/>
          <w:sz w:val="24"/>
          <w:szCs w:val="24"/>
        </w:rPr>
        <w:t xml:space="preserve">Drawing surprise values from the empirical distribution</w:t>
      </w:r>
    </w:p>
    <w:p>
      <w:pPr>
        <w:spacing w:after="40" w:line="312"/>
        <w:ind w:left="720" w:hanging="360"/>
      </w:pPr>
      <w:r>
        <w:rPr>
          <w:rFonts w:ascii="Times New Roman"/>
          <w:color w:val="D4AF37"/>
          <w:sz w:val="24"/>
          <w:szCs w:val="24"/>
        </w:rPr>
        <w:t xml:space="preserve">•  </w:t>
      </w:r>
      <w:r>
        <w:rPr>
          <w:rFonts w:ascii="Times New Roman" w:eastAsia="Microsoft YaHei"/>
          <w:color w:val="1A2B40"/>
          <w:sz w:val="24"/>
          <w:szCs w:val="24"/>
        </w:rPr>
        <w:t xml:space="preserve">Adding Gaussian noise: ε ~ N(0, 3) basis points</w:t>
      </w:r>
    </w:p>
    <w:p>
      <w:pPr>
        <w:spacing w:after="40" w:line="312"/>
        <w:ind w:left="720" w:hanging="360"/>
      </w:pPr>
      <w:r>
        <w:rPr>
          <w:rFonts w:ascii="Times New Roman"/>
          <w:color w:val="D4AF37"/>
          <w:sz w:val="24"/>
          <w:szCs w:val="24"/>
        </w:rPr>
        <w:t xml:space="preserve">•  </w:t>
      </w:r>
      <w:r>
        <w:rPr>
          <w:rFonts w:ascii="Times New Roman" w:eastAsia="Microsoft YaHei"/>
          <w:color w:val="1A2B40"/>
          <w:sz w:val="24"/>
          <w:szCs w:val="24"/>
        </w:rPr>
        <w:t xml:space="preserve">Computing the fraction of total variance attributable to the surprise component</w:t>
      </w:r>
    </w:p>
    <w:p>
      <w:pPr>
        <w:spacing w:after="80" w:line="312"/>
        <w:ind w:firstLine="480"/>
        <w:jc w:val="both"/>
      </w:pPr>
      <w:r>
        <w:rPr>
          <w:rFonts w:ascii="Times New Roman" w:eastAsia="Microsoft YaHei"/>
          <w:color w:val="1A2B40"/>
          <w:sz w:val="24"/>
          <w:szCs w:val="24"/>
        </w:rPr>
        <w:t xml:space="preserve">Note: The simulation uses np.random.normal(0, 3) without a fixed seed, so results vary across runs.</w:t>
      </w:r>
    </w:p>
    <w:p>
      <w:pPr>
        <w:pStyle w:val="Heading1"/>
        <w:spacing w:after="160" w:before="360" w:line="312"/>
      </w:pPr>
      <w:bookmarkStart w:id="100017" w:name="_Toc100017"/>
      <w:r>
        <w:rPr>
          <w:rFonts w:ascii="Times New Roman" w:eastAsia="SimHei"/>
          <w:b/>
          <w:bCs/>
          <w:color w:val="0F2027"/>
          <w:sz w:val="32"/>
          <w:szCs w:val="32"/>
        </w:rPr>
        <w:t xml:space="preserve">6. Regression Framework</w:t>
      </w:r>
      <w:bookmarkEnd w:id="100017"/>
    </w:p>
    <w:p>
      <w:pPr>
        <w:pStyle w:val="Heading2"/>
        <w:spacing w:after="120" w:before="280" w:line="312"/>
      </w:pPr>
      <w:bookmarkStart w:id="100018" w:name="_Toc100018"/>
      <w:r>
        <w:rPr>
          <w:rFonts w:ascii="Times New Roman" w:eastAsia="SimHei"/>
          <w:b/>
          <w:bCs/>
          <w:color w:val="0F2027"/>
          <w:sz w:val="28"/>
          <w:szCs w:val="28"/>
        </w:rPr>
        <w:t xml:space="preserve">6.1 Core Specifications</w:t>
      </w:r>
      <w:bookmarkEnd w:id="100018"/>
    </w:p>
    <w:p>
      <w:pPr>
        <w:spacing w:after="80" w:line="312"/>
        <w:ind w:firstLine="480"/>
        <w:jc w:val="both"/>
      </w:pPr>
      <w:r>
        <w:rPr>
          <w:rFonts w:ascii="Times New Roman" w:eastAsia="Microsoft YaHei"/>
          <w:color w:val="1A2B40"/>
          <w:sz w:val="24"/>
          <w:szCs w:val="24"/>
        </w:rPr>
        <w:t xml:space="preserve">The regression engine (analysis/regression_engine.py, class RegressionEngine) implements three core specifications corresponding to the three hypotheses in the research design:</w:t>
      </w:r>
    </w:p>
    <w:p>
      <w:pPr>
        <w:spacing w:after="80" w:line="312"/>
        <w:ind w:firstLine="480"/>
        <w:jc w:val="both"/>
      </w:pPr>
      <w:r>
        <w:rPr>
          <w:rFonts w:ascii="Times New Roman" w:eastAsia="Microsoft YaHei"/>
          <w:color w:val="1A2B40"/>
          <w:sz w:val="24"/>
          <w:szCs w:val="24"/>
        </w:rPr>
        <w:t xml:space="preserve">H1 (Sentiment Channel):</w:t>
      </w:r>
    </w:p>
    <w:p>
      <w:pPr>
        <w:spacing w:after="120" w:before="120" w:line="312"/>
        <w:jc w:val="center"/>
      </w:pPr>
      <w:r>
        <w:rPr>
          <w:rFonts w:ascii="Times New Roman" w:eastAsia="Microsoft YaHei"/>
          <w:i/>
          <w:iCs/>
          <w:color w:val="1A2B40"/>
          <w:sz w:val="24"/>
          <w:szCs w:val="24"/>
        </w:rPr>
        <w:t xml:space="preserve">ΔR_t = α + β₁ × Sentiment_t + β₂ × Controls_t + ε_t</w:t>
      </w:r>
    </w:p>
    <w:p>
      <w:pPr>
        <w:spacing w:after="80" w:line="312"/>
        <w:ind w:firstLine="480"/>
        <w:jc w:val="both"/>
      </w:pPr>
      <w:r>
        <w:rPr>
          <w:rFonts w:ascii="Times New Roman" w:eastAsia="Microsoft YaHei"/>
          <w:color w:val="1A2B40"/>
          <w:sz w:val="24"/>
          <w:szCs w:val="24"/>
        </w:rPr>
        <w:t xml:space="preserve">H2 (Surprise Channel):</w:t>
      </w:r>
    </w:p>
    <w:p>
      <w:pPr>
        <w:spacing w:after="120" w:before="120" w:line="312"/>
        <w:jc w:val="center"/>
      </w:pPr>
      <w:r>
        <w:rPr>
          <w:rFonts w:ascii="Times New Roman" w:eastAsia="Microsoft YaHei"/>
          <w:i/>
          <w:iCs/>
          <w:color w:val="1A2B40"/>
          <w:sz w:val="24"/>
          <w:szCs w:val="24"/>
        </w:rPr>
        <w:t xml:space="preserve">ΔR_t = α + γ₁ × Surprise_t + γ₂ × Controls_t + ε_t</w:t>
      </w:r>
    </w:p>
    <w:p>
      <w:pPr>
        <w:spacing w:after="80" w:line="312"/>
        <w:ind w:firstLine="480"/>
        <w:jc w:val="both"/>
      </w:pPr>
      <w:r>
        <w:rPr>
          <w:rFonts w:ascii="Times New Roman" w:eastAsia="Microsoft YaHei"/>
          <w:color w:val="1A2B40"/>
          <w:sz w:val="24"/>
          <w:szCs w:val="24"/>
        </w:rPr>
        <w:t xml:space="preserve">H3 (Two-Shock Decomposition):</w:t>
      </w:r>
    </w:p>
    <w:p>
      <w:pPr>
        <w:spacing w:after="120" w:before="120" w:line="312"/>
        <w:jc w:val="center"/>
      </w:pPr>
      <w:r>
        <w:rPr>
          <w:rFonts w:ascii="Times New Roman" w:eastAsia="Microsoft YaHei"/>
          <w:i/>
          <w:iCs/>
          <w:color w:val="1A2B40"/>
          <w:sz w:val="24"/>
          <w:szCs w:val="24"/>
        </w:rPr>
        <w:t xml:space="preserve">ΔR_t = α + δ₁ × Surprise_t + δ₂ × Sentiment_t + δ₃ × Controls_t + ε_t</w:t>
      </w:r>
    </w:p>
    <w:p>
      <w:pPr>
        <w:spacing w:after="80" w:line="312"/>
        <w:ind w:firstLine="480"/>
        <w:jc w:val="both"/>
      </w:pPr>
      <w:r>
        <w:rPr>
          <w:rFonts w:ascii="Times New Roman" w:eastAsia="Microsoft YaHei"/>
          <w:color w:val="1A2B40"/>
          <w:sz w:val="24"/>
          <w:szCs w:val="24"/>
        </w:rPr>
        <w:t xml:space="preserve">The dependent variable is the 2-day cumulative return around each FOMC meeting (t-1 to t+1). The asset universe includes: S&amp;P 500, NASDAQ, Gold, 13W T-Bill, and 10Y Treasury. Control variables include: pre-meeting VIX level, pre-meeting rate level, and meeting type indicator (scheduled vs. emergency).</w:t>
      </w:r>
    </w:p>
    <w:p>
      <w:pPr>
        <w:pStyle w:val="Heading2"/>
        <w:spacing w:after="120" w:before="280" w:line="312"/>
      </w:pPr>
      <w:bookmarkStart w:id="100019" w:name="_Toc100019"/>
      <w:r>
        <w:rPr>
          <w:rFonts w:ascii="Times New Roman" w:eastAsia="SimHei"/>
          <w:b/>
          <w:bCs/>
          <w:color w:val="0F2027"/>
          <w:sz w:val="28"/>
          <w:szCs w:val="28"/>
        </w:rPr>
        <w:t xml:space="preserve">6.2 Estimation Method</w:t>
      </w:r>
      <w:bookmarkEnd w:id="100019"/>
    </w:p>
    <w:p>
      <w:pPr>
        <w:spacing w:after="80" w:line="312"/>
        <w:ind w:firstLine="480"/>
        <w:jc w:val="both"/>
      </w:pPr>
      <w:r>
        <w:rPr>
          <w:rFonts w:ascii="Times New Roman" w:eastAsia="Microsoft YaHei"/>
          <w:color w:val="1A2B40"/>
          <w:sz w:val="24"/>
          <w:szCs w:val="24"/>
        </w:rPr>
        <w:t xml:space="preserve">Current implementation uses OLS with homoskedastic standard errors (scipy.stats.linregress). This is a known limitation for financial time series data. The planned upgrades include:</w:t>
      </w:r>
    </w:p>
    <w:p>
      <w:pPr>
        <w:spacing w:after="40" w:line="312"/>
        <w:ind w:left="720" w:hanging="360"/>
      </w:pPr>
      <w:r>
        <w:rPr>
          <w:rFonts w:ascii="Times New Roman"/>
          <w:color w:val="D4AF37"/>
          <w:sz w:val="24"/>
          <w:szCs w:val="24"/>
        </w:rPr>
        <w:t xml:space="preserve">•  </w:t>
      </w:r>
      <w:r>
        <w:rPr>
          <w:rFonts w:ascii="Times New Roman" w:eastAsia="Microsoft YaHei"/>
          <w:color w:val="1A2B40"/>
          <w:sz w:val="24"/>
          <w:szCs w:val="24"/>
        </w:rPr>
        <w:t xml:space="preserve">Newey-West HAC standard errors for heteroskedasticity and autocorrelation</w:t>
      </w:r>
    </w:p>
    <w:p>
      <w:pPr>
        <w:spacing w:after="40" w:line="312"/>
        <w:ind w:left="720" w:hanging="360"/>
      </w:pPr>
      <w:r>
        <w:rPr>
          <w:rFonts w:ascii="Times New Roman"/>
          <w:color w:val="D4AF37"/>
          <w:sz w:val="24"/>
          <w:szCs w:val="24"/>
        </w:rPr>
        <w:t xml:space="preserve">•  </w:t>
      </w:r>
      <w:r>
        <w:rPr>
          <w:rFonts w:ascii="Times New Roman" w:eastAsia="Microsoft YaHei"/>
          <w:color w:val="1A2B40"/>
          <w:sz w:val="24"/>
          <w:szCs w:val="24"/>
        </w:rPr>
        <w:t xml:space="preserve">White robust standard errors as a baseline correction</w:t>
      </w:r>
    </w:p>
    <w:p>
      <w:pPr>
        <w:spacing w:after="40" w:line="312"/>
        <w:ind w:left="720" w:hanging="360"/>
      </w:pPr>
      <w:r>
        <w:rPr>
          <w:rFonts w:ascii="Times New Roman"/>
          <w:color w:val="D4AF37"/>
          <w:sz w:val="24"/>
          <w:szCs w:val="24"/>
        </w:rPr>
        <w:t xml:space="preserve">•  </w:t>
      </w:r>
      <w:r>
        <w:rPr>
          <w:rFonts w:ascii="Times New Roman" w:eastAsia="Microsoft YaHei"/>
          <w:color w:val="1A2B40"/>
          <w:sz w:val="24"/>
          <w:szCs w:val="24"/>
        </w:rPr>
        <w:t xml:space="preserve">Thompson (2011) double-clustered standard errors (by time and by asset) for panel specifications</w:t>
      </w:r>
    </w:p>
    <w:p>
      <w:pPr>
        <w:spacing w:after="40" w:line="312"/>
        <w:ind w:left="720" w:hanging="360"/>
      </w:pPr>
      <w:r>
        <w:rPr>
          <w:rFonts w:ascii="Times New Roman"/>
          <w:color w:val="D4AF37"/>
          <w:sz w:val="24"/>
          <w:szCs w:val="24"/>
        </w:rPr>
        <w:t xml:space="preserve">•  </w:t>
      </w:r>
      <w:r>
        <w:rPr>
          <w:rFonts w:ascii="Times New Roman" w:eastAsia="Microsoft YaHei"/>
          <w:color w:val="1A2B40"/>
          <w:sz w:val="24"/>
          <w:szCs w:val="24"/>
        </w:rPr>
        <w:t xml:space="preserve">IV estimation (2SLS) to address potential endogeneity of the surprise measure</w:t>
      </w:r>
    </w:p>
    <w:p>
      <w:pPr>
        <w:pStyle w:val="Heading2"/>
        <w:spacing w:after="120" w:before="280" w:line="312"/>
      </w:pPr>
      <w:bookmarkStart w:id="100020" w:name="_Toc100020"/>
      <w:r>
        <w:rPr>
          <w:rFonts w:ascii="Times New Roman" w:eastAsia="SimHei"/>
          <w:b/>
          <w:bCs/>
          <w:color w:val="0F2027"/>
          <w:sz w:val="28"/>
          <w:szCs w:val="28"/>
        </w:rPr>
        <w:t xml:space="preserve">6.3 Multiple Testing Correction</w:t>
      </w:r>
      <w:bookmarkEnd w:id="100020"/>
    </w:p>
    <w:p>
      <w:pPr>
        <w:spacing w:after="80" w:line="312"/>
        <w:ind w:firstLine="480"/>
        <w:jc w:val="both"/>
      </w:pPr>
      <w:r>
        <w:rPr>
          <w:rFonts w:ascii="Times New Roman" w:eastAsia="Microsoft YaHei"/>
          <w:color w:val="1A2B40"/>
          <w:sz w:val="24"/>
          <w:szCs w:val="24"/>
        </w:rPr>
        <w:t xml:space="preserve">When testing across 5 assets simultaneously, the Bonferroni-adjusted significance level is:</w:t>
      </w:r>
    </w:p>
    <w:p>
      <w:pPr>
        <w:spacing w:after="120" w:before="120" w:line="312"/>
        <w:jc w:val="center"/>
      </w:pPr>
      <w:r>
        <w:rPr>
          <w:rFonts w:ascii="Times New Roman" w:eastAsia="Microsoft YaHei"/>
          <w:i/>
          <w:iCs/>
          <w:color w:val="1A2B40"/>
          <w:sz w:val="24"/>
          <w:szCs w:val="24"/>
        </w:rPr>
        <w:t xml:space="preserve">α* = 0.10 / 5 = 0.02</w:t>
      </w:r>
    </w:p>
    <w:p>
      <w:pPr>
        <w:spacing w:after="80" w:line="312"/>
        <w:ind w:firstLine="480"/>
        <w:jc w:val="both"/>
      </w:pPr>
      <w:r>
        <w:rPr>
          <w:rFonts w:ascii="Times New Roman" w:eastAsia="Microsoft YaHei"/>
          <w:color w:val="1A2B40"/>
          <w:sz w:val="24"/>
          <w:szCs w:val="24"/>
        </w:rPr>
        <w:t xml:space="preserve">This means individual p-values must be below 0.02 to claim significance at the 10% family-wise level. Current results do not survive this correction.</w:t>
      </w:r>
    </w:p>
    <w:p>
      <w:pPr>
        <w:pStyle w:val="Heading1"/>
        <w:spacing w:after="160" w:before="360" w:line="312"/>
      </w:pPr>
      <w:bookmarkStart w:id="100021" w:name="_Toc100021"/>
      <w:r>
        <w:rPr>
          <w:rFonts w:ascii="Times New Roman" w:eastAsia="SimHei"/>
          <w:b/>
          <w:bCs/>
          <w:color w:val="0F2027"/>
          <w:sz w:val="32"/>
          <w:szCs w:val="32"/>
        </w:rPr>
        <w:t xml:space="preserve">7. Event Study Methodology</w:t>
      </w:r>
      <w:bookmarkEnd w:id="100021"/>
    </w:p>
    <w:p>
      <w:pPr>
        <w:spacing w:after="80" w:line="312"/>
        <w:ind w:firstLine="480"/>
        <w:jc w:val="both"/>
      </w:pPr>
      <w:r>
        <w:rPr>
          <w:rFonts w:ascii="Times New Roman" w:eastAsia="Microsoft YaHei"/>
          <w:color w:val="1A2B40"/>
          <w:sz w:val="24"/>
          <w:szCs w:val="24"/>
        </w:rPr>
        <w:t xml:space="preserve">The event study module (analysis/event_study.py, class EventStudyEngine) implements a standard short-window event study around FOMC meetings:</w:t>
      </w:r>
    </w:p>
    <w:p>
      <w:pPr>
        <w:spacing w:after="40" w:line="312"/>
        <w:ind w:left="720" w:hanging="360"/>
      </w:pPr>
      <w:r>
        <w:rPr>
          <w:rFonts w:ascii="Times New Roman"/>
          <w:color w:val="D4AF37"/>
          <w:sz w:val="24"/>
          <w:szCs w:val="24"/>
        </w:rPr>
        <w:t xml:space="preserve">•  </w:t>
      </w:r>
      <w:r>
        <w:rPr>
          <w:rFonts w:ascii="Times New Roman" w:eastAsia="Microsoft YaHei"/>
          <w:color w:val="1A2B40"/>
          <w:sz w:val="24"/>
          <w:szCs w:val="24"/>
        </w:rPr>
        <w:t xml:space="preserve">Estimation window: [-60, -10] trading days (50-day normal return estimation)</w:t>
      </w:r>
    </w:p>
    <w:p>
      <w:pPr>
        <w:spacing w:after="40" w:line="312"/>
        <w:ind w:left="720" w:hanging="360"/>
      </w:pPr>
      <w:r>
        <w:rPr>
          <w:rFonts w:ascii="Times New Roman"/>
          <w:color w:val="D4AF37"/>
          <w:sz w:val="24"/>
          <w:szCs w:val="24"/>
        </w:rPr>
        <w:t xml:space="preserve">•  </w:t>
      </w:r>
      <w:r>
        <w:rPr>
          <w:rFonts w:ascii="Times New Roman" w:eastAsia="Microsoft YaHei"/>
          <w:color w:val="1A2B40"/>
          <w:sz w:val="24"/>
          <w:szCs w:val="24"/>
        </w:rPr>
        <w:t xml:space="preserve">Event window: [-1, +1] trading days (3-day window)</w:t>
      </w:r>
    </w:p>
    <w:p>
      <w:pPr>
        <w:spacing w:after="40" w:line="312"/>
        <w:ind w:left="720" w:hanging="360"/>
      </w:pPr>
      <w:r>
        <w:rPr>
          <w:rFonts w:ascii="Times New Roman"/>
          <w:color w:val="D4AF37"/>
          <w:sz w:val="24"/>
          <w:szCs w:val="24"/>
        </w:rPr>
        <w:t xml:space="preserve">•  </w:t>
      </w:r>
      <w:r>
        <w:rPr>
          <w:rFonts w:ascii="Times New Roman" w:eastAsia="Microsoft YaHei"/>
          <w:color w:val="1A2B40"/>
          <w:sz w:val="24"/>
          <w:szCs w:val="24"/>
        </w:rPr>
        <w:t xml:space="preserve">Normal return model: Market model using CRSP value-weighted index (or S&amp;P 500 as proxy)</w:t>
      </w:r>
    </w:p>
    <w:p>
      <w:pPr>
        <w:spacing w:after="40" w:line="312"/>
        <w:ind w:left="720" w:hanging="360"/>
      </w:pPr>
      <w:r>
        <w:rPr>
          <w:rFonts w:ascii="Times New Roman"/>
          <w:color w:val="D4AF37"/>
          <w:sz w:val="24"/>
          <w:szCs w:val="24"/>
        </w:rPr>
        <w:t xml:space="preserve">•  </w:t>
      </w:r>
      <w:r>
        <w:rPr>
          <w:rFonts w:ascii="Times New Roman" w:eastAsia="Microsoft YaHei"/>
          <w:color w:val="1A2B40"/>
          <w:sz w:val="24"/>
          <w:szCs w:val="24"/>
        </w:rPr>
        <w:t xml:space="preserve">Abnormal return: AR_t = R_t - (α_hat + β_hat × R_m,t)</w:t>
      </w:r>
    </w:p>
    <w:p>
      <w:pPr>
        <w:spacing w:after="40" w:line="312"/>
        <w:ind w:left="720" w:hanging="360"/>
      </w:pPr>
      <w:r>
        <w:rPr>
          <w:rFonts w:ascii="Times New Roman"/>
          <w:color w:val="D4AF37"/>
          <w:sz w:val="24"/>
          <w:szCs w:val="24"/>
        </w:rPr>
        <w:t xml:space="preserve">•  </w:t>
      </w:r>
      <w:r>
        <w:rPr>
          <w:rFonts w:ascii="Times New Roman" w:eastAsia="Microsoft YaHei"/>
          <w:color w:val="1A2B40"/>
          <w:sz w:val="24"/>
          <w:szCs w:val="24"/>
        </w:rPr>
        <w:t xml:space="preserve">Cumulative abnormal return: CAR[-1,+1] = Σ AR_t</w:t>
      </w:r>
    </w:p>
    <w:p>
      <w:pPr>
        <w:spacing w:after="80" w:line="312"/>
        <w:ind w:firstLine="480"/>
        <w:jc w:val="both"/>
      </w:pPr>
      <w:r>
        <w:rPr>
          <w:rFonts w:ascii="Times New Roman" w:eastAsia="Microsoft YaHei"/>
          <w:color w:val="1A2B40"/>
          <w:sz w:val="24"/>
          <w:szCs w:val="24"/>
        </w:rPr>
        <w:t xml:space="preserve">Statistical significance is tested using the cross-sectional t-test (Patell, 1976) and the BMP test (Boehmer, Musumeci, and Poulsen, 1991). The current implementation uses yfinance data for the market proxy; upgrading to CRSP (wrds) would provide delisting-adjusted returns and a more accurate market index.</w:t>
      </w:r>
    </w:p>
    <w:p>
      <w:pPr>
        <w:pStyle w:val="Heading1"/>
        <w:spacing w:after="160" w:before="360" w:line="312"/>
      </w:pPr>
      <w:bookmarkStart w:id="100022" w:name="_Toc100022"/>
      <w:r>
        <w:rPr>
          <w:rFonts w:ascii="Times New Roman" w:eastAsia="SimHei"/>
          <w:b/>
          <w:bCs/>
          <w:color w:val="0F2027"/>
          <w:sz w:val="32"/>
          <w:szCs w:val="32"/>
        </w:rPr>
        <w:t xml:space="preserve">8. Capital Flow Analysis</w:t>
      </w:r>
      <w:bookmarkEnd w:id="100022"/>
    </w:p>
    <w:p>
      <w:pPr>
        <w:spacing w:after="80" w:line="312"/>
        <w:ind w:firstLine="480"/>
        <w:jc w:val="both"/>
      </w:pPr>
      <w:r>
        <w:rPr>
          <w:rFonts w:ascii="Times New Roman" w:eastAsia="Microsoft YaHei"/>
          <w:color w:val="1A2B40"/>
          <w:sz w:val="24"/>
          <w:szCs w:val="24"/>
        </w:rPr>
        <w:t xml:space="preserve">The capital flow module (analysis/capital_flow.py, class CapitalFlowEngine) analyzes cross-border capital flow responses to FOMC decisions. It uses the TIC (Treasury International Capital) flow data from FRED as a proxy for capital flows, with the following specification:</w:t>
      </w:r>
    </w:p>
    <w:p>
      <w:pPr>
        <w:spacing w:after="120" w:before="120" w:line="312"/>
        <w:jc w:val="center"/>
      </w:pPr>
      <w:r>
        <w:rPr>
          <w:rFonts w:ascii="Times New Roman" w:eastAsia="Microsoft YaHei"/>
          <w:i/>
          <w:iCs/>
          <w:color w:val="1A2B40"/>
          <w:sz w:val="24"/>
          <w:szCs w:val="24"/>
        </w:rPr>
        <w:t xml:space="preserve">ΔFlow_t = α + β × Surprise_t + γ × Sentiment_t + δ × Controls_t + ε_t</w:t>
      </w:r>
    </w:p>
    <w:p>
      <w:pPr>
        <w:spacing w:after="80" w:line="312"/>
        <w:ind w:firstLine="480"/>
        <w:jc w:val="both"/>
      </w:pPr>
      <w:r>
        <w:rPr>
          <w:rFonts w:ascii="Times New Roman" w:eastAsia="Microsoft YaHei"/>
          <w:color w:val="1A2B40"/>
          <w:sz w:val="24"/>
          <w:szCs w:val="24"/>
        </w:rPr>
        <w:t xml:space="preserve">The analysis examines both aggregate flows and bilateral flows (US-Emerging Markets, US-Developed Markets). The module also computes the exchange rate pass-through:</w:t>
      </w:r>
    </w:p>
    <w:p>
      <w:pPr>
        <w:spacing w:after="120" w:before="120" w:line="312"/>
        <w:jc w:val="center"/>
      </w:pPr>
      <w:r>
        <w:rPr>
          <w:rFonts w:ascii="Times New Roman" w:eastAsia="Microsoft YaHei"/>
          <w:i/>
          <w:iCs/>
          <w:color w:val="1A2B40"/>
          <w:sz w:val="24"/>
          <w:szCs w:val="24"/>
        </w:rPr>
        <w:t xml:space="preserve">Δe_t = α + β × Surprise_t + γ × Sentiment_t + ε_t</w:t>
      </w:r>
    </w:p>
    <w:p>
      <w:pPr>
        <w:spacing w:after="80" w:line="312"/>
        <w:ind w:firstLine="480"/>
        <w:jc w:val="both"/>
      </w:pPr>
      <w:r>
        <w:rPr>
          <w:rFonts w:ascii="Times New Roman" w:eastAsia="Microsoft YaHei"/>
          <w:color w:val="1A2B40"/>
          <w:sz w:val="24"/>
          <w:szCs w:val="24"/>
        </w:rPr>
        <w:t xml:space="preserve">where Δe_t is the change in the trade-weighted dollar index around the FOMC meeting.</w:t>
      </w:r>
    </w:p>
    <w:p>
      <w:pPr>
        <w:pStyle w:val="Heading1"/>
        <w:spacing w:after="160" w:before="360" w:line="312"/>
      </w:pPr>
      <w:bookmarkStart w:id="100023" w:name="_Toc100023"/>
      <w:r>
        <w:rPr>
          <w:rFonts w:ascii="Times New Roman" w:eastAsia="SimHei"/>
          <w:b/>
          <w:bCs/>
          <w:color w:val="0F2027"/>
          <w:sz w:val="32"/>
          <w:szCs w:val="32"/>
        </w:rPr>
        <w:t xml:space="preserve">9. Current Results vs. Literature Benchmarks</w:t>
      </w:r>
      <w:bookmarkEnd w:id="100023"/>
    </w:p>
    <w:p>
      <w:pPr>
        <w:spacing w:after="80" w:line="312"/>
        <w:ind w:firstLine="480"/>
        <w:jc w:val="both"/>
      </w:pPr>
      <w:r>
        <w:rPr>
          <w:rFonts w:ascii="Times New Roman" w:eastAsia="Microsoft YaHei"/>
          <w:color w:val="1A2B40"/>
          <w:sz w:val="24"/>
          <w:szCs w:val="24"/>
        </w:rPr>
        <w:t xml:space="preserve">The following table compares the platform’s current results with established literature benchmarks. The gaps are primarily attributable to the crude surprise proxy and sparse sentiment dictionary.</w:t>
      </w:r>
    </w:p>
    <w:tbl>
      <w:tblPr>
        <w:tblW w:type="pct" w:w="100%"/>
        <w:tblBorders>
          <w:top w:val="single" w:color="D4AF37" w:sz="4"/>
          <w:left w:val="none"/>
          <w:bottom w:val="single" w:color="D4AF37" w:sz="4"/>
          <w:right w:val="none"/>
          <w:insideH w:val="single" w:color="D0D8D0" w:sz="1"/>
          <w:insideV w:val="none"/>
        </w:tblBorders>
      </w:tblPr>
      <w:tblGrid>
        <w:gridCol w:w="100"/>
        <w:gridCol w:w="100"/>
        <w:gridCol w:w="100"/>
        <w:gridCol w:w="100"/>
      </w:tblGrid>
      <w:tr>
        <w:trPr>
          <w:cantSplit/>
          <w:tblHeader/>
        </w:trPr>
        <w:tc>
          <w:tcPr>
            <w:tcW w:type="pct" w:w="25%"/>
            <w:shd w:fill="0F2027" w:val="clear"/>
            <w:tcMar>
              <w:top w:type="dxa" w:w="60"/>
              <w:left w:type="dxa" w:w="120"/>
              <w:bottom w:type="dxa" w:w="60"/>
              <w:right w:type="dxa" w:w="120"/>
            </w:tcMar>
          </w:tcPr>
          <w:p>
            <w:pPr>
              <w:jc w:val="center"/>
            </w:pPr>
            <w:r>
              <w:rPr>
                <w:rFonts w:ascii="Times New Roman" w:eastAsia="Microsoft YaHei"/>
                <w:b/>
                <w:bCs/>
                <w:color w:val="FFFFFF"/>
                <w:sz w:val="21"/>
                <w:szCs w:val="21"/>
              </w:rPr>
              <w:t xml:space="preserve">Metric</w:t>
            </w:r>
          </w:p>
        </w:tc>
        <w:tc>
          <w:tcPr>
            <w:tcW w:type="pct" w:w="20%"/>
            <w:shd w:fill="0F2027" w:val="clear"/>
            <w:tcMar>
              <w:top w:type="dxa" w:w="60"/>
              <w:left w:type="dxa" w:w="120"/>
              <w:bottom w:type="dxa" w:w="60"/>
              <w:right w:type="dxa" w:w="120"/>
            </w:tcMar>
          </w:tcPr>
          <w:p>
            <w:pPr>
              <w:jc w:val="center"/>
            </w:pPr>
            <w:r>
              <w:rPr>
                <w:rFonts w:ascii="Times New Roman" w:eastAsia="Microsoft YaHei"/>
                <w:b/>
                <w:bCs/>
                <w:color w:val="FFFFFF"/>
                <w:sz w:val="21"/>
                <w:szCs w:val="21"/>
              </w:rPr>
              <w:t xml:space="preserve">Current Result</w:t>
            </w:r>
          </w:p>
        </w:tc>
        <w:tc>
          <w:tcPr>
            <w:tcW w:type="pct" w:w="25%"/>
            <w:shd w:fill="0F2027" w:val="clear"/>
            <w:tcMar>
              <w:top w:type="dxa" w:w="60"/>
              <w:left w:type="dxa" w:w="120"/>
              <w:bottom w:type="dxa" w:w="60"/>
              <w:right w:type="dxa" w:w="120"/>
            </w:tcMar>
          </w:tcPr>
          <w:p>
            <w:pPr>
              <w:jc w:val="center"/>
            </w:pPr>
            <w:r>
              <w:rPr>
                <w:rFonts w:ascii="Times New Roman" w:eastAsia="Microsoft YaHei"/>
                <w:b/>
                <w:bCs/>
                <w:color w:val="FFFFFF"/>
                <w:sz w:val="21"/>
                <w:szCs w:val="21"/>
              </w:rPr>
              <w:t xml:space="preserve">Literature Benchmark</w:t>
            </w:r>
          </w:p>
        </w:tc>
        <w:tc>
          <w:tcPr>
            <w:tcW w:type="pct" w:w="30%"/>
            <w:shd w:fill="0F2027" w:val="clear"/>
            <w:tcMar>
              <w:top w:type="dxa" w:w="60"/>
              <w:left w:type="dxa" w:w="120"/>
              <w:bottom w:type="dxa" w:w="60"/>
              <w:right w:type="dxa" w:w="120"/>
            </w:tcMar>
          </w:tcPr>
          <w:p>
            <w:pPr>
              <w:jc w:val="center"/>
            </w:pPr>
            <w:r>
              <w:rPr>
                <w:rFonts w:ascii="Times New Roman" w:eastAsia="Microsoft YaHei"/>
                <w:b/>
                <w:bCs/>
                <w:color w:val="FFFFFF"/>
                <w:sz w:val="21"/>
                <w:szCs w:val="21"/>
              </w:rPr>
              <w:t xml:space="preserve">Primary Cause of Gap</w:t>
            </w:r>
          </w:p>
        </w:tc>
      </w:tr>
      <w:tr>
        <w:trPr>
          <w:cantSplit/>
        </w:trPr>
        <w:tc>
          <w:tcPr>
            <w:tcW w:type="pct" w:w="25%"/>
            <w:shd w:fill="F0F4F8" w:val="clear"/>
            <w:tcMar>
              <w:top w:type="dxa" w:w="60"/>
              <w:left w:type="dxa" w:w="120"/>
              <w:bottom w:type="dxa" w:w="60"/>
              <w:right w:type="dxa" w:w="120"/>
            </w:tcMar>
          </w:tcPr>
          <w:p>
            <w:pPr>
              <w:jc w:val="left"/>
            </w:pPr>
            <w:r>
              <w:rPr>
                <w:rFonts w:ascii="Times New Roman" w:eastAsia="Microsoft YaHei"/>
                <w:color w:val="1A2B40"/>
                <w:sz w:val="21"/>
                <w:szCs w:val="21"/>
              </w:rPr>
              <w:t xml:space="preserve">H1 R² (Sentiment → Returns)</w:t>
            </w:r>
          </w:p>
        </w:tc>
        <w:tc>
          <w:tcPr>
            <w:tcW w:type="pct" w:w="20%"/>
            <w:shd w:fill="F0F4F8" w:val="clear"/>
            <w:tcMar>
              <w:top w:type="dxa" w:w="60"/>
              <w:left w:type="dxa" w:w="120"/>
              <w:bottom w:type="dxa" w:w="60"/>
              <w:right w:type="dxa" w:w="120"/>
            </w:tcMar>
          </w:tcPr>
          <w:p>
            <w:pPr>
              <w:jc w:val="left"/>
            </w:pPr>
            <w:r>
              <w:rPr>
                <w:rFonts w:ascii="Times New Roman" w:eastAsia="Microsoft YaHei"/>
                <w:color w:val="1A2B40"/>
                <w:sz w:val="21"/>
                <w:szCs w:val="21"/>
              </w:rPr>
              <w:t xml:space="preserve">0.39%</w:t>
            </w:r>
          </w:p>
        </w:tc>
        <w:tc>
          <w:tcPr>
            <w:tcW w:type="pct" w:w="25%"/>
            <w:shd w:fill="F0F4F8" w:val="clear"/>
            <w:tcMar>
              <w:top w:type="dxa" w:w="60"/>
              <w:left w:type="dxa" w:w="120"/>
              <w:bottom w:type="dxa" w:w="60"/>
              <w:right w:type="dxa" w:w="120"/>
            </w:tcMar>
          </w:tcPr>
          <w:p>
            <w:pPr>
              <w:jc w:val="left"/>
            </w:pPr>
            <w:r>
              <w:rPr>
                <w:rFonts w:ascii="Times New Roman" w:eastAsia="Microsoft YaHei"/>
                <w:color w:val="1A2B40"/>
                <w:sz w:val="21"/>
                <w:szCs w:val="21"/>
              </w:rPr>
              <w:t xml:space="preserve">~2.76%</w:t>
            </w:r>
          </w:p>
        </w:tc>
        <w:tc>
          <w:tcPr>
            <w:tcW w:type="pct" w:w="30%"/>
            <w:shd w:fill="F0F4F8" w:val="clear"/>
            <w:tcMar>
              <w:top w:type="dxa" w:w="60"/>
              <w:left w:type="dxa" w:w="120"/>
              <w:bottom w:type="dxa" w:w="60"/>
              <w:right w:type="dxa" w:w="120"/>
            </w:tcMar>
          </w:tcPr>
          <w:p>
            <w:pPr>
              <w:jc w:val="left"/>
            </w:pPr>
            <w:r>
              <w:rPr>
                <w:rFonts w:ascii="Times New Roman" w:eastAsia="Microsoft YaHei"/>
                <w:color w:val="1A2B40"/>
                <w:sz w:val="21"/>
                <w:szCs w:val="21"/>
              </w:rPr>
              <w:t xml:space="preserve">Sparse dictionary; low sentiment variance</w:t>
            </w:r>
          </w:p>
        </w:tc>
      </w:tr>
      <w:tr>
        <w:trPr>
          <w:cantSplit/>
        </w:trPr>
        <w:tc>
          <w:tcPr>
            <w:tcW w:type="pct" w:w="25%"/>
            <w:shd w:fill="FFFFFF" w:val="clear"/>
            <w:tcMar>
              <w:top w:type="dxa" w:w="60"/>
              <w:left w:type="dxa" w:w="120"/>
              <w:bottom w:type="dxa" w:w="60"/>
              <w:right w:type="dxa" w:w="120"/>
            </w:tcMar>
          </w:tcPr>
          <w:p>
            <w:pPr>
              <w:jc w:val="left"/>
            </w:pPr>
            <w:r>
              <w:rPr>
                <w:rFonts w:ascii="Times New Roman" w:eastAsia="Microsoft YaHei"/>
                <w:color w:val="1A2B40"/>
                <w:sz w:val="21"/>
                <w:szCs w:val="21"/>
              </w:rPr>
              <w:t xml:space="preserve">H2 Significance (13W T-Bill)</w:t>
            </w:r>
          </w:p>
        </w:tc>
        <w:tc>
          <w:tcPr>
            <w:tcW w:type="pct" w:w="20%"/>
            <w:shd w:fill="FFFFFF" w:val="clear"/>
            <w:tcMar>
              <w:top w:type="dxa" w:w="60"/>
              <w:left w:type="dxa" w:w="120"/>
              <w:bottom w:type="dxa" w:w="60"/>
              <w:right w:type="dxa" w:w="120"/>
            </w:tcMar>
          </w:tcPr>
          <w:p>
            <w:pPr>
              <w:jc w:val="left"/>
            </w:pPr>
            <w:r>
              <w:rPr>
                <w:rFonts w:ascii="Times New Roman" w:eastAsia="Microsoft YaHei"/>
                <w:color w:val="1A2B40"/>
                <w:sz w:val="21"/>
                <w:szCs w:val="21"/>
              </w:rPr>
              <w:t xml:space="preserve">Not significant</w:t>
            </w:r>
          </w:p>
        </w:tc>
        <w:tc>
          <w:tcPr>
            <w:tcW w:type="pct" w:w="25%"/>
            <w:shd w:fill="FFFFFF" w:val="clear"/>
            <w:tcMar>
              <w:top w:type="dxa" w:w="60"/>
              <w:left w:type="dxa" w:w="120"/>
              <w:bottom w:type="dxa" w:w="60"/>
              <w:right w:type="dxa" w:w="120"/>
            </w:tcMar>
          </w:tcPr>
          <w:p>
            <w:pPr>
              <w:jc w:val="left"/>
            </w:pPr>
            <w:r>
              <w:rPr>
                <w:rFonts w:ascii="Times New Roman" w:eastAsia="Microsoft YaHei"/>
                <w:color w:val="1A2B40"/>
                <w:sz w:val="21"/>
                <w:szCs w:val="21"/>
              </w:rPr>
              <w:t xml:space="preserve">p = 0.033</w:t>
            </w:r>
          </w:p>
        </w:tc>
        <w:tc>
          <w:tcPr>
            <w:tcW w:type="pct" w:w="30%"/>
            <w:shd w:fill="FFFFFF" w:val="clear"/>
            <w:tcMar>
              <w:top w:type="dxa" w:w="60"/>
              <w:left w:type="dxa" w:w="120"/>
              <w:bottom w:type="dxa" w:w="60"/>
              <w:right w:type="dxa" w:w="120"/>
            </w:tcMar>
          </w:tcPr>
          <w:p>
            <w:pPr>
              <w:jc w:val="left"/>
            </w:pPr>
            <w:r>
              <w:rPr>
                <w:rFonts w:ascii="Times New Roman" w:eastAsia="Microsoft YaHei"/>
                <w:color w:val="1A2B40"/>
                <w:sz w:val="21"/>
                <w:szCs w:val="21"/>
              </w:rPr>
              <w:t xml:space="preserve">Surprise proxy = 0 for no-change meetings</w:t>
            </w:r>
          </w:p>
        </w:tc>
      </w:tr>
      <w:tr>
        <w:trPr>
          <w:cantSplit/>
        </w:trPr>
        <w:tc>
          <w:tcPr>
            <w:tcW w:type="pct" w:w="25%"/>
            <w:shd w:fill="F0F4F8" w:val="clear"/>
            <w:tcMar>
              <w:top w:type="dxa" w:w="60"/>
              <w:left w:type="dxa" w:w="120"/>
              <w:bottom w:type="dxa" w:w="60"/>
              <w:right w:type="dxa" w:w="120"/>
            </w:tcMar>
          </w:tcPr>
          <w:p>
            <w:pPr>
              <w:jc w:val="left"/>
            </w:pPr>
            <w:r>
              <w:rPr>
                <w:rFonts w:ascii="Times New Roman" w:eastAsia="Microsoft YaHei"/>
                <w:color w:val="1A2B40"/>
                <w:sz w:val="21"/>
                <w:szCs w:val="21"/>
              </w:rPr>
              <w:t xml:space="preserve">H2 Significance (Gold)</w:t>
            </w:r>
          </w:p>
        </w:tc>
        <w:tc>
          <w:tcPr>
            <w:tcW w:type="pct" w:w="20%"/>
            <w:shd w:fill="F0F4F8" w:val="clear"/>
            <w:tcMar>
              <w:top w:type="dxa" w:w="60"/>
              <w:left w:type="dxa" w:w="120"/>
              <w:bottom w:type="dxa" w:w="60"/>
              <w:right w:type="dxa" w:w="120"/>
            </w:tcMar>
          </w:tcPr>
          <w:p>
            <w:pPr>
              <w:jc w:val="left"/>
            </w:pPr>
            <w:r>
              <w:rPr>
                <w:rFonts w:ascii="Times New Roman" w:eastAsia="Microsoft YaHei"/>
                <w:color w:val="1A2B40"/>
                <w:sz w:val="21"/>
                <w:szCs w:val="21"/>
              </w:rPr>
              <w:t xml:space="preserve">p = 0.087*</w:t>
            </w:r>
          </w:p>
        </w:tc>
        <w:tc>
          <w:tcPr>
            <w:tcW w:type="pct" w:w="25%"/>
            <w:shd w:fill="F0F4F8" w:val="clear"/>
            <w:tcMar>
              <w:top w:type="dxa" w:w="60"/>
              <w:left w:type="dxa" w:w="120"/>
              <w:bottom w:type="dxa" w:w="60"/>
              <w:right w:type="dxa" w:w="120"/>
            </w:tcMar>
          </w:tcPr>
          <w:p>
            <w:pPr>
              <w:jc w:val="left"/>
            </w:pPr>
            <w:r>
              <w:rPr>
                <w:rFonts w:ascii="Times New Roman" w:eastAsia="Microsoft YaHei"/>
                <w:color w:val="1A2B40"/>
                <w:sz w:val="21"/>
                <w:szCs w:val="21"/>
              </w:rPr>
              <w:t xml:space="preserve">Not reported in ref.</w:t>
            </w:r>
          </w:p>
        </w:tc>
        <w:tc>
          <w:tcPr>
            <w:tcW w:type="pct" w:w="30%"/>
            <w:shd w:fill="F0F4F8" w:val="clear"/>
            <w:tcMar>
              <w:top w:type="dxa" w:w="60"/>
              <w:left w:type="dxa" w:w="120"/>
              <w:bottom w:type="dxa" w:w="60"/>
              <w:right w:type="dxa" w:w="120"/>
            </w:tcMar>
          </w:tcPr>
          <w:p>
            <w:pPr>
              <w:jc w:val="left"/>
            </w:pPr>
            <w:r>
              <w:rPr>
                <w:rFonts w:ascii="Times New Roman" w:eastAsia="Microsoft YaHei"/>
                <w:color w:val="1A2B40"/>
                <w:sz w:val="21"/>
                <w:szCs w:val="21"/>
              </w:rPr>
              <w:t xml:space="preserve">Potential new finding</w:t>
            </w:r>
          </w:p>
        </w:tc>
      </w:tr>
      <w:tr>
        <w:trPr>
          <w:cantSplit/>
        </w:trPr>
        <w:tc>
          <w:tcPr>
            <w:tcW w:type="pct" w:w="25%"/>
            <w:shd w:fill="FFFFFF" w:val="clear"/>
            <w:tcMar>
              <w:top w:type="dxa" w:w="60"/>
              <w:left w:type="dxa" w:w="120"/>
              <w:bottom w:type="dxa" w:w="60"/>
              <w:right w:type="dxa" w:w="120"/>
            </w:tcMar>
          </w:tcPr>
          <w:p>
            <w:pPr>
              <w:jc w:val="left"/>
            </w:pPr>
            <w:r>
              <w:rPr>
                <w:rFonts w:ascii="Times New Roman" w:eastAsia="Microsoft YaHei"/>
                <w:color w:val="1A2B40"/>
                <w:sz w:val="21"/>
                <w:szCs w:val="21"/>
              </w:rPr>
              <w:t xml:space="preserve">H3 Info Share</w:t>
            </w:r>
          </w:p>
        </w:tc>
        <w:tc>
          <w:tcPr>
            <w:tcW w:type="pct" w:w="20%"/>
            <w:shd w:fill="FFFFFF" w:val="clear"/>
            <w:tcMar>
              <w:top w:type="dxa" w:w="60"/>
              <w:left w:type="dxa" w:w="120"/>
              <w:bottom w:type="dxa" w:w="60"/>
              <w:right w:type="dxa" w:w="120"/>
            </w:tcMar>
          </w:tcPr>
          <w:p>
            <w:pPr>
              <w:jc w:val="left"/>
            </w:pPr>
            <w:r>
              <w:rPr>
                <w:rFonts w:ascii="Times New Roman" w:eastAsia="Microsoft YaHei"/>
                <w:color w:val="1A2B40"/>
                <w:sz w:val="21"/>
                <w:szCs w:val="21"/>
              </w:rPr>
              <w:t xml:space="preserve">99.6%</w:t>
            </w:r>
          </w:p>
        </w:tc>
        <w:tc>
          <w:tcPr>
            <w:tcW w:type="pct" w:w="25%"/>
            <w:shd w:fill="FFFFFF" w:val="clear"/>
            <w:tcMar>
              <w:top w:type="dxa" w:w="60"/>
              <w:left w:type="dxa" w:w="120"/>
              <w:bottom w:type="dxa" w:w="60"/>
              <w:right w:type="dxa" w:w="120"/>
            </w:tcMar>
          </w:tcPr>
          <w:p>
            <w:pPr>
              <w:jc w:val="left"/>
            </w:pPr>
            <w:r>
              <w:rPr>
                <w:rFonts w:ascii="Times New Roman" w:eastAsia="Microsoft YaHei"/>
                <w:color w:val="1A2B40"/>
                <w:sz w:val="21"/>
                <w:szCs w:val="21"/>
              </w:rPr>
              <w:t xml:space="preserve">97.2%</w:t>
            </w:r>
          </w:p>
        </w:tc>
        <w:tc>
          <w:tcPr>
            <w:tcW w:type="pct" w:w="30%"/>
            <w:shd w:fill="FFFFFF" w:val="clear"/>
            <w:tcMar>
              <w:top w:type="dxa" w:w="60"/>
              <w:left w:type="dxa" w:w="120"/>
              <w:bottom w:type="dxa" w:w="60"/>
              <w:right w:type="dxa" w:w="120"/>
            </w:tcMar>
          </w:tcPr>
          <w:p>
            <w:pPr>
              <w:jc w:val="left"/>
            </w:pPr>
            <w:r>
              <w:rPr>
                <w:rFonts w:ascii="Times New Roman" w:eastAsia="Microsoft YaHei"/>
                <w:color w:val="1A2B40"/>
                <w:sz w:val="21"/>
                <w:szCs w:val="21"/>
              </w:rPr>
              <w:t xml:space="preserve">Zero-surprise meetings inflate residual</w:t>
            </w:r>
          </w:p>
        </w:tc>
      </w:tr>
      <w:tr>
        <w:trPr>
          <w:cantSplit/>
        </w:trPr>
        <w:tc>
          <w:tcPr>
            <w:tcW w:type="pct" w:w="25%"/>
            <w:shd w:fill="F0F4F8" w:val="clear"/>
            <w:tcMar>
              <w:top w:type="dxa" w:w="60"/>
              <w:left w:type="dxa" w:w="120"/>
              <w:bottom w:type="dxa" w:w="60"/>
              <w:right w:type="dxa" w:w="120"/>
            </w:tcMar>
          </w:tcPr>
          <w:p>
            <w:pPr>
              <w:jc w:val="left"/>
            </w:pPr>
            <w:r>
              <w:rPr>
                <w:rFonts w:ascii="Times New Roman" w:eastAsia="Microsoft YaHei"/>
                <w:color w:val="1A2B40"/>
                <w:sz w:val="21"/>
                <w:szCs w:val="21"/>
              </w:rPr>
              <w:t xml:space="preserve">Sentiment Std Dev</w:t>
            </w:r>
          </w:p>
        </w:tc>
        <w:tc>
          <w:tcPr>
            <w:tcW w:type="pct" w:w="20%"/>
            <w:shd w:fill="F0F4F8" w:val="clear"/>
            <w:tcMar>
              <w:top w:type="dxa" w:w="60"/>
              <w:left w:type="dxa" w:w="120"/>
              <w:bottom w:type="dxa" w:w="60"/>
              <w:right w:type="dxa" w:w="120"/>
            </w:tcMar>
          </w:tcPr>
          <w:p>
            <w:pPr>
              <w:jc w:val="left"/>
            </w:pPr>
            <w:r>
              <w:rPr>
                <w:rFonts w:ascii="Times New Roman" w:eastAsia="Microsoft YaHei"/>
                <w:color w:val="1A2B40"/>
                <w:sz w:val="21"/>
                <w:szCs w:val="21"/>
              </w:rPr>
              <w:t xml:space="preserve">0.003</w:t>
            </w:r>
          </w:p>
        </w:tc>
        <w:tc>
          <w:tcPr>
            <w:tcW w:type="pct" w:w="25%"/>
            <w:shd w:fill="F0F4F8" w:val="clear"/>
            <w:tcMar>
              <w:top w:type="dxa" w:w="60"/>
              <w:left w:type="dxa" w:w="120"/>
              <w:bottom w:type="dxa" w:w="60"/>
              <w:right w:type="dxa" w:w="120"/>
            </w:tcMar>
          </w:tcPr>
          <w:p>
            <w:pPr>
              <w:jc w:val="left"/>
            </w:pPr>
            <w:r>
              <w:rPr>
                <w:rFonts w:ascii="Times New Roman" w:eastAsia="Microsoft YaHei"/>
                <w:color w:val="1A2B40"/>
                <w:sz w:val="21"/>
                <w:szCs w:val="21"/>
              </w:rPr>
              <w:t xml:space="preserve">0.035</w:t>
            </w:r>
          </w:p>
        </w:tc>
        <w:tc>
          <w:tcPr>
            <w:tcW w:type="pct" w:w="30%"/>
            <w:shd w:fill="F0F4F8" w:val="clear"/>
            <w:tcMar>
              <w:top w:type="dxa" w:w="60"/>
              <w:left w:type="dxa" w:w="120"/>
              <w:bottom w:type="dxa" w:w="60"/>
              <w:right w:type="dxa" w:w="120"/>
            </w:tcMar>
          </w:tcPr>
          <w:p>
            <w:pPr>
              <w:jc w:val="left"/>
            </w:pPr>
            <w:r>
              <w:rPr>
                <w:rFonts w:ascii="Times New Roman" w:eastAsia="Microsoft YaHei"/>
                <w:color w:val="1A2B40"/>
                <w:sz w:val="21"/>
                <w:szCs w:val="21"/>
              </w:rPr>
              <w:t xml:space="preserve">Dictionary too sparse for FOMC text</w:t>
            </w:r>
          </w:p>
        </w:tc>
      </w:tr>
    </w:tbl>
    <w:p>
      <w:pPr>
        <w:spacing w:after="160" w:before="60" w:line="312"/>
        <w:jc w:val="center"/>
      </w:pPr>
      <w:r>
        <w:rPr>
          <w:rFonts w:ascii="Times New Roman" w:eastAsia="Microsoft YaHei"/>
          <w:color w:val="4A6575"/>
          <w:sz w:val="21"/>
          <w:szCs w:val="21"/>
        </w:rPr>
        <w:t xml:space="preserve">Table 3: Current Results vs. Literature Benchmarks</w:t>
      </w:r>
    </w:p>
    <w:p>
      <w:pPr>
        <w:spacing w:after="80" w:line="312"/>
        <w:ind w:firstLine="480"/>
        <w:jc w:val="both"/>
      </w:pPr>
      <w:r>
        <w:rPr>
          <w:rFonts w:ascii="Times New Roman" w:eastAsia="Microsoft YaHei"/>
          <w:color w:val="1A2B40"/>
          <w:sz w:val="24"/>
          <w:szCs w:val="24"/>
        </w:rPr>
        <w:t xml:space="preserve">The direction of all results is consistent with the literature: the information shock dominates the target rate shock in explaining asset returns. The magnitude gap is a data and methodology issue, not a theoretical one. Upgrading to Kuttner surprise and FinBERT sentiment is expected to close most of the gap.</w:t>
      </w:r>
    </w:p>
    <w:p>
      <w:pPr>
        <w:pStyle w:val="Heading1"/>
        <w:spacing w:after="160" w:before="360" w:line="312"/>
      </w:pPr>
      <w:bookmarkStart w:id="100024" w:name="_Toc100024"/>
      <w:r>
        <w:rPr>
          <w:rFonts w:ascii="Times New Roman" w:eastAsia="SimHei"/>
          <w:b/>
          <w:bCs/>
          <w:color w:val="0F2027"/>
          <w:sz w:val="32"/>
          <w:szCs w:val="32"/>
        </w:rPr>
        <w:t xml:space="preserve">10. Statistical Inference Notes</w:t>
      </w:r>
      <w:bookmarkEnd w:id="100024"/>
    </w:p>
    <w:p>
      <w:pPr>
        <w:pStyle w:val="Heading2"/>
        <w:spacing w:after="120" w:before="280" w:line="312"/>
      </w:pPr>
      <w:bookmarkStart w:id="100025" w:name="_Toc100025"/>
      <w:r>
        <w:rPr>
          <w:rFonts w:ascii="Times New Roman" w:eastAsia="SimHei"/>
          <w:b/>
          <w:bCs/>
          <w:color w:val="0F2027"/>
          <w:sz w:val="28"/>
          <w:szCs w:val="28"/>
        </w:rPr>
        <w:t xml:space="preserve">10.1 Standard Errors</w:t>
      </w:r>
      <w:bookmarkEnd w:id="100025"/>
    </w:p>
    <w:p>
      <w:pPr>
        <w:spacing w:after="80" w:line="312"/>
        <w:ind w:firstLine="480"/>
        <w:jc w:val="both"/>
      </w:pPr>
      <w:r>
        <w:rPr>
          <w:rFonts w:ascii="Times New Roman" w:eastAsia="Microsoft YaHei"/>
          <w:color w:val="1A2B40"/>
          <w:sz w:val="24"/>
          <w:szCs w:val="24"/>
        </w:rPr>
        <w:t xml:space="preserve">Current implementation uses homoskedastic OLS standard errors (scipy.stats.linregress). This is inappropriate for financial time series, which exhibit:</w:t>
      </w:r>
    </w:p>
    <w:p>
      <w:pPr>
        <w:spacing w:after="40" w:line="312"/>
        <w:ind w:left="720" w:hanging="360"/>
      </w:pPr>
      <w:r>
        <w:rPr>
          <w:rFonts w:ascii="Times New Roman"/>
          <w:color w:val="D4AF37"/>
          <w:sz w:val="24"/>
          <w:szCs w:val="24"/>
        </w:rPr>
        <w:t xml:space="preserve">•  </w:t>
      </w:r>
      <w:r>
        <w:rPr>
          <w:rFonts w:ascii="Times New Roman" w:eastAsia="Microsoft YaHei"/>
          <w:color w:val="1A2B40"/>
          <w:sz w:val="24"/>
          <w:szCs w:val="24"/>
        </w:rPr>
        <w:t xml:space="preserve">Heteroskedasticity: volatility clustering around FOMC meetings</w:t>
      </w:r>
    </w:p>
    <w:p>
      <w:pPr>
        <w:spacing w:after="40" w:line="312"/>
        <w:ind w:left="720" w:hanging="360"/>
      </w:pPr>
      <w:r>
        <w:rPr>
          <w:rFonts w:ascii="Times New Roman"/>
          <w:color w:val="D4AF37"/>
          <w:sz w:val="24"/>
          <w:szCs w:val="24"/>
        </w:rPr>
        <w:t xml:space="preserve">•  </w:t>
      </w:r>
      <w:r>
        <w:rPr>
          <w:rFonts w:ascii="Times New Roman" w:eastAsia="Microsoft YaHei"/>
          <w:color w:val="1A2B40"/>
          <w:sz w:val="24"/>
          <w:szCs w:val="24"/>
        </w:rPr>
        <w:t xml:space="preserve">Autocorrelation: persistent return patterns in short windows</w:t>
      </w:r>
    </w:p>
    <w:p>
      <w:pPr>
        <w:spacing w:after="40" w:line="312"/>
        <w:ind w:left="720" w:hanging="360"/>
      </w:pPr>
      <w:r>
        <w:rPr>
          <w:rFonts w:ascii="Times New Roman"/>
          <w:color w:val="D4AF37"/>
          <w:sz w:val="24"/>
          <w:szCs w:val="24"/>
        </w:rPr>
        <w:t xml:space="preserve">•  </w:t>
      </w:r>
      <w:r>
        <w:rPr>
          <w:rFonts w:ascii="Times New Roman" w:eastAsia="Microsoft YaHei"/>
          <w:color w:val="1A2B40"/>
          <w:sz w:val="24"/>
          <w:szCs w:val="24"/>
        </w:rPr>
        <w:t xml:space="preserve">Cross-sectional correlation: assets move together on FOMC days</w:t>
      </w:r>
    </w:p>
    <w:p>
      <w:pPr>
        <w:spacing w:after="80" w:line="312"/>
        <w:ind w:firstLine="480"/>
        <w:jc w:val="both"/>
      </w:pPr>
      <w:r>
        <w:rPr>
          <w:rFonts w:ascii="Times New Roman" w:eastAsia="Microsoft YaHei"/>
          <w:color w:val="1A2B40"/>
          <w:sz w:val="24"/>
          <w:szCs w:val="24"/>
        </w:rPr>
        <w:t xml:space="preserve">Planned corrections: Newey-West HAC (for time-series), White robust (baseline), Thompson double-clustered (for panel).</w:t>
      </w:r>
    </w:p>
    <w:p>
      <w:pPr>
        <w:pStyle w:val="Heading2"/>
        <w:spacing w:after="120" w:before="280" w:line="312"/>
      </w:pPr>
      <w:bookmarkStart w:id="100026" w:name="_Toc100026"/>
      <w:r>
        <w:rPr>
          <w:rFonts w:ascii="Times New Roman" w:eastAsia="SimHei"/>
          <w:b/>
          <w:bCs/>
          <w:color w:val="0F2027"/>
          <w:sz w:val="28"/>
          <w:szCs w:val="28"/>
        </w:rPr>
        <w:t xml:space="preserve">10.2 Multiple Testing</w:t>
      </w:r>
      <w:bookmarkEnd w:id="100026"/>
    </w:p>
    <w:p>
      <w:pPr>
        <w:spacing w:after="80" w:line="312"/>
        <w:ind w:firstLine="480"/>
        <w:jc w:val="both"/>
      </w:pPr>
      <w:r>
        <w:rPr>
          <w:rFonts w:ascii="Times New Roman" w:eastAsia="Microsoft YaHei"/>
          <w:color w:val="1A2B40"/>
          <w:sz w:val="24"/>
          <w:szCs w:val="24"/>
        </w:rPr>
        <w:t xml:space="preserve">Testing 5 assets simultaneously at α = 0.10 requires Bonferroni correction: α* = 0.10/5 = 0.02. Alternatively, the Benjamini-Hochberg FDR procedure can be used for less conservative control. Current results do not survive either correction.</w:t>
      </w:r>
    </w:p>
    <w:p>
      <w:pPr>
        <w:pStyle w:val="Heading2"/>
        <w:spacing w:after="120" w:before="280" w:line="312"/>
      </w:pPr>
      <w:bookmarkStart w:id="100027" w:name="_Toc100027"/>
      <w:r>
        <w:rPr>
          <w:rFonts w:ascii="Times New Roman" w:eastAsia="SimHei"/>
          <w:b/>
          <w:bCs/>
          <w:color w:val="0F2027"/>
          <w:sz w:val="28"/>
          <w:szCs w:val="28"/>
        </w:rPr>
        <w:t xml:space="preserve">10.3 Endogeneity</w:t>
      </w:r>
      <w:bookmarkEnd w:id="100027"/>
    </w:p>
    <w:p>
      <w:pPr>
        <w:spacing w:after="80" w:line="312"/>
        <w:ind w:firstLine="480"/>
        <w:jc w:val="both"/>
      </w:pPr>
      <w:r>
        <w:rPr>
          <w:rFonts w:ascii="Times New Roman" w:eastAsia="Microsoft YaHei"/>
          <w:color w:val="1A2B40"/>
          <w:sz w:val="24"/>
          <w:szCs w:val="24"/>
        </w:rPr>
        <w:t xml:space="preserve">The surprise measure may be endogenous if market participants anticipate the rate decision based on the same information that drives asset prices. The standard solution is IV estimation using the policy rule deviation (Taylor rule residual) as an instrument. This is planned for Phase 4.</w:t>
      </w:r>
    </w:p>
    <w:p>
      <w:pPr>
        <w:pStyle w:val="Heading1"/>
        <w:spacing w:after="160" w:before="360" w:line="312"/>
      </w:pPr>
      <w:bookmarkStart w:id="100028" w:name="_Toc100028"/>
      <w:r>
        <w:rPr>
          <w:rFonts w:ascii="Times New Roman" w:eastAsia="SimHei"/>
          <w:b/>
          <w:bCs/>
          <w:color w:val="0F2027"/>
          <w:sz w:val="32"/>
          <w:szCs w:val="32"/>
        </w:rPr>
        <w:t xml:space="preserve">11. Reproducibility &amp; Technical Notes</w:t>
      </w:r>
      <w:bookmarkEnd w:id="100028"/>
    </w:p>
    <w:p>
      <w:pPr>
        <w:pStyle w:val="Heading2"/>
        <w:spacing w:after="120" w:before="280" w:line="312"/>
      </w:pPr>
      <w:bookmarkStart w:id="100029" w:name="_Toc100029"/>
      <w:r>
        <w:rPr>
          <w:rFonts w:ascii="Times New Roman" w:eastAsia="SimHei"/>
          <w:b/>
          <w:bCs/>
          <w:color w:val="0F2027"/>
          <w:sz w:val="28"/>
          <w:szCs w:val="28"/>
        </w:rPr>
        <w:t xml:space="preserve">11.1 Data Caching</w:t>
      </w:r>
      <w:bookmarkEnd w:id="100029"/>
    </w:p>
    <w:p>
      <w:pPr>
        <w:spacing w:after="80" w:line="312"/>
        <w:ind w:firstLine="480"/>
        <w:jc w:val="both"/>
      </w:pPr>
      <w:r>
        <w:rPr>
          <w:rFonts w:ascii="Times New Roman" w:eastAsia="Microsoft YaHei"/>
          <w:color w:val="1A2B40"/>
          <w:sz w:val="24"/>
          <w:szCs w:val="24"/>
        </w:rPr>
        <w:t xml:space="preserve">FRED data is cached locally as CSV files. FOMC statements are cached as JSON. The analysis dataset is saved as analysis_dataset_expanded.csv and regression_results_expanded.json. All data transformations are logged with timestamps.</w:t>
      </w:r>
    </w:p>
    <w:p>
      <w:pPr>
        <w:pStyle w:val="Heading2"/>
        <w:spacing w:after="120" w:before="280" w:line="312"/>
      </w:pPr>
      <w:bookmarkStart w:id="100030" w:name="_Toc100030"/>
      <w:r>
        <w:rPr>
          <w:rFonts w:ascii="Times New Roman" w:eastAsia="SimHei"/>
          <w:b/>
          <w:bCs/>
          <w:color w:val="0F2027"/>
          <w:sz w:val="28"/>
          <w:szCs w:val="28"/>
        </w:rPr>
        <w:t xml:space="preserve">11.2 Randomness</w:t>
      </w:r>
      <w:bookmarkEnd w:id="100030"/>
    </w:p>
    <w:p>
      <w:pPr>
        <w:spacing w:after="80" w:line="312"/>
        <w:ind w:firstLine="480"/>
        <w:jc w:val="both"/>
      </w:pPr>
      <w:r>
        <w:rPr>
          <w:rFonts w:ascii="Times New Roman" w:eastAsia="Microsoft YaHei"/>
          <w:color w:val="1A2B40"/>
          <w:sz w:val="24"/>
          <w:szCs w:val="24"/>
        </w:rPr>
        <w:t xml:space="preserve">The TwoShocksEngine.variance_decomposition() method uses np.random.normal(0, 3) for simulation noise without a fixed seed, so results vary across runs. All other modules are deterministic given the same input data.</w:t>
      </w:r>
    </w:p>
    <w:p>
      <w:pPr>
        <w:pStyle w:val="Heading2"/>
        <w:spacing w:after="120" w:before="280" w:line="312"/>
      </w:pPr>
      <w:bookmarkStart w:id="100031" w:name="_Toc100031"/>
      <w:r>
        <w:rPr>
          <w:rFonts w:ascii="Times New Roman" w:eastAsia="SimHei"/>
          <w:b/>
          <w:bCs/>
          <w:color w:val="0F2027"/>
          <w:sz w:val="28"/>
          <w:szCs w:val="28"/>
        </w:rPr>
        <w:t xml:space="preserve">11.3 Dependencies</w:t>
      </w:r>
      <w:bookmarkEnd w:id="100031"/>
    </w:p>
    <w:tbl>
      <w:tblPr>
        <w:tblW w:type="pct" w:w="100%"/>
        <w:tblBorders>
          <w:top w:val="single" w:color="D4AF37" w:sz="4"/>
          <w:left w:val="none"/>
          <w:bottom w:val="single" w:color="D4AF37" w:sz="4"/>
          <w:right w:val="none"/>
          <w:insideH w:val="single" w:color="D0D8D0" w:sz="1"/>
          <w:insideV w:val="none"/>
        </w:tblBorders>
      </w:tblPr>
      <w:tblGrid>
        <w:gridCol w:w="100"/>
        <w:gridCol w:w="100"/>
      </w:tblGrid>
      <w:tr>
        <w:trPr>
          <w:cantSplit/>
          <w:tblHeader/>
        </w:trPr>
        <w:tc>
          <w:tcPr>
            <w:tcW w:type="pct" w:w="30%"/>
            <w:shd w:fill="0F2027" w:val="clear"/>
            <w:tcMar>
              <w:top w:type="dxa" w:w="60"/>
              <w:left w:type="dxa" w:w="120"/>
              <w:bottom w:type="dxa" w:w="60"/>
              <w:right w:type="dxa" w:w="120"/>
            </w:tcMar>
          </w:tcPr>
          <w:p>
            <w:pPr>
              <w:jc w:val="center"/>
            </w:pPr>
            <w:r>
              <w:rPr>
                <w:rFonts w:ascii="Times New Roman" w:eastAsia="Microsoft YaHei"/>
                <w:b/>
                <w:bCs/>
                <w:color w:val="FFFFFF"/>
                <w:sz w:val="21"/>
                <w:szCs w:val="21"/>
              </w:rPr>
              <w:t xml:space="preserve">Package</w:t>
            </w:r>
          </w:p>
        </w:tc>
        <w:tc>
          <w:tcPr>
            <w:tcW w:type="pct" w:w="70%"/>
            <w:shd w:fill="0F2027" w:val="clear"/>
            <w:tcMar>
              <w:top w:type="dxa" w:w="60"/>
              <w:left w:type="dxa" w:w="120"/>
              <w:bottom w:type="dxa" w:w="60"/>
              <w:right w:type="dxa" w:w="120"/>
            </w:tcMar>
          </w:tcPr>
          <w:p>
            <w:pPr>
              <w:jc w:val="center"/>
            </w:pPr>
            <w:r>
              <w:rPr>
                <w:rFonts w:ascii="Times New Roman" w:eastAsia="Microsoft YaHei"/>
                <w:b/>
                <w:bCs/>
                <w:color w:val="FFFFFF"/>
                <w:sz w:val="21"/>
                <w:szCs w:val="21"/>
              </w:rPr>
              <w:t xml:space="preserve">Use</w:t>
            </w:r>
          </w:p>
        </w:tc>
      </w:tr>
      <w:tr>
        <w:trPr>
          <w:cantSplit/>
        </w:trPr>
        <w:tc>
          <w:tcPr>
            <w:tcW w:type="pct" w:w="30%"/>
            <w:shd w:fill="F0F4F8" w:val="clear"/>
            <w:tcMar>
              <w:top w:type="dxa" w:w="60"/>
              <w:left w:type="dxa" w:w="120"/>
              <w:bottom w:type="dxa" w:w="60"/>
              <w:right w:type="dxa" w:w="120"/>
            </w:tcMar>
          </w:tcPr>
          <w:p>
            <w:pPr>
              <w:jc w:val="left"/>
            </w:pPr>
            <w:r>
              <w:rPr>
                <w:rFonts w:ascii="Times New Roman" w:eastAsia="Microsoft YaHei"/>
                <w:color w:val="1A2B40"/>
                <w:sz w:val="21"/>
                <w:szCs w:val="21"/>
              </w:rPr>
              <w:t xml:space="preserve">streamlit</w:t>
            </w:r>
          </w:p>
        </w:tc>
        <w:tc>
          <w:tcPr>
            <w:tcW w:type="pct" w:w="70%"/>
            <w:shd w:fill="F0F4F8" w:val="clear"/>
            <w:tcMar>
              <w:top w:type="dxa" w:w="60"/>
              <w:left w:type="dxa" w:w="120"/>
              <w:bottom w:type="dxa" w:w="60"/>
              <w:right w:type="dxa" w:w="120"/>
            </w:tcMar>
          </w:tcPr>
          <w:p>
            <w:pPr>
              <w:jc w:val="left"/>
            </w:pPr>
            <w:r>
              <w:rPr>
                <w:rFonts w:ascii="Times New Roman" w:eastAsia="Microsoft YaHei"/>
                <w:color w:val="1A2B40"/>
                <w:sz w:val="21"/>
                <w:szCs w:val="21"/>
              </w:rPr>
              <w:t xml:space="preserve">Interactive dashboard</w:t>
            </w:r>
          </w:p>
        </w:tc>
      </w:tr>
      <w:tr>
        <w:trPr>
          <w:cantSplit/>
        </w:trPr>
        <w:tc>
          <w:tcPr>
            <w:tcW w:type="pct" w:w="30%"/>
            <w:shd w:fill="FFFFFF" w:val="clear"/>
            <w:tcMar>
              <w:top w:type="dxa" w:w="60"/>
              <w:left w:type="dxa" w:w="120"/>
              <w:bottom w:type="dxa" w:w="60"/>
              <w:right w:type="dxa" w:w="120"/>
            </w:tcMar>
          </w:tcPr>
          <w:p>
            <w:pPr>
              <w:jc w:val="left"/>
            </w:pPr>
            <w:r>
              <w:rPr>
                <w:rFonts w:ascii="Times New Roman" w:eastAsia="Microsoft YaHei"/>
                <w:color w:val="1A2B40"/>
                <w:sz w:val="21"/>
                <w:szCs w:val="21"/>
              </w:rPr>
              <w:t xml:space="preserve">pandas, numpy</w:t>
            </w:r>
          </w:p>
        </w:tc>
        <w:tc>
          <w:tcPr>
            <w:tcW w:type="pct" w:w="70%"/>
            <w:shd w:fill="FFFFFF" w:val="clear"/>
            <w:tcMar>
              <w:top w:type="dxa" w:w="60"/>
              <w:left w:type="dxa" w:w="120"/>
              <w:bottom w:type="dxa" w:w="60"/>
              <w:right w:type="dxa" w:w="120"/>
            </w:tcMar>
          </w:tcPr>
          <w:p>
            <w:pPr>
              <w:jc w:val="left"/>
            </w:pPr>
            <w:r>
              <w:rPr>
                <w:rFonts w:ascii="Times New Roman" w:eastAsia="Microsoft YaHei"/>
                <w:color w:val="1A2B40"/>
                <w:sz w:val="21"/>
                <w:szCs w:val="21"/>
              </w:rPr>
              <w:t xml:space="preserve">Data manipulation</w:t>
            </w:r>
          </w:p>
        </w:tc>
      </w:tr>
      <w:tr>
        <w:trPr>
          <w:cantSplit/>
        </w:trPr>
        <w:tc>
          <w:tcPr>
            <w:tcW w:type="pct" w:w="30%"/>
            <w:shd w:fill="F0F4F8" w:val="clear"/>
            <w:tcMar>
              <w:top w:type="dxa" w:w="60"/>
              <w:left w:type="dxa" w:w="120"/>
              <w:bottom w:type="dxa" w:w="60"/>
              <w:right w:type="dxa" w:w="120"/>
            </w:tcMar>
          </w:tcPr>
          <w:p>
            <w:pPr>
              <w:jc w:val="left"/>
            </w:pPr>
            <w:r>
              <w:rPr>
                <w:rFonts w:ascii="Times New Roman" w:eastAsia="Microsoft YaHei"/>
                <w:color w:val="1A2B40"/>
                <w:sz w:val="21"/>
                <w:szCs w:val="21"/>
              </w:rPr>
              <w:t xml:space="preserve">scipy</w:t>
            </w:r>
          </w:p>
        </w:tc>
        <w:tc>
          <w:tcPr>
            <w:tcW w:type="pct" w:w="70%"/>
            <w:shd w:fill="F0F4F8" w:val="clear"/>
            <w:tcMar>
              <w:top w:type="dxa" w:w="60"/>
              <w:left w:type="dxa" w:w="120"/>
              <w:bottom w:type="dxa" w:w="60"/>
              <w:right w:type="dxa" w:w="120"/>
            </w:tcMar>
          </w:tcPr>
          <w:p>
            <w:pPr>
              <w:jc w:val="left"/>
            </w:pPr>
            <w:r>
              <w:rPr>
                <w:rFonts w:ascii="Times New Roman" w:eastAsia="Microsoft YaHei"/>
                <w:color w:val="1A2B40"/>
                <w:sz w:val="21"/>
                <w:szCs w:val="21"/>
              </w:rPr>
              <w:t xml:space="preserve">Statistical tests (linregress, ttest_ind, pearsonr)</w:t>
            </w:r>
          </w:p>
        </w:tc>
      </w:tr>
      <w:tr>
        <w:trPr>
          <w:cantSplit/>
        </w:trPr>
        <w:tc>
          <w:tcPr>
            <w:tcW w:type="pct" w:w="30%"/>
            <w:shd w:fill="FFFFFF" w:val="clear"/>
            <w:tcMar>
              <w:top w:type="dxa" w:w="60"/>
              <w:left w:type="dxa" w:w="120"/>
              <w:bottom w:type="dxa" w:w="60"/>
              <w:right w:type="dxa" w:w="120"/>
            </w:tcMar>
          </w:tcPr>
          <w:p>
            <w:pPr>
              <w:jc w:val="left"/>
            </w:pPr>
            <w:r>
              <w:rPr>
                <w:rFonts w:ascii="Times New Roman" w:eastAsia="Microsoft YaHei"/>
                <w:color w:val="1A2B40"/>
                <w:sz w:val="21"/>
                <w:szCs w:val="21"/>
              </w:rPr>
              <w:t xml:space="preserve">yfinance</w:t>
            </w:r>
          </w:p>
        </w:tc>
        <w:tc>
          <w:tcPr>
            <w:tcW w:type="pct" w:w="70%"/>
            <w:shd w:fill="FFFFFF" w:val="clear"/>
            <w:tcMar>
              <w:top w:type="dxa" w:w="60"/>
              <w:left w:type="dxa" w:w="120"/>
              <w:bottom w:type="dxa" w:w="60"/>
              <w:right w:type="dxa" w:w="120"/>
            </w:tcMar>
          </w:tcPr>
          <w:p>
            <w:pPr>
              <w:jc w:val="left"/>
            </w:pPr>
            <w:r>
              <w:rPr>
                <w:rFonts w:ascii="Times New Roman" w:eastAsia="Microsoft YaHei"/>
                <w:color w:val="1A2B40"/>
                <w:sz w:val="21"/>
                <w:szCs w:val="21"/>
              </w:rPr>
              <w:t xml:space="preserve">Asset price download</w:t>
            </w:r>
          </w:p>
        </w:tc>
      </w:tr>
      <w:tr>
        <w:trPr>
          <w:cantSplit/>
        </w:trPr>
        <w:tc>
          <w:tcPr>
            <w:tcW w:type="pct" w:w="30%"/>
            <w:shd w:fill="F0F4F8" w:val="clear"/>
            <w:tcMar>
              <w:top w:type="dxa" w:w="60"/>
              <w:left w:type="dxa" w:w="120"/>
              <w:bottom w:type="dxa" w:w="60"/>
              <w:right w:type="dxa" w:w="120"/>
            </w:tcMar>
          </w:tcPr>
          <w:p>
            <w:pPr>
              <w:jc w:val="left"/>
            </w:pPr>
            <w:r>
              <w:rPr>
                <w:rFonts w:ascii="Times New Roman" w:eastAsia="Microsoft YaHei"/>
                <w:color w:val="1A2B40"/>
                <w:sz w:val="21"/>
                <w:szCs w:val="21"/>
              </w:rPr>
              <w:t xml:space="preserve">requests</w:t>
            </w:r>
          </w:p>
        </w:tc>
        <w:tc>
          <w:tcPr>
            <w:tcW w:type="pct" w:w="70%"/>
            <w:shd w:fill="F0F4F8" w:val="clear"/>
            <w:tcMar>
              <w:top w:type="dxa" w:w="60"/>
              <w:left w:type="dxa" w:w="120"/>
              <w:bottom w:type="dxa" w:w="60"/>
              <w:right w:type="dxa" w:w="120"/>
            </w:tcMar>
          </w:tcPr>
          <w:p>
            <w:pPr>
              <w:jc w:val="left"/>
            </w:pPr>
            <w:r>
              <w:rPr>
                <w:rFonts w:ascii="Times New Roman" w:eastAsia="Microsoft YaHei"/>
                <w:color w:val="1A2B40"/>
                <w:sz w:val="21"/>
                <w:szCs w:val="21"/>
              </w:rPr>
              <w:t xml:space="preserve">FRED API calls, FOMC scraping</w:t>
            </w:r>
          </w:p>
        </w:tc>
      </w:tr>
      <w:tr>
        <w:trPr>
          <w:cantSplit/>
        </w:trPr>
        <w:tc>
          <w:tcPr>
            <w:tcW w:type="pct" w:w="30%"/>
            <w:shd w:fill="FFFFFF" w:val="clear"/>
            <w:tcMar>
              <w:top w:type="dxa" w:w="60"/>
              <w:left w:type="dxa" w:w="120"/>
              <w:bottom w:type="dxa" w:w="60"/>
              <w:right w:type="dxa" w:w="120"/>
            </w:tcMar>
          </w:tcPr>
          <w:p>
            <w:pPr>
              <w:jc w:val="left"/>
            </w:pPr>
            <w:r>
              <w:rPr>
                <w:rFonts w:ascii="Times New Roman" w:eastAsia="Microsoft YaHei"/>
                <w:color w:val="1A2B40"/>
                <w:sz w:val="21"/>
                <w:szCs w:val="21"/>
              </w:rPr>
              <w:t xml:space="preserve">beautifulsoup4</w:t>
            </w:r>
          </w:p>
        </w:tc>
        <w:tc>
          <w:tcPr>
            <w:tcW w:type="pct" w:w="70%"/>
            <w:shd w:fill="FFFFFF" w:val="clear"/>
            <w:tcMar>
              <w:top w:type="dxa" w:w="60"/>
              <w:left w:type="dxa" w:w="120"/>
              <w:bottom w:type="dxa" w:w="60"/>
              <w:right w:type="dxa" w:w="120"/>
            </w:tcMar>
          </w:tcPr>
          <w:p>
            <w:pPr>
              <w:jc w:val="left"/>
            </w:pPr>
            <w:r>
              <w:rPr>
                <w:rFonts w:ascii="Times New Roman" w:eastAsia="Microsoft YaHei"/>
                <w:color w:val="1A2B40"/>
                <w:sz w:val="21"/>
                <w:szCs w:val="21"/>
              </w:rPr>
              <w:t xml:space="preserve">HTML parsing (FOMC statements)</w:t>
            </w:r>
          </w:p>
        </w:tc>
      </w:tr>
      <w:tr>
        <w:trPr>
          <w:cantSplit/>
        </w:trPr>
        <w:tc>
          <w:tcPr>
            <w:tcW w:type="pct" w:w="30%"/>
            <w:shd w:fill="F0F4F8" w:val="clear"/>
            <w:tcMar>
              <w:top w:type="dxa" w:w="60"/>
              <w:left w:type="dxa" w:w="120"/>
              <w:bottom w:type="dxa" w:w="60"/>
              <w:right w:type="dxa" w:w="120"/>
            </w:tcMar>
          </w:tcPr>
          <w:p>
            <w:pPr>
              <w:jc w:val="left"/>
            </w:pPr>
            <w:r>
              <w:rPr>
                <w:rFonts w:ascii="Times New Roman" w:eastAsia="Microsoft YaHei"/>
                <w:color w:val="1A2B40"/>
                <w:sz w:val="21"/>
                <w:szCs w:val="21"/>
              </w:rPr>
              <w:t xml:space="preserve">plotly</w:t>
            </w:r>
          </w:p>
        </w:tc>
        <w:tc>
          <w:tcPr>
            <w:tcW w:type="pct" w:w="70%"/>
            <w:shd w:fill="F0F4F8" w:val="clear"/>
            <w:tcMar>
              <w:top w:type="dxa" w:w="60"/>
              <w:left w:type="dxa" w:w="120"/>
              <w:bottom w:type="dxa" w:w="60"/>
              <w:right w:type="dxa" w:w="120"/>
            </w:tcMar>
          </w:tcPr>
          <w:p>
            <w:pPr>
              <w:jc w:val="left"/>
            </w:pPr>
            <w:r>
              <w:rPr>
                <w:rFonts w:ascii="Times New Roman" w:eastAsia="Microsoft YaHei"/>
                <w:color w:val="1A2B40"/>
                <w:sz w:val="21"/>
                <w:szCs w:val="21"/>
              </w:rPr>
              <w:t xml:space="preserve">Interactive charts</w:t>
            </w:r>
          </w:p>
        </w:tc>
      </w:tr>
    </w:tbl>
    <w:p>
      <w:pPr>
        <w:spacing w:after="160" w:before="60" w:line="312"/>
        <w:jc w:val="center"/>
      </w:pPr>
      <w:r>
        <w:rPr>
          <w:rFonts w:ascii="Times New Roman" w:eastAsia="Microsoft YaHei"/>
          <w:color w:val="4A6575"/>
          <w:sz w:val="21"/>
          <w:szCs w:val="21"/>
        </w:rPr>
        <w:t xml:space="preserve">Table 4: Key Dependencies</w:t>
      </w:r>
    </w:p>
    <w:p>
      <w:pPr>
        <w:pStyle w:val="Heading1"/>
        <w:spacing w:after="160" w:before="360" w:line="312"/>
      </w:pPr>
      <w:bookmarkStart w:id="100032" w:name="_Toc100032"/>
      <w:r>
        <w:rPr>
          <w:rFonts w:ascii="Times New Roman" w:eastAsia="SimHei"/>
          <w:b/>
          <w:bCs/>
          <w:color w:val="0F2027"/>
          <w:sz w:val="32"/>
          <w:szCs w:val="32"/>
        </w:rPr>
        <w:t xml:space="preserve">12. Upgrade Roadmap</w:t>
      </w:r>
      <w:bookmarkEnd w:id="100032"/>
    </w:p>
    <w:tbl>
      <w:tblPr>
        <w:tblW w:type="pct" w:w="100%"/>
        <w:tblBorders>
          <w:top w:val="single" w:color="D4AF37" w:sz="4"/>
          <w:left w:val="none"/>
          <w:bottom w:val="single" w:color="D4AF37" w:sz="4"/>
          <w:right w:val="none"/>
          <w:insideH w:val="single" w:color="D0D8D0" w:sz="1"/>
          <w:insideV w:val="none"/>
        </w:tblBorders>
      </w:tblPr>
      <w:tblGrid>
        <w:gridCol w:w="100"/>
        <w:gridCol w:w="100"/>
        <w:gridCol w:w="100"/>
        <w:gridCol w:w="100"/>
      </w:tblGrid>
      <w:tr>
        <w:trPr>
          <w:cantSplit/>
          <w:tblHeader/>
        </w:trPr>
        <w:tc>
          <w:tcPr>
            <w:tcW w:type="pct" w:w="12%"/>
            <w:shd w:fill="0F2027" w:val="clear"/>
            <w:tcMar>
              <w:top w:type="dxa" w:w="60"/>
              <w:left w:type="dxa" w:w="120"/>
              <w:bottom w:type="dxa" w:w="60"/>
              <w:right w:type="dxa" w:w="120"/>
            </w:tcMar>
          </w:tcPr>
          <w:p>
            <w:pPr>
              <w:jc w:val="center"/>
            </w:pPr>
            <w:r>
              <w:rPr>
                <w:rFonts w:ascii="Times New Roman" w:eastAsia="Microsoft YaHei"/>
                <w:b/>
                <w:bCs/>
                <w:color w:val="FFFFFF"/>
                <w:sz w:val="21"/>
                <w:szCs w:val="21"/>
              </w:rPr>
              <w:t xml:space="preserve">Phase</w:t>
            </w:r>
          </w:p>
        </w:tc>
        <w:tc>
          <w:tcPr>
            <w:tcW w:type="pct" w:w="30%"/>
            <w:shd w:fill="0F2027" w:val="clear"/>
            <w:tcMar>
              <w:top w:type="dxa" w:w="60"/>
              <w:left w:type="dxa" w:w="120"/>
              <w:bottom w:type="dxa" w:w="60"/>
              <w:right w:type="dxa" w:w="120"/>
            </w:tcMar>
          </w:tcPr>
          <w:p>
            <w:pPr>
              <w:jc w:val="center"/>
            </w:pPr>
            <w:r>
              <w:rPr>
                <w:rFonts w:ascii="Times New Roman" w:eastAsia="Microsoft YaHei"/>
                <w:b/>
                <w:bCs/>
                <w:color w:val="FFFFFF"/>
                <w:sz w:val="21"/>
                <w:szCs w:val="21"/>
              </w:rPr>
              <w:t xml:space="preserve">Component</w:t>
            </w:r>
          </w:p>
        </w:tc>
        <w:tc>
          <w:tcPr>
            <w:tcW w:type="pct" w:w="28%"/>
            <w:shd w:fill="0F2027" w:val="clear"/>
            <w:tcMar>
              <w:top w:type="dxa" w:w="60"/>
              <w:left w:type="dxa" w:w="120"/>
              <w:bottom w:type="dxa" w:w="60"/>
              <w:right w:type="dxa" w:w="120"/>
            </w:tcMar>
          </w:tcPr>
          <w:p>
            <w:pPr>
              <w:jc w:val="center"/>
            </w:pPr>
            <w:r>
              <w:rPr>
                <w:rFonts w:ascii="Times New Roman" w:eastAsia="Microsoft YaHei"/>
                <w:b/>
                <w:bCs/>
                <w:color w:val="FFFFFF"/>
                <w:sz w:val="21"/>
                <w:szCs w:val="21"/>
              </w:rPr>
              <w:t xml:space="preserve">Data Source</w:t>
            </w:r>
          </w:p>
        </w:tc>
        <w:tc>
          <w:tcPr>
            <w:tcW w:type="pct" w:w="30%"/>
            <w:shd w:fill="0F2027" w:val="clear"/>
            <w:tcMar>
              <w:top w:type="dxa" w:w="60"/>
              <w:left w:type="dxa" w:w="120"/>
              <w:bottom w:type="dxa" w:w="60"/>
              <w:right w:type="dxa" w:w="120"/>
            </w:tcMar>
          </w:tcPr>
          <w:p>
            <w:pPr>
              <w:jc w:val="center"/>
            </w:pPr>
            <w:r>
              <w:rPr>
                <w:rFonts w:ascii="Times New Roman" w:eastAsia="Microsoft YaHei"/>
                <w:b/>
                <w:bCs/>
                <w:color w:val="FFFFFF"/>
                <w:sz w:val="21"/>
                <w:szCs w:val="21"/>
              </w:rPr>
              <w:t xml:space="preserve">Expected Impact</w:t>
            </w:r>
          </w:p>
        </w:tc>
      </w:tr>
      <w:tr>
        <w:trPr>
          <w:cantSplit/>
        </w:trPr>
        <w:tc>
          <w:tcPr>
            <w:tcW w:type="pct" w:w="12%"/>
            <w:shd w:fill="F0F4F8" w:val="clear"/>
            <w:tcMar>
              <w:top w:type="dxa" w:w="60"/>
              <w:left w:type="dxa" w:w="120"/>
              <w:bottom w:type="dxa" w:w="60"/>
              <w:right w:type="dxa" w:w="120"/>
            </w:tcMar>
          </w:tcPr>
          <w:p>
            <w:pPr>
              <w:jc w:val="left"/>
            </w:pPr>
            <w:r>
              <w:rPr>
                <w:rFonts w:ascii="Times New Roman" w:eastAsia="Microsoft YaHei"/>
                <w:color w:val="1A2B40"/>
                <w:sz w:val="21"/>
                <w:szCs w:val="21"/>
              </w:rPr>
              <w:t xml:space="preserve">Phase 2</w:t>
            </w:r>
          </w:p>
        </w:tc>
        <w:tc>
          <w:tcPr>
            <w:tcW w:type="pct" w:w="30%"/>
            <w:shd w:fill="F0F4F8" w:val="clear"/>
            <w:tcMar>
              <w:top w:type="dxa" w:w="60"/>
              <w:left w:type="dxa" w:w="120"/>
              <w:bottom w:type="dxa" w:w="60"/>
              <w:right w:type="dxa" w:w="120"/>
            </w:tcMar>
          </w:tcPr>
          <w:p>
            <w:pPr>
              <w:jc w:val="left"/>
            </w:pPr>
            <w:r>
              <w:rPr>
                <w:rFonts w:ascii="Times New Roman" w:eastAsia="Microsoft YaHei"/>
                <w:color w:val="1A2B40"/>
                <w:sz w:val="21"/>
                <w:szCs w:val="21"/>
              </w:rPr>
              <w:t xml:space="preserve">Kuttner surprise</w:t>
            </w:r>
          </w:p>
        </w:tc>
        <w:tc>
          <w:tcPr>
            <w:tcW w:type="pct" w:w="28%"/>
            <w:shd w:fill="F0F4F8" w:val="clear"/>
            <w:tcMar>
              <w:top w:type="dxa" w:w="60"/>
              <w:left w:type="dxa" w:w="120"/>
              <w:bottom w:type="dxa" w:w="60"/>
              <w:right w:type="dxa" w:w="120"/>
            </w:tcMar>
          </w:tcPr>
          <w:p>
            <w:pPr>
              <w:jc w:val="left"/>
            </w:pPr>
            <w:r>
              <w:rPr>
                <w:rFonts w:ascii="Times New Roman" w:eastAsia="Microsoft YaHei"/>
                <w:color w:val="1A2B40"/>
                <w:sz w:val="21"/>
                <w:szCs w:val="21"/>
              </w:rPr>
              <w:t xml:space="preserve">CME FF futures (WRDS)</w:t>
            </w:r>
          </w:p>
        </w:tc>
        <w:tc>
          <w:tcPr>
            <w:tcW w:type="pct" w:w="30%"/>
            <w:shd w:fill="F0F4F8" w:val="clear"/>
            <w:tcMar>
              <w:top w:type="dxa" w:w="60"/>
              <w:left w:type="dxa" w:w="120"/>
              <w:bottom w:type="dxa" w:w="60"/>
              <w:right w:type="dxa" w:w="120"/>
            </w:tcMar>
          </w:tcPr>
          <w:p>
            <w:pPr>
              <w:jc w:val="left"/>
            </w:pPr>
            <w:r>
              <w:rPr>
                <w:rFonts w:ascii="Times New Roman" w:eastAsia="Microsoft YaHei"/>
                <w:color w:val="1A2B40"/>
                <w:sz w:val="21"/>
                <w:szCs w:val="21"/>
              </w:rPr>
              <w:t xml:space="preserve">H1 R²: 0.4% → 2–5%</w:t>
            </w:r>
          </w:p>
        </w:tc>
      </w:tr>
      <w:tr>
        <w:trPr>
          <w:cantSplit/>
        </w:trPr>
        <w:tc>
          <w:tcPr>
            <w:tcW w:type="pct" w:w="12%"/>
            <w:shd w:fill="FFFFFF" w:val="clear"/>
            <w:tcMar>
              <w:top w:type="dxa" w:w="60"/>
              <w:left w:type="dxa" w:w="120"/>
              <w:bottom w:type="dxa" w:w="60"/>
              <w:right w:type="dxa" w:w="120"/>
            </w:tcMar>
          </w:tcPr>
          <w:p>
            <w:pPr>
              <w:jc w:val="left"/>
            </w:pPr>
            <w:r>
              <w:rPr>
                <w:rFonts w:ascii="Times New Roman" w:eastAsia="Microsoft YaHei"/>
                <w:color w:val="1A2B40"/>
                <w:sz w:val="21"/>
                <w:szCs w:val="21"/>
              </w:rPr>
              <w:t xml:space="preserve">Phase 2</w:t>
            </w:r>
          </w:p>
        </w:tc>
        <w:tc>
          <w:tcPr>
            <w:tcW w:type="pct" w:w="30%"/>
            <w:shd w:fill="FFFFFF" w:val="clear"/>
            <w:tcMar>
              <w:top w:type="dxa" w:w="60"/>
              <w:left w:type="dxa" w:w="120"/>
              <w:bottom w:type="dxa" w:w="60"/>
              <w:right w:type="dxa" w:w="120"/>
            </w:tcMar>
          </w:tcPr>
          <w:p>
            <w:pPr>
              <w:jc w:val="left"/>
            </w:pPr>
            <w:r>
              <w:rPr>
                <w:rFonts w:ascii="Times New Roman" w:eastAsia="Microsoft YaHei"/>
                <w:color w:val="1A2B40"/>
                <w:sz w:val="21"/>
                <w:szCs w:val="21"/>
              </w:rPr>
              <w:t xml:space="preserve">Path factor</w:t>
            </w:r>
          </w:p>
        </w:tc>
        <w:tc>
          <w:tcPr>
            <w:tcW w:type="pct" w:w="28%"/>
            <w:shd w:fill="FFFFFF" w:val="clear"/>
            <w:tcMar>
              <w:top w:type="dxa" w:w="60"/>
              <w:left w:type="dxa" w:w="120"/>
              <w:bottom w:type="dxa" w:w="60"/>
              <w:right w:type="dxa" w:w="120"/>
            </w:tcMar>
          </w:tcPr>
          <w:p>
            <w:pPr>
              <w:jc w:val="left"/>
            </w:pPr>
            <w:r>
              <w:rPr>
                <w:rFonts w:ascii="Times New Roman" w:eastAsia="Microsoft YaHei"/>
                <w:color w:val="1A2B40"/>
                <w:sz w:val="21"/>
                <w:szCs w:val="21"/>
              </w:rPr>
              <w:t xml:space="preserve">CME ED futures (WRDS)</w:t>
            </w:r>
          </w:p>
        </w:tc>
        <w:tc>
          <w:tcPr>
            <w:tcW w:type="pct" w:w="30%"/>
            <w:shd w:fill="FFFFFF" w:val="clear"/>
            <w:tcMar>
              <w:top w:type="dxa" w:w="60"/>
              <w:left w:type="dxa" w:w="120"/>
              <w:bottom w:type="dxa" w:w="60"/>
              <w:right w:type="dxa" w:w="120"/>
            </w:tcMar>
          </w:tcPr>
          <w:p>
            <w:pPr>
              <w:jc w:val="left"/>
            </w:pPr>
            <w:r>
              <w:rPr>
                <w:rFonts w:ascii="Times New Roman" w:eastAsia="Microsoft YaHei"/>
                <w:color w:val="1A2B40"/>
                <w:sz w:val="21"/>
                <w:szCs w:val="21"/>
              </w:rPr>
              <w:t xml:space="preserve">H3 decomposition validity</w:t>
            </w:r>
          </w:p>
        </w:tc>
      </w:tr>
      <w:tr>
        <w:trPr>
          <w:cantSplit/>
        </w:trPr>
        <w:tc>
          <w:tcPr>
            <w:tcW w:type="pct" w:w="12%"/>
            <w:shd w:fill="F0F4F8" w:val="clear"/>
            <w:tcMar>
              <w:top w:type="dxa" w:w="60"/>
              <w:left w:type="dxa" w:w="120"/>
              <w:bottom w:type="dxa" w:w="60"/>
              <w:right w:type="dxa" w:w="120"/>
            </w:tcMar>
          </w:tcPr>
          <w:p>
            <w:pPr>
              <w:jc w:val="left"/>
            </w:pPr>
            <w:r>
              <w:rPr>
                <w:rFonts w:ascii="Times New Roman" w:eastAsia="Microsoft YaHei"/>
                <w:color w:val="1A2B40"/>
                <w:sz w:val="21"/>
                <w:szCs w:val="21"/>
              </w:rPr>
              <w:t xml:space="preserve">Phase 2</w:t>
            </w:r>
          </w:p>
        </w:tc>
        <w:tc>
          <w:tcPr>
            <w:tcW w:type="pct" w:w="30%"/>
            <w:shd w:fill="F0F4F8" w:val="clear"/>
            <w:tcMar>
              <w:top w:type="dxa" w:w="60"/>
              <w:left w:type="dxa" w:w="120"/>
              <w:bottom w:type="dxa" w:w="60"/>
              <w:right w:type="dxa" w:w="120"/>
            </w:tcMar>
          </w:tcPr>
          <w:p>
            <w:pPr>
              <w:jc w:val="left"/>
            </w:pPr>
            <w:r>
              <w:rPr>
                <w:rFonts w:ascii="Times New Roman" w:eastAsia="Microsoft YaHei"/>
                <w:color w:val="1A2B40"/>
                <w:sz w:val="21"/>
                <w:szCs w:val="21"/>
              </w:rPr>
              <w:t xml:space="preserve">HAC standard errors</w:t>
            </w:r>
          </w:p>
        </w:tc>
        <w:tc>
          <w:tcPr>
            <w:tcW w:type="pct" w:w="28%"/>
            <w:shd w:fill="F0F4F8" w:val="clear"/>
            <w:tcMar>
              <w:top w:type="dxa" w:w="60"/>
              <w:left w:type="dxa" w:w="120"/>
              <w:bottom w:type="dxa" w:w="60"/>
              <w:right w:type="dxa" w:w="120"/>
            </w:tcMar>
          </w:tcPr>
          <w:p>
            <w:pPr>
              <w:jc w:val="left"/>
            </w:pPr>
            <w:r>
              <w:rPr>
                <w:rFonts w:ascii="Times New Roman" w:eastAsia="Microsoft YaHei"/>
                <w:color w:val="1A2B40"/>
                <w:sz w:val="21"/>
                <w:szCs w:val="21"/>
              </w:rPr>
              <w:t xml:space="preserve">—</w:t>
            </w:r>
          </w:p>
        </w:tc>
        <w:tc>
          <w:tcPr>
            <w:tcW w:type="pct" w:w="30%"/>
            <w:shd w:fill="F0F4F8" w:val="clear"/>
            <w:tcMar>
              <w:top w:type="dxa" w:w="60"/>
              <w:left w:type="dxa" w:w="120"/>
              <w:bottom w:type="dxa" w:w="60"/>
              <w:right w:type="dxa" w:w="120"/>
            </w:tcMar>
          </w:tcPr>
          <w:p>
            <w:pPr>
              <w:jc w:val="left"/>
            </w:pPr>
            <w:r>
              <w:rPr>
                <w:rFonts w:ascii="Times New Roman" w:eastAsia="Microsoft YaHei"/>
                <w:color w:val="1A2B40"/>
                <w:sz w:val="21"/>
                <w:szCs w:val="21"/>
              </w:rPr>
              <w:t xml:space="preserve">Correct inference</w:t>
            </w:r>
          </w:p>
        </w:tc>
      </w:tr>
      <w:tr>
        <w:trPr>
          <w:cantSplit/>
        </w:trPr>
        <w:tc>
          <w:tcPr>
            <w:tcW w:type="pct" w:w="12%"/>
            <w:shd w:fill="FFFFFF" w:val="clear"/>
            <w:tcMar>
              <w:top w:type="dxa" w:w="60"/>
              <w:left w:type="dxa" w:w="120"/>
              <w:bottom w:type="dxa" w:w="60"/>
              <w:right w:type="dxa" w:w="120"/>
            </w:tcMar>
          </w:tcPr>
          <w:p>
            <w:pPr>
              <w:jc w:val="left"/>
            </w:pPr>
            <w:r>
              <w:rPr>
                <w:rFonts w:ascii="Times New Roman" w:eastAsia="Microsoft YaHei"/>
                <w:color w:val="1A2B40"/>
                <w:sz w:val="21"/>
                <w:szCs w:val="21"/>
              </w:rPr>
              <w:t xml:space="preserve">Phase 3</w:t>
            </w:r>
          </w:p>
        </w:tc>
        <w:tc>
          <w:tcPr>
            <w:tcW w:type="pct" w:w="30%"/>
            <w:shd w:fill="FFFFFF" w:val="clear"/>
            <w:tcMar>
              <w:top w:type="dxa" w:w="60"/>
              <w:left w:type="dxa" w:w="120"/>
              <w:bottom w:type="dxa" w:w="60"/>
              <w:right w:type="dxa" w:w="120"/>
            </w:tcMar>
          </w:tcPr>
          <w:p>
            <w:pPr>
              <w:jc w:val="left"/>
            </w:pPr>
            <w:r>
              <w:rPr>
                <w:rFonts w:ascii="Times New Roman" w:eastAsia="Microsoft YaHei"/>
                <w:color w:val="1A2B40"/>
                <w:sz w:val="21"/>
                <w:szCs w:val="21"/>
              </w:rPr>
              <w:t xml:space="preserve">FinBERT sentiment</w:t>
            </w:r>
          </w:p>
        </w:tc>
        <w:tc>
          <w:tcPr>
            <w:tcW w:type="pct" w:w="28%"/>
            <w:shd w:fill="FFFFFF" w:val="clear"/>
            <w:tcMar>
              <w:top w:type="dxa" w:w="60"/>
              <w:left w:type="dxa" w:w="120"/>
              <w:bottom w:type="dxa" w:w="60"/>
              <w:right w:type="dxa" w:w="120"/>
            </w:tcMar>
          </w:tcPr>
          <w:p>
            <w:pPr>
              <w:jc w:val="left"/>
            </w:pPr>
            <w:r>
              <w:rPr>
                <w:rFonts w:ascii="Times New Roman" w:eastAsia="Microsoft YaHei"/>
                <w:color w:val="1A2B40"/>
                <w:sz w:val="21"/>
                <w:szCs w:val="21"/>
              </w:rPr>
              <w:t xml:space="preserve">GPU compute</w:t>
            </w:r>
          </w:p>
        </w:tc>
        <w:tc>
          <w:tcPr>
            <w:tcW w:type="pct" w:w="30%"/>
            <w:shd w:fill="FFFFFF" w:val="clear"/>
            <w:tcMar>
              <w:top w:type="dxa" w:w="60"/>
              <w:left w:type="dxa" w:w="120"/>
              <w:bottom w:type="dxa" w:w="60"/>
              <w:right w:type="dxa" w:w="120"/>
            </w:tcMar>
          </w:tcPr>
          <w:p>
            <w:pPr>
              <w:jc w:val="left"/>
            </w:pPr>
            <w:r>
              <w:rPr>
                <w:rFonts w:ascii="Times New Roman" w:eastAsia="Microsoft YaHei"/>
                <w:color w:val="1A2B40"/>
                <w:sz w:val="21"/>
                <w:szCs w:val="21"/>
              </w:rPr>
              <w:t xml:space="preserve">Sentiment std: 0.003 → 0.02+</w:t>
            </w:r>
          </w:p>
        </w:tc>
      </w:tr>
      <w:tr>
        <w:trPr>
          <w:cantSplit/>
        </w:trPr>
        <w:tc>
          <w:tcPr>
            <w:tcW w:type="pct" w:w="12%"/>
            <w:shd w:fill="F0F4F8" w:val="clear"/>
            <w:tcMar>
              <w:top w:type="dxa" w:w="60"/>
              <w:left w:type="dxa" w:w="120"/>
              <w:bottom w:type="dxa" w:w="60"/>
              <w:right w:type="dxa" w:w="120"/>
            </w:tcMar>
          </w:tcPr>
          <w:p>
            <w:pPr>
              <w:jc w:val="left"/>
            </w:pPr>
            <w:r>
              <w:rPr>
                <w:rFonts w:ascii="Times New Roman" w:eastAsia="Microsoft YaHei"/>
                <w:color w:val="1A2B40"/>
                <w:sz w:val="21"/>
                <w:szCs w:val="21"/>
              </w:rPr>
              <w:t xml:space="preserve">Phase 3</w:t>
            </w:r>
          </w:p>
        </w:tc>
        <w:tc>
          <w:tcPr>
            <w:tcW w:type="pct" w:w="30%"/>
            <w:shd w:fill="F0F4F8" w:val="clear"/>
            <w:tcMar>
              <w:top w:type="dxa" w:w="60"/>
              <w:left w:type="dxa" w:w="120"/>
              <w:bottom w:type="dxa" w:w="60"/>
              <w:right w:type="dxa" w:w="120"/>
            </w:tcMar>
          </w:tcPr>
          <w:p>
            <w:pPr>
              <w:jc w:val="left"/>
            </w:pPr>
            <w:r>
              <w:rPr>
                <w:rFonts w:ascii="Times New Roman" w:eastAsia="Microsoft YaHei"/>
                <w:color w:val="1A2B40"/>
                <w:sz w:val="21"/>
                <w:szCs w:val="21"/>
              </w:rPr>
              <w:t xml:space="preserve">High-frequency identification</w:t>
            </w:r>
          </w:p>
        </w:tc>
        <w:tc>
          <w:tcPr>
            <w:tcW w:type="pct" w:w="28%"/>
            <w:shd w:fill="F0F4F8" w:val="clear"/>
            <w:tcMar>
              <w:top w:type="dxa" w:w="60"/>
              <w:left w:type="dxa" w:w="120"/>
              <w:bottom w:type="dxa" w:w="60"/>
              <w:right w:type="dxa" w:w="120"/>
            </w:tcMar>
          </w:tcPr>
          <w:p>
            <w:pPr>
              <w:jc w:val="left"/>
            </w:pPr>
            <w:r>
              <w:rPr>
                <w:rFonts w:ascii="Times New Roman" w:eastAsia="Microsoft YaHei"/>
                <w:color w:val="1A2B40"/>
                <w:sz w:val="21"/>
                <w:szCs w:val="21"/>
              </w:rPr>
              <w:t xml:space="preserve">TAQ (WRDS)</w:t>
            </w:r>
          </w:p>
        </w:tc>
        <w:tc>
          <w:tcPr>
            <w:tcW w:type="pct" w:w="30%"/>
            <w:shd w:fill="F0F4F8" w:val="clear"/>
            <w:tcMar>
              <w:top w:type="dxa" w:w="60"/>
              <w:left w:type="dxa" w:w="120"/>
              <w:bottom w:type="dxa" w:w="60"/>
              <w:right w:type="dxa" w:w="120"/>
            </w:tcMar>
          </w:tcPr>
          <w:p>
            <w:pPr>
              <w:jc w:val="left"/>
            </w:pPr>
            <w:r>
              <w:rPr>
                <w:rFonts w:ascii="Times New Roman" w:eastAsia="Microsoft YaHei"/>
                <w:color w:val="1A2B40"/>
                <w:sz w:val="21"/>
                <w:szCs w:val="21"/>
              </w:rPr>
              <w:t xml:space="preserve">Intraday event windows</w:t>
            </w:r>
          </w:p>
        </w:tc>
      </w:tr>
      <w:tr>
        <w:trPr>
          <w:cantSplit/>
        </w:trPr>
        <w:tc>
          <w:tcPr>
            <w:tcW w:type="pct" w:w="12%"/>
            <w:shd w:fill="FFFFFF" w:val="clear"/>
            <w:tcMar>
              <w:top w:type="dxa" w:w="60"/>
              <w:left w:type="dxa" w:w="120"/>
              <w:bottom w:type="dxa" w:w="60"/>
              <w:right w:type="dxa" w:w="120"/>
            </w:tcMar>
          </w:tcPr>
          <w:p>
            <w:pPr>
              <w:jc w:val="left"/>
            </w:pPr>
            <w:r>
              <w:rPr>
                <w:rFonts w:ascii="Times New Roman" w:eastAsia="Microsoft YaHei"/>
                <w:color w:val="1A2B40"/>
                <w:sz w:val="21"/>
                <w:szCs w:val="21"/>
              </w:rPr>
              <w:t xml:space="preserve">Phase 3</w:t>
            </w:r>
          </w:p>
        </w:tc>
        <w:tc>
          <w:tcPr>
            <w:tcW w:type="pct" w:w="30%"/>
            <w:shd w:fill="FFFFFF" w:val="clear"/>
            <w:tcMar>
              <w:top w:type="dxa" w:w="60"/>
              <w:left w:type="dxa" w:w="120"/>
              <w:bottom w:type="dxa" w:w="60"/>
              <w:right w:type="dxa" w:w="120"/>
            </w:tcMar>
          </w:tcPr>
          <w:p>
            <w:pPr>
              <w:jc w:val="left"/>
            </w:pPr>
            <w:r>
              <w:rPr>
                <w:rFonts w:ascii="Times New Roman" w:eastAsia="Microsoft YaHei"/>
                <w:color w:val="1A2B40"/>
                <w:sz w:val="21"/>
                <w:szCs w:val="21"/>
              </w:rPr>
              <w:t xml:space="preserve">IV estimation</w:t>
            </w:r>
          </w:p>
        </w:tc>
        <w:tc>
          <w:tcPr>
            <w:tcW w:type="pct" w:w="28%"/>
            <w:shd w:fill="FFFFFF" w:val="clear"/>
            <w:tcMar>
              <w:top w:type="dxa" w:w="60"/>
              <w:left w:type="dxa" w:w="120"/>
              <w:bottom w:type="dxa" w:w="60"/>
              <w:right w:type="dxa" w:w="120"/>
            </w:tcMar>
          </w:tcPr>
          <w:p>
            <w:pPr>
              <w:jc w:val="left"/>
            </w:pPr>
            <w:r>
              <w:rPr>
                <w:rFonts w:ascii="Times New Roman" w:eastAsia="Microsoft YaHei"/>
                <w:color w:val="1A2B40"/>
                <w:sz w:val="21"/>
                <w:szCs w:val="21"/>
              </w:rPr>
              <w:t xml:space="preserve">—</w:t>
            </w:r>
          </w:p>
        </w:tc>
        <w:tc>
          <w:tcPr>
            <w:tcW w:type="pct" w:w="30%"/>
            <w:shd w:fill="FFFFFF" w:val="clear"/>
            <w:tcMar>
              <w:top w:type="dxa" w:w="60"/>
              <w:left w:type="dxa" w:w="120"/>
              <w:bottom w:type="dxa" w:w="60"/>
              <w:right w:type="dxa" w:w="120"/>
            </w:tcMar>
          </w:tcPr>
          <w:p>
            <w:pPr>
              <w:jc w:val="left"/>
            </w:pPr>
            <w:r>
              <w:rPr>
                <w:rFonts w:ascii="Times New Roman" w:eastAsia="Microsoft YaHei"/>
                <w:color w:val="1A2B40"/>
                <w:sz w:val="21"/>
                <w:szCs w:val="21"/>
              </w:rPr>
              <w:t xml:space="preserve">Address endogeneity</w:t>
            </w:r>
          </w:p>
        </w:tc>
      </w:tr>
      <w:tr>
        <w:trPr>
          <w:cantSplit/>
        </w:trPr>
        <w:tc>
          <w:tcPr>
            <w:tcW w:type="pct" w:w="12%"/>
            <w:shd w:fill="F0F4F8" w:val="clear"/>
            <w:tcMar>
              <w:top w:type="dxa" w:w="60"/>
              <w:left w:type="dxa" w:w="120"/>
              <w:bottom w:type="dxa" w:w="60"/>
              <w:right w:type="dxa" w:w="120"/>
            </w:tcMar>
          </w:tcPr>
          <w:p>
            <w:pPr>
              <w:jc w:val="left"/>
            </w:pPr>
            <w:r>
              <w:rPr>
                <w:rFonts w:ascii="Times New Roman" w:eastAsia="Microsoft YaHei"/>
                <w:color w:val="1A2B40"/>
                <w:sz w:val="21"/>
                <w:szCs w:val="21"/>
              </w:rPr>
              <w:t xml:space="preserve">Phase 4</w:t>
            </w:r>
          </w:p>
        </w:tc>
        <w:tc>
          <w:tcPr>
            <w:tcW w:type="pct" w:w="30%"/>
            <w:shd w:fill="F0F4F8" w:val="clear"/>
            <w:tcMar>
              <w:top w:type="dxa" w:w="60"/>
              <w:left w:type="dxa" w:w="120"/>
              <w:bottom w:type="dxa" w:w="60"/>
              <w:right w:type="dxa" w:w="120"/>
            </w:tcMar>
          </w:tcPr>
          <w:p>
            <w:pPr>
              <w:jc w:val="left"/>
            </w:pPr>
            <w:r>
              <w:rPr>
                <w:rFonts w:ascii="Times New Roman" w:eastAsia="Microsoft YaHei"/>
                <w:color w:val="1A2B40"/>
                <w:sz w:val="21"/>
                <w:szCs w:val="21"/>
              </w:rPr>
              <w:t xml:space="preserve">Sign restriction (JK style)</w:t>
            </w:r>
          </w:p>
        </w:tc>
        <w:tc>
          <w:tcPr>
            <w:tcW w:type="pct" w:w="28%"/>
            <w:shd w:fill="F0F4F8" w:val="clear"/>
            <w:tcMar>
              <w:top w:type="dxa" w:w="60"/>
              <w:left w:type="dxa" w:w="120"/>
              <w:bottom w:type="dxa" w:w="60"/>
              <w:right w:type="dxa" w:w="120"/>
            </w:tcMar>
          </w:tcPr>
          <w:p>
            <w:pPr>
              <w:jc w:val="left"/>
            </w:pPr>
            <w:r>
              <w:rPr>
                <w:rFonts w:ascii="Times New Roman" w:eastAsia="Microsoft YaHei"/>
                <w:color w:val="1A2B40"/>
                <w:sz w:val="21"/>
                <w:szCs w:val="21"/>
              </w:rPr>
              <w:t xml:space="preserve">—</w:t>
            </w:r>
          </w:p>
        </w:tc>
        <w:tc>
          <w:tcPr>
            <w:tcW w:type="pct" w:w="30%"/>
            <w:shd w:fill="F0F4F8" w:val="clear"/>
            <w:tcMar>
              <w:top w:type="dxa" w:w="60"/>
              <w:left w:type="dxa" w:w="120"/>
              <w:bottom w:type="dxa" w:w="60"/>
              <w:right w:type="dxa" w:w="120"/>
            </w:tcMar>
          </w:tcPr>
          <w:p>
            <w:pPr>
              <w:jc w:val="left"/>
            </w:pPr>
            <w:r>
              <w:rPr>
                <w:rFonts w:ascii="Times New Roman" w:eastAsia="Microsoft YaHei"/>
                <w:color w:val="1A2B40"/>
                <w:sz w:val="21"/>
                <w:szCs w:val="21"/>
              </w:rPr>
              <w:t xml:space="preserve">Structural shock identification</w:t>
            </w:r>
          </w:p>
        </w:tc>
      </w:tr>
      <w:tr>
        <w:trPr>
          <w:cantSplit/>
        </w:trPr>
        <w:tc>
          <w:tcPr>
            <w:tcW w:type="pct" w:w="12%"/>
            <w:shd w:fill="FFFFFF" w:val="clear"/>
            <w:tcMar>
              <w:top w:type="dxa" w:w="60"/>
              <w:left w:type="dxa" w:w="120"/>
              <w:bottom w:type="dxa" w:w="60"/>
              <w:right w:type="dxa" w:w="120"/>
            </w:tcMar>
          </w:tcPr>
          <w:p>
            <w:pPr>
              <w:jc w:val="left"/>
            </w:pPr>
            <w:r>
              <w:rPr>
                <w:rFonts w:ascii="Times New Roman" w:eastAsia="Microsoft YaHei"/>
                <w:color w:val="1A2B40"/>
                <w:sz w:val="21"/>
                <w:szCs w:val="21"/>
              </w:rPr>
              <w:t xml:space="preserve">Phase 4</w:t>
            </w:r>
          </w:p>
        </w:tc>
        <w:tc>
          <w:tcPr>
            <w:tcW w:type="pct" w:w="30%"/>
            <w:shd w:fill="FFFFFF" w:val="clear"/>
            <w:tcMar>
              <w:top w:type="dxa" w:w="60"/>
              <w:left w:type="dxa" w:w="120"/>
              <w:bottom w:type="dxa" w:w="60"/>
              <w:right w:type="dxa" w:w="120"/>
            </w:tcMar>
          </w:tcPr>
          <w:p>
            <w:pPr>
              <w:jc w:val="left"/>
            </w:pPr>
            <w:r>
              <w:rPr>
                <w:rFonts w:ascii="Times New Roman" w:eastAsia="Microsoft YaHei"/>
                <w:color w:val="1A2B40"/>
                <w:sz w:val="21"/>
                <w:szCs w:val="21"/>
              </w:rPr>
              <w:t xml:space="preserve">Panel regression with double-clustering</w:t>
            </w:r>
          </w:p>
        </w:tc>
        <w:tc>
          <w:tcPr>
            <w:tcW w:type="pct" w:w="28%"/>
            <w:shd w:fill="FFFFFF" w:val="clear"/>
            <w:tcMar>
              <w:top w:type="dxa" w:w="60"/>
              <w:left w:type="dxa" w:w="120"/>
              <w:bottom w:type="dxa" w:w="60"/>
              <w:right w:type="dxa" w:w="120"/>
            </w:tcMar>
          </w:tcPr>
          <w:p>
            <w:pPr>
              <w:jc w:val="left"/>
            </w:pPr>
            <w:r>
              <w:rPr>
                <w:rFonts w:ascii="Times New Roman" w:eastAsia="Microsoft YaHei"/>
                <w:color w:val="1A2B40"/>
                <w:sz w:val="21"/>
                <w:szCs w:val="21"/>
              </w:rPr>
              <w:t xml:space="preserve">—</w:t>
            </w:r>
          </w:p>
        </w:tc>
        <w:tc>
          <w:tcPr>
            <w:tcW w:type="pct" w:w="30%"/>
            <w:shd w:fill="FFFFFF" w:val="clear"/>
            <w:tcMar>
              <w:top w:type="dxa" w:w="60"/>
              <w:left w:type="dxa" w:w="120"/>
              <w:bottom w:type="dxa" w:w="60"/>
              <w:right w:type="dxa" w:w="120"/>
            </w:tcMar>
          </w:tcPr>
          <w:p>
            <w:pPr>
              <w:jc w:val="left"/>
            </w:pPr>
            <w:r>
              <w:rPr>
                <w:rFonts w:ascii="Times New Roman" w:eastAsia="Microsoft YaHei"/>
                <w:color w:val="1A2B40"/>
                <w:sz w:val="21"/>
                <w:szCs w:val="21"/>
              </w:rPr>
              <w:t xml:space="preserve">Efficient estimation</w:t>
            </w:r>
          </w:p>
        </w:tc>
      </w:tr>
    </w:tbl>
    <w:p>
      <w:pPr>
        <w:spacing w:after="160" w:before="60" w:line="312"/>
        <w:jc w:val="center"/>
      </w:pPr>
      <w:r>
        <w:rPr>
          <w:rFonts w:ascii="Times New Roman" w:eastAsia="Microsoft YaHei"/>
          <w:color w:val="4A6575"/>
          <w:sz w:val="21"/>
          <w:szCs w:val="21"/>
        </w:rPr>
        <w:t xml:space="preserve">Table 5: Upgrade Roadmap</w:t>
      </w:r>
    </w:p>
    <w:p>
      <w:pPr>
        <w:spacing w:after="80" w:line="312"/>
        <w:ind w:firstLine="480"/>
        <w:jc w:val="both"/>
      </w:pPr>
      <w:r>
        <w:rPr>
          <w:rFonts w:ascii="Times New Roman" w:eastAsia="Microsoft YaHei"/>
          <w:color w:val="1A2B40"/>
          <w:sz w:val="24"/>
          <w:szCs w:val="24"/>
        </w:rPr>
        <w:t xml:space="preserve">Phase 2 (WRDS integration) is the highest priority, as the crude surprise proxy is the single largest source of the gap between current results and literature benchmarks. The WRDS connector is already implemented and tested; activation requires institutional account credentials and Duo MFA enrollment.</w:t>
      </w:r>
    </w:p>
    <w:p>
      <w:pPr>
        <w:pStyle w:val="Heading1"/>
        <w:spacing w:after="160" w:before="360" w:line="312"/>
      </w:pPr>
      <w:bookmarkStart w:id="100033" w:name="_Toc100033"/>
      <w:r>
        <w:rPr>
          <w:rFonts w:ascii="Times New Roman" w:eastAsia="SimHei"/>
          <w:b/>
          <w:bCs/>
          <w:color w:val="0F2027"/>
          <w:sz w:val="32"/>
          <w:szCs w:val="32"/>
        </w:rPr>
        <w:t xml:space="preserve">References</w:t>
      </w:r>
      <w:bookmarkEnd w:id="100033"/>
    </w:p>
    <w:p>
      <w:pPr>
        <w:spacing w:after="80" w:line="312"/>
        <w:jc w:val="both"/>
      </w:pPr>
      <w:r>
        <w:rPr>
          <w:rFonts w:ascii="Times New Roman" w:eastAsia="Microsoft YaHei"/>
          <w:color w:val="1A2B40"/>
          <w:sz w:val="24"/>
          <w:szCs w:val="24"/>
        </w:rPr>
        <w:t xml:space="preserve">Boehmer, E., Musumeci, J., &amp; Poulsen, A. B. (1991). Event-study methodology under conditions of event-induced variance. Journal of Financial Economics, 30(2), 253–272.</w:t>
      </w:r>
    </w:p>
    <w:p>
      <w:pPr>
        <w:spacing w:after="80" w:line="312"/>
        <w:jc w:val="both"/>
      </w:pPr>
      <w:r>
        <w:rPr>
          <w:rFonts w:ascii="Times New Roman" w:eastAsia="Microsoft YaHei"/>
          <w:color w:val="1A2B40"/>
          <w:sz w:val="24"/>
          <w:szCs w:val="24"/>
        </w:rPr>
        <w:t xml:space="preserve">Gürkaynak, R. S., Sack, B., &amp; Swanson, E. (2005). The sensitivity of long-term interest rates to economic news: Evidence and implications for monetary policy. American Economic Review, 95(1), 425–436.</w:t>
      </w:r>
    </w:p>
    <w:p>
      <w:pPr>
        <w:spacing w:after="80" w:line="312"/>
        <w:jc w:val="both"/>
      </w:pPr>
      <w:r>
        <w:rPr>
          <w:rFonts w:ascii="Times New Roman" w:eastAsia="Microsoft YaHei"/>
          <w:color w:val="1A2B40"/>
          <w:sz w:val="24"/>
          <w:szCs w:val="24"/>
        </w:rPr>
        <w:t xml:space="preserve">Huang, A. H., Zang, A. Y., &amp; Zheng, R. (2022). FinBERT: A large language model for extracting information from financial text. Contemporary Accounting Research, 39(4), 2276–2310.</w:t>
      </w:r>
    </w:p>
    <w:p>
      <w:pPr>
        <w:spacing w:after="80" w:line="312"/>
        <w:jc w:val="both"/>
      </w:pPr>
      <w:r>
        <w:rPr>
          <w:rFonts w:ascii="Times New Roman" w:eastAsia="Microsoft YaHei"/>
          <w:color w:val="1A2B40"/>
          <w:sz w:val="24"/>
          <w:szCs w:val="24"/>
        </w:rPr>
        <w:t xml:space="preserve">Kuttner, K. N. (2001). Monetary policy surprises and interest rates: Evidence from the Fed funds futures market. Journal of Monetary Economics, 47(3), 523–544.</w:t>
      </w:r>
    </w:p>
    <w:p>
      <w:pPr>
        <w:spacing w:after="80" w:line="312"/>
        <w:jc w:val="both"/>
      </w:pPr>
      <w:r>
        <w:rPr>
          <w:rFonts w:ascii="Times New Roman" w:eastAsia="Microsoft YaHei"/>
          <w:color w:val="1A2B40"/>
          <w:sz w:val="24"/>
          <w:szCs w:val="24"/>
        </w:rPr>
        <w:t xml:space="preserve">Loughran, T., &amp; McDonald, B. (2011). When is a liability not a liability? Textual analysis, dictionaries, and 10-Ks. Journal of Finance, 66(1), 35–65.</w:t>
      </w:r>
    </w:p>
    <w:p>
      <w:pPr>
        <w:spacing w:after="80" w:line="312"/>
        <w:jc w:val="both"/>
      </w:pPr>
      <w:r>
        <w:rPr>
          <w:rFonts w:ascii="Times New Roman" w:eastAsia="Microsoft YaHei"/>
          <w:color w:val="1A2B40"/>
          <w:sz w:val="24"/>
          <w:szCs w:val="24"/>
        </w:rPr>
        <w:t xml:space="preserve">Patell, J. M. (1976). Corporate forecasts of earnings per share and stock price behavior: Empirical test. Journal of Accounting Research, 14(2), 246–276.</w:t>
      </w:r>
    </w:p>
    <w:p>
      <w:pPr>
        <w:spacing w:after="80" w:line="312"/>
        <w:jc w:val="both"/>
      </w:pPr>
      <w:r>
        <w:rPr>
          <w:rFonts w:ascii="Times New Roman" w:eastAsia="Microsoft YaHei"/>
          <w:color w:val="1A2B40"/>
          <w:sz w:val="24"/>
          <w:szCs w:val="24"/>
        </w:rPr>
        <w:t xml:space="preserve">Thompson, S. B. (2011). Simple formulas for standard errors that cluster by both firm and time. Journal of Financial Economics, 99(1), 1–10.</w:t>
      </w:r>
    </w:p>
    <w:sectPr>
      <w:headerReference w:type="default" r:id="rId8"/>
      <w:footerReference w:type="default" r:id="rId9"/>
      <w:pgSz w:w="11906" w:h="16838" w:orient="portrait"/>
      <w:pgMar w:top="1440" w:right="1417" w:bottom="1440"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A6575"/>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A657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olor w:val="4A6575"/>
        <w:sz w:val="18"/>
        <w:szCs w:val="18"/>
      </w:rPr>
      <w:t xml:space="preserve">Monetary Policy Lab — Computational Details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Microsoft YaHei"/>
        <w:color w:val="1A2B40"/>
        <w:sz w:val="24"/>
        <w:szCs w:val="24"/>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line="312"/>
      <w:outlineLvl w:val="0"/>
    </w:pPr>
    <w:rPr>
      <w:rFonts w:ascii="Times New Roman" w:eastAsia="SimHei"/>
      <w:b/>
      <w:bCs/>
      <w:color w:val="0F2027"/>
      <w:sz w:val="32"/>
      <w:szCs w:val="32"/>
    </w:rPr>
  </w:style>
  <w:style w:type="paragraph" w:styleId="Heading2">
    <w:name w:val="Heading 2"/>
    <w:basedOn w:val="Normal"/>
    <w:next w:val="Normal"/>
    <w:qFormat/>
    <w:pPr>
      <w:spacing w:after="120" w:before="280" w:line="312"/>
      <w:outlineLvl w:val="1"/>
    </w:pPr>
    <w:rPr>
      <w:rFonts w:ascii="Times New Roman" w:eastAsia="SimHei"/>
      <w:b/>
      <w:bCs/>
      <w:color w:val="0F2027"/>
      <w:sz w:val="28"/>
      <w:szCs w:val="28"/>
    </w:rPr>
  </w:style>
  <w:style w:type="paragraph" w:styleId="Heading3">
    <w:name w:val="Heading 3"/>
    <w:basedOn w:val="Normal"/>
    <w:next w:val="Normal"/>
    <w:qFormat/>
    <w:pPr>
      <w:spacing w:after="100" w:before="200" w:line="312"/>
      <w:outlineLvl w:val="2"/>
    </w:pPr>
    <w:rPr>
      <w:rFonts w:ascii="Times New Roman" w:eastAsia="SimHei"/>
      <w:b/>
      <w:bCs/>
      <w:color w:val="0F2027"/>
      <w:sz w:val="24"/>
      <w:szCs w:val="24"/>
    </w:rPr>
  </w:style>
  <w:style w:type="paragraph" w:styleId="Heading4">
    <w:pPr>
      <w:outlineLvl w:val="3"/>
    </w:pPr>
    <w:name w:val="Heading 4"/>
    <w:basedOn w:val="Normal"/>
    <w:next w:val="Normal"/>
    <w:qFormat/>
    <w:rPr>
      <w:i/>
      <w:iCs/>
      <w:color w:val="2E74B5"/>
    </w:rPr>
  </w:style>
  <w:style w:type="paragraph" w:styleId="Heading5">
    <w:pPr>
      <w:outlineLvl w:val="4"/>
    </w:pPr>
    <w:name w:val="Heading 5"/>
    <w:basedOn w:val="Normal"/>
    <w:next w:val="Normal"/>
    <w:qFormat/>
    <w:rPr>
      <w:color w:val="2E74B5"/>
    </w:rPr>
  </w:style>
  <w:style w:type="paragraph" w:styleId="Heading6">
    <w:pPr>
      <w:outlineLvl w:val="5"/>
    </w:pPr>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xmlns:w="http://schemas.openxmlformats.org/wordprocessingml/2006/main" w:type="paragraph" w:styleId="9">
    <w:name w:val="toc 1"/>
    <w:basedOn w:val="Normal"/>
    <w:uiPriority w:val="39"/>
    <w:pPr>
      <w:tabs>
        <w:tab w:val="right" w:leader="dot" w:pos="9026"/>
      </w:tabs>
      <w:spacing w:before="120" w:after="60"/>
    </w:pPr>
    <w:rPr>
      <w:b/>
      <w:bCs/>
    </w:rPr>
  </w:style>
  <w:style xmlns:w="http://schemas.openxmlformats.org/wordprocessingml/2006/main" w:type="paragraph" w:styleId="11">
    <w:name w:val="toc 2"/>
    <w:basedOn w:val="Normal"/>
    <w:uiPriority w:val="39"/>
    <w:pPr>
      <w:tabs>
        <w:tab w:val="right" w:leader="dot" w:pos="9026"/>
      </w:tabs>
      <w:ind w:left="360"/>
      <w:spacing w:before="60" w:after="40"/>
    </w:pPr>
  </w:style>
  <w:style xmlns:w="http://schemas.openxmlformats.org/wordprocessingml/2006/main" w:type="paragraph" w:styleId="12">
    <w:name w:val="toc 3"/>
    <w:basedOn w:val="Normal"/>
    <w:uiPriority w:val="39"/>
    <w:pPr>
      <w:tabs>
        <w:tab w:val="right" w:leader="dot" w:pos="9026"/>
      </w:tabs>
      <w:ind w:left="720"/>
      <w:spacing w:before="40" w:after="2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2026-05-25T09:46:55.810Z</dcterms:created>
  <dcterms:modified xsi:type="dcterms:W3CDTF">2026-05-25T09:46:55.810Z</dcterms:modified>
</cp:coreProperties>
</file>

<file path=docProps/custom.xml><?xml version="1.0" encoding="utf-8"?>
<Properties xmlns="http://schemas.openxmlformats.org/officeDocument/2006/custom-properties" xmlns:vt="http://schemas.openxmlformats.org/officeDocument/2006/docPropsVTypes"/>
</file>