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Words Beyond the Rate: FOMC Language as a Diagnostic of Monetary Policy Information</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FOMC statement and minutes language conveys information beyond the policy rate decision. Using a central bank sentiment dictionary and high-frequency monetary policy shocks from Gürkaynak, Sack, and Swanson (2005), we decompose FOMC communication into a target surprise and a forward guidance path factor across 117 meetings (2006–2022). The target shock significantly predicts sentiment (β = 0.000577, p = 0.017), while the path shock does not (p = 0.152), though a Wald test cannot reject equal effects (p = 0.90). In asset return regressions, the target shock significantly predicts equity and gold returns, with small-cap stocks responding more strongly. The forward guidance interaction is not robustly significant, but a regime analysis reveals that the path shock is highly significant during rate cut meetings (p &lt; 0.001, R² = 43.1%). Using rate changes instead of high-frequency shocks renders the sentiment relationship undetectable (p = 0.726), underscoring the importance of data quality.</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spacing w:after="120" w:lineRule="auto" w:line="276"/>
        <w:ind w:firstLine="720"/>
      </w:pPr>
      <w:r>
        <w:rPr>
          <w:rFonts w:ascii="Times New Roman" w:hAnsi="Times New Roman"/>
          <w:b/>
          <w:sz w:val="24"/>
        </w:rPr>
        <w:t>Acknowledgments</w:t>
      </w:r>
      <w:r>
        <w:rPr>
          <w:rFonts w:ascii="Times New Roman" w:hAnsi="Times New Roman"/>
          <w:b w:val="0"/>
          <w:i w:val="0"/>
          <w:sz w:val="24"/>
        </w:rPr>
        <w:t>: We thank [to be added] for helpful comments. All errors are our own.</w:t>
      </w:r>
    </w:p>
    <w:p>
      <w:pPr>
        <w:spacing w:after="120" w:lineRule="auto" w:line="276"/>
        <w:ind w:firstLine="720"/>
      </w:pPr>
      <w:r>
        <w:rPr>
          <w:rFonts w:ascii="Times New Roman" w:hAnsi="Times New Roman"/>
          <w:b/>
          <w:sz w:val="24"/>
        </w:rPr>
        <w:t>Declarations</w:t>
      </w:r>
      <w:r>
        <w:rPr>
          <w:rFonts w:ascii="Times New Roman" w:hAnsi="Times New Roman"/>
          <w:b w:val="0"/>
          <w:i w:val="0"/>
          <w:sz w:val="24"/>
        </w:rPr>
        <w:t>: The authors have no relevant financial or non-financial interests to disclose. No funding was received for this research. Data and code for replication are available at [GitHub repository to be added].</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pStyle w:val="Heading3"/>
      </w:pPr>
      <w:r>
        <w:t>2.4 Data Quality in Monetary Policy Event Studies</w:t>
      </w:r>
    </w:p>
    <w:p>
      <w:r>
        <w:t xml:space="preserve">An underappreciated issue in the literature is the quality of financial data used in event studies. Many papers rely on freely available data from sources such as Yahoo Finance (yfinance), which has known limitations: it does not adjust for delisting returns (a source of survivorship bias), does not consistently reinvest dividends, and may have data gaps for less liquid securities. These limitations are particularly consequential for equal-weighted portfolios, where small-cap stocks—which are more likely to be delisted—receive equal weight. Delisting returns average approximately −30% for NYSE and −55% for NASDAQ stocks (Shumway, 1997), making this a first-order concern for return calculations. CRSP (Center for Research in Security Prices), accessed through WRDS, provides the gold standard for U.S. equity data, with delisting-adjusted returns and comprehensive coverage. We use CRSP data for all primary analyses and report yfinance-based results only as a robustness comparison, finding that the yfinance coefficient is 34% smaller in magnitude than the CRSP coefficient, consistent with the attenuation bias predicted by classical measurement error.</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r>
        <w:t xml:space="preserve">    (1)</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jc w:val="center"/>
      </w:pPr>
      <w:r>
        <w:drawing>
          <wp:inline xmlns:a="http://schemas.openxmlformats.org/drawingml/2006/main" xmlns:pic="http://schemas.openxmlformats.org/drawingml/2006/picture">
            <wp:extent cx="4572000" cy="3799087"/>
            <wp:docPr id="1" name="Picture 1"/>
            <wp:cNvGraphicFramePr>
              <a:graphicFrameLocks noChangeAspect="1"/>
            </wp:cNvGraphicFramePr>
            <a:graphic>
              <a:graphicData uri="http://schemas.openxmlformats.org/drawingml/2006/picture">
                <pic:pic>
                  <pic:nvPicPr>
                    <pic:cNvPr id="0" name="fig1_sentiment_shocks.png"/>
                    <pic:cNvPicPr/>
                  </pic:nvPicPr>
                  <pic:blipFill>
                    <a:blip r:embed="rId10"/>
                    <a:stretch>
                      <a:fillRect/>
                    </a:stretch>
                  </pic:blipFill>
                  <pic:spPr>
                    <a:xfrm>
                      <a:off x="0" y="0"/>
                      <a:ext cx="4572000" cy="3799087"/>
                    </a:xfrm>
                    <a:prstGeom prst="rect"/>
                  </pic:spPr>
                </pic:pic>
              </a:graphicData>
            </a:graphic>
          </wp:inline>
        </w:drawing>
      </w:r>
    </w:p>
    <w:p>
      <w:pPr>
        <w:jc w:val="center"/>
      </w:pPr>
      <w:r>
        <w:rPr>
          <w:b/>
          <w:sz w:val="20"/>
        </w:rPr>
        <w:t>Figure 1: FOMC Statement Sentiment and Monetary Policy Shocks</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α + β₁ · Targetₜ + β₂ · Pathₜ + εₜ</w:t>
      </w:r>
      <w:r>
        <w:t xml:space="preserve">    (2)</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α + β₁ · Targetₜ + β₂ · Pathₜ + εₜ</w:t>
      </w:r>
      <w:r>
        <w:t xml:space="preserve">    (3)</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r>
        <w:t xml:space="preserve">    (4)</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α + β₁ · Targetₜ + β₂ · Pathₜ + β₃ · Sₜ + β₄ · (Sₜ × FGₜ) + εₜ</w:t>
      </w:r>
      <w:r>
        <w:t xml:space="preserve">    (5)</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jc w:val="center"/>
      </w:pPr>
      <w:r>
        <w:drawing>
          <wp:inline xmlns:a="http://schemas.openxmlformats.org/drawingml/2006/main" xmlns:pic="http://schemas.openxmlformats.org/drawingml/2006/picture">
            <wp:extent cx="4572000" cy="1877075"/>
            <wp:docPr id="2" name="Picture 2"/>
            <wp:cNvGraphicFramePr>
              <a:graphicFrameLocks noChangeAspect="1"/>
            </wp:cNvGraphicFramePr>
            <a:graphic>
              <a:graphicData uri="http://schemas.openxmlformats.org/drawingml/2006/picture">
                <pic:pic>
                  <pic:nvPicPr>
                    <pic:cNvPr id="0" name="fig2_h1_scatter.png"/>
                    <pic:cNvPicPr/>
                  </pic:nvPicPr>
                  <pic:blipFill>
                    <a:blip r:embed="rId11"/>
                    <a:stretch>
                      <a:fillRect/>
                    </a:stretch>
                  </pic:blipFill>
                  <pic:spPr>
                    <a:xfrm>
                      <a:off x="0" y="0"/>
                      <a:ext cx="4572000" cy="1877075"/>
                    </a:xfrm>
                    <a:prstGeom prst="rect"/>
                  </pic:spPr>
                </pic:pic>
              </a:graphicData>
            </a:graphic>
          </wp:inline>
        </w:drawing>
      </w:r>
    </w:p>
    <w:p>
      <w:pPr>
        <w:jc w:val="center"/>
      </w:pPr>
      <w:r>
        <w:rPr>
          <w:b/>
          <w:sz w:val="20"/>
        </w:rPr>
        <w:t>Figure 2: Sentiment vs. Target and Path Shocks</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jc w:val="center"/>
      </w:pPr>
      <w:r>
        <w:drawing>
          <wp:inline xmlns:a="http://schemas.openxmlformats.org/drawingml/2006/main" xmlns:pic="http://schemas.openxmlformats.org/drawingml/2006/picture">
            <wp:extent cx="4572000" cy="3801655"/>
            <wp:docPr id="3" name="Picture 3"/>
            <wp:cNvGraphicFramePr>
              <a:graphicFrameLocks noChangeAspect="1"/>
            </wp:cNvGraphicFramePr>
            <a:graphic>
              <a:graphicData uri="http://schemas.openxmlformats.org/drawingml/2006/picture">
                <pic:pic>
                  <pic:nvPicPr>
                    <pic:cNvPr id="0" name="fig3_h2_returns.png"/>
                    <pic:cNvPicPr/>
                  </pic:nvPicPr>
                  <pic:blipFill>
                    <a:blip r:embed="rId12"/>
                    <a:stretch>
                      <a:fillRect/>
                    </a:stretch>
                  </pic:blipFill>
                  <pic:spPr>
                    <a:xfrm>
                      <a:off x="0" y="0"/>
                      <a:ext cx="4572000" cy="3801655"/>
                    </a:xfrm>
                    <a:prstGeom prst="rect"/>
                  </pic:spPr>
                </pic:pic>
              </a:graphicData>
            </a:graphic>
          </wp:inline>
        </w:drawing>
      </w:r>
    </w:p>
    <w:p>
      <w:pPr>
        <w:jc w:val="center"/>
      </w:pPr>
      <w:r>
        <w:rPr>
          <w:b/>
          <w:sz w:val="20"/>
        </w:rPr>
        <w:t>Figure 3: Asset Returns and Monetary Policy Shocks</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p>
            <w:r>
              <w:t>Asset</w:t>
            </w:r>
          </w:p>
        </w:tc>
        <w:tc>
          <w:p>
            <w:r>
              <w:t>β_T</w:t>
            </w:r>
          </w:p>
        </w:tc>
        <w:tc>
          <w:p>
            <w:r>
              <w:t>t</w:t>
            </w:r>
          </w:p>
        </w:tc>
        <w:tc>
          <w:p>
            <w:r>
              <w:t>β_P</w:t>
            </w:r>
          </w:p>
        </w:tc>
        <w:tc>
          <w:p>
            <w:r>
              <w:t>t</w:t>
            </w:r>
          </w:p>
        </w:tc>
        <w:tc>
          <w:p>
            <w:r>
              <w:t>R²</w:t>
            </w:r>
          </w:p>
        </w:tc>
        <w:tc>
          <w:p>
            <w:r>
              <w:t>N</w:t>
            </w:r>
          </w:p>
        </w:tc>
      </w:tr>
      <w:tr>
        <w:tc>
          <w:p>
            <w:r>
              <w:t>CRSP VW</w:t>
            </w:r>
          </w:p>
        </w:tc>
        <w:tc>
          <w:p>
            <w:r>
              <w:t>-0.435**</w:t>
            </w:r>
          </w:p>
        </w:tc>
        <w:tc>
          <w:p>
            <w:r>
              <w:t>-2.05</w:t>
            </w:r>
          </w:p>
        </w:tc>
        <w:tc>
          <w:p>
            <w:r>
              <w:t>-0.186</w:t>
            </w:r>
          </w:p>
        </w:tc>
        <w:tc>
          <w:p>
            <w:r>
              <w:t>-0.77</w:t>
            </w:r>
          </w:p>
        </w:tc>
        <w:tc>
          <w:p>
            <w:r>
              <w:t>9.1%</w:t>
            </w:r>
          </w:p>
        </w:tc>
        <w:tc>
          <w:p>
            <w:r>
              <w:t>117</w:t>
            </w:r>
          </w:p>
        </w:tc>
      </w:tr>
      <w:tr>
        <w:tc>
          <w:p>
            <w:r>
              <w:t>CRSP EW</w:t>
            </w:r>
          </w:p>
        </w:tc>
        <w:tc>
          <w:p>
            <w:r>
              <w:t>-0.449**</w:t>
            </w:r>
          </w:p>
        </w:tc>
        <w:tc>
          <w:p>
            <w:r>
              <w:t>-2.53</w:t>
            </w:r>
          </w:p>
        </w:tc>
        <w:tc>
          <w:p>
            <w:r>
              <w:t>-0.174</w:t>
            </w:r>
          </w:p>
        </w:tc>
        <w:tc>
          <w:p>
            <w:r>
              <w:t>-0.71</w:t>
            </w:r>
          </w:p>
        </w:tc>
        <w:tc>
          <w:p>
            <w:r>
              <w:t>10.3%</w:t>
            </w:r>
          </w:p>
        </w:tc>
        <w:tc>
          <w:p>
            <w:r>
              <w:t>117</w:t>
            </w:r>
          </w:p>
        </w:tc>
      </w:tr>
      <w:tr>
        <w:tc>
          <w:p>
            <w:r>
              <w:t>S&amp;P 500</w:t>
            </w:r>
          </w:p>
        </w:tc>
        <w:tc>
          <w:p>
            <w:r>
              <w:t>-0.391*</w:t>
            </w:r>
          </w:p>
        </w:tc>
        <w:tc>
          <w:p>
            <w:r>
              <w:t>-1.80</w:t>
            </w:r>
          </w:p>
        </w:tc>
        <w:tc>
          <w:p>
            <w:r>
              <w:t>-0.179</w:t>
            </w:r>
          </w:p>
        </w:tc>
        <w:tc>
          <w:p>
            <w:r>
              <w:t>-0.80</w:t>
            </w:r>
          </w:p>
        </w:tc>
        <w:tc>
          <w:p>
            <w:r>
              <w:t>7.8%</w:t>
            </w:r>
          </w:p>
        </w:tc>
        <w:tc>
          <w:p>
            <w:r>
              <w:t>117</w:t>
            </w:r>
          </w:p>
        </w:tc>
      </w:tr>
      <w:tr>
        <w:tc>
          <w:p>
            <w:r>
              <w:t>NASDAQ</w:t>
            </w:r>
          </w:p>
        </w:tc>
        <w:tc>
          <w:p>
            <w:r>
              <w:t>-0.282**</w:t>
            </w:r>
          </w:p>
        </w:tc>
        <w:tc>
          <w:p>
            <w:r>
              <w:t>-2.09</w:t>
            </w:r>
          </w:p>
        </w:tc>
        <w:tc>
          <w:p>
            <w:r>
              <w:t>-0.166</w:t>
            </w:r>
          </w:p>
        </w:tc>
        <w:tc>
          <w:p>
            <w:r>
              <w:t>-1.02</w:t>
            </w:r>
          </w:p>
        </w:tc>
        <w:tc>
          <w:p>
            <w:r>
              <w:t>3.4%</w:t>
            </w:r>
          </w:p>
        </w:tc>
        <w:tc>
          <w:p>
            <w:r>
              <w:t>117</w:t>
            </w:r>
          </w:p>
        </w:tc>
      </w:tr>
      <w:tr>
        <w:tc>
          <w:p>
            <w:r>
              <w:t>Gold</w:t>
            </w:r>
          </w:p>
        </w:tc>
        <w:tc>
          <w:p>
            <w:r>
              <w:t>-0.404**</w:t>
            </w:r>
          </w:p>
        </w:tc>
        <w:tc>
          <w:p>
            <w:r>
              <w:t>-2.46</w:t>
            </w:r>
          </w:p>
        </w:tc>
        <w:tc>
          <w:p>
            <w:r>
              <w:t>-0.488</w:t>
            </w:r>
          </w:p>
        </w:tc>
        <w:tc>
          <w:p>
            <w:r>
              <w:t>-1.45</w:t>
            </w:r>
          </w:p>
        </w:tc>
        <w:tc>
          <w:p>
            <w:r>
              <w:t>7.0%</w:t>
            </w:r>
          </w:p>
        </w:tc>
        <w:tc>
          <w:p>
            <w:r>
              <w:t>117</w:t>
            </w:r>
          </w:p>
        </w:tc>
      </w:tr>
      <w:tr>
        <w:tc>
          <w:p>
            <w:r>
              <w:t>10Y Treasury</w:t>
            </w:r>
          </w:p>
        </w:tc>
        <w:tc>
          <w:p>
            <w:r>
              <w:t>0.007</w:t>
            </w:r>
          </w:p>
        </w:tc>
        <w:tc>
          <w:p>
            <w:r>
              <w:t>0.84</w:t>
            </w:r>
          </w:p>
        </w:tc>
        <w:tc>
          <w:p>
            <w:r>
              <w:t>-0.001</w:t>
            </w:r>
          </w:p>
        </w:tc>
        <w:tc>
          <w:p>
            <w:r>
              <w:t>-0.14</w:t>
            </w:r>
          </w:p>
        </w:tc>
        <w:tc>
          <w:p>
            <w:r>
              <w:t>0.7%</w:t>
            </w:r>
          </w:p>
        </w:tc>
        <w:tc>
          <w:p>
            <w:r>
              <w:t>117</w:t>
            </w:r>
          </w:p>
        </w:tc>
      </w:tr>
      <w:tr>
        <w:tc>
          <w:p>
            <w:r>
              <w:t>13W T-bill</w:t>
            </w:r>
          </w:p>
        </w:tc>
        <w:tc>
          <w:p>
            <w:r>
              <w:t>0.004</w:t>
            </w:r>
          </w:p>
        </w:tc>
        <w:tc>
          <w:p>
            <w:r>
              <w:t>0.69</w:t>
            </w:r>
          </w:p>
        </w:tc>
        <w:tc>
          <w:p>
            <w:r>
              <w:t>-0.003</w:t>
            </w:r>
          </w:p>
        </w:tc>
        <w:tc>
          <w:p>
            <w:r>
              <w:t>-0.34</w:t>
            </w:r>
          </w:p>
        </w:tc>
        <w:tc>
          <w:p>
            <w:r>
              <w:t>0.7%</w:t>
            </w:r>
          </w:p>
        </w:tc>
        <w:tc>
          <w:p>
            <w:r>
              <w:t>117</w:t>
            </w:r>
          </w:p>
        </w:tc>
      </w:tr>
      <w:tr>
        <w:tc>
          <w:p>
            <w:r>
              <w:t>VIX</w:t>
            </w:r>
          </w:p>
        </w:tc>
        <w:tc>
          <w:p>
            <w:r>
              <w:t>-2.450</w:t>
            </w:r>
          </w:p>
        </w:tc>
        <w:tc>
          <w:p>
            <w:r>
              <w:t>-1.61</w:t>
            </w:r>
          </w:p>
        </w:tc>
        <w:tc>
          <w:p>
            <w:r>
              <w:t>-1.517</w:t>
            </w:r>
          </w:p>
        </w:tc>
        <w:tc>
          <w:p>
            <w:r>
              <w:t>-0.93</w:t>
            </w:r>
          </w:p>
        </w:tc>
        <w:tc>
          <w:p>
            <w:r>
              <w:t>7.9%</w:t>
            </w:r>
          </w:p>
        </w:tc>
        <w:tc>
          <w:p>
            <w: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jc w:val="center"/>
      </w:pPr>
      <w:r>
        <w:drawing>
          <wp:inline xmlns:a="http://schemas.openxmlformats.org/drawingml/2006/main" xmlns:pic="http://schemas.openxmlformats.org/drawingml/2006/picture">
            <wp:extent cx="4572000" cy="1870130"/>
            <wp:docPr id="4" name="Picture 4"/>
            <wp:cNvGraphicFramePr>
              <a:graphicFrameLocks noChangeAspect="1"/>
            </wp:cNvGraphicFramePr>
            <a:graphic>
              <a:graphicData uri="http://schemas.openxmlformats.org/drawingml/2006/picture">
                <pic:pic>
                  <pic:nvPicPr>
                    <pic:cNvPr id="0" name="fig5_comparison.png"/>
                    <pic:cNvPicPr/>
                  </pic:nvPicPr>
                  <pic:blipFill>
                    <a:blip r:embed="rId13"/>
                    <a:stretch>
                      <a:fillRect/>
                    </a:stretch>
                  </pic:blipFill>
                  <pic:spPr>
                    <a:xfrm>
                      <a:off x="0" y="0"/>
                      <a:ext cx="4572000" cy="1870130"/>
                    </a:xfrm>
                    <a:prstGeom prst="rect"/>
                  </pic:spPr>
                </pic:pic>
              </a:graphicData>
            </a:graphic>
          </wp:inline>
        </w:drawing>
      </w:r>
    </w:p>
    <w:p>
      <w:pPr>
        <w:jc w:val="center"/>
      </w:pPr>
      <w:r>
        <w:rPr>
          <w:b/>
          <w:sz w:val="20"/>
        </w:rPr>
        <w:t>Figure 4: Sentiment Measure Comparison</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r>
    </w:p>
    <w:p>
      <w:pPr>
        <w:jc w:val="center"/>
      </w:pPr>
      <w:r>
        <w:drawing>
          <wp:inline xmlns:a="http://schemas.openxmlformats.org/drawingml/2006/main" xmlns:pic="http://schemas.openxmlformats.org/drawingml/2006/picture">
            <wp:extent cx="4572000" cy="2829179"/>
            <wp:docPr id="5" name="Picture 5"/>
            <wp:cNvGraphicFramePr>
              <a:graphicFrameLocks noChangeAspect="1"/>
            </wp:cNvGraphicFramePr>
            <a:graphic>
              <a:graphicData uri="http://schemas.openxmlformats.org/drawingml/2006/picture">
                <pic:pic>
                  <pic:nvPicPr>
                    <pic:cNvPr id="0" name="fig7_sentiment_by_regime.png"/>
                    <pic:cNvPicPr/>
                  </pic:nvPicPr>
                  <pic:blipFill>
                    <a:blip r:embed="rId14"/>
                    <a:stretch>
                      <a:fillRect/>
                    </a:stretch>
                  </pic:blipFill>
                  <pic:spPr>
                    <a:xfrm>
                      <a:off x="0" y="0"/>
                      <a:ext cx="4572000" cy="2829179"/>
                    </a:xfrm>
                    <a:prstGeom prst="rect"/>
                  </pic:spPr>
                </pic:pic>
              </a:graphicData>
            </a:graphic>
          </wp:inline>
        </w:drawing>
      </w:r>
    </w:p>
    <w:p>
      <w:pPr>
        <w:jc w:val="center"/>
      </w:pPr>
      <w:r>
        <w:rPr>
          <w:b/>
          <w:sz w:val="20"/>
        </w:rPr>
        <w:t>Figure 5: Sentiment by Decision Type</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Regime-Dependent Effects: The Rate Cut Anomaly</w:t>
      </w:r>
    </w:p>
    <w:p>
      <w:pPr>
        <w:spacing w:after="120" w:lineRule="auto" w:line="276"/>
        <w:ind w:firstLine="720"/>
      </w:pPr>
      <w:r>
        <w:rPr>
          <w:rFonts w:ascii="Times New Roman" w:hAnsi="Times New Roman"/>
          <w:b w:val="0"/>
          <w:i w:val="0"/>
          <w:sz w:val="24"/>
        </w:rPr>
        <w:t>The null forward guidance interaction in Table 5 masks a striking regime-dependent pattern. When we estimate the H1 regression separately by decision type, the results differ dramatically across regimes:</w:t>
      </w:r>
    </w:p>
    <w:p>
      <w:pPr>
        <w:spacing w:after="120" w:lineRule="auto" w:line="276"/>
        <w:ind w:firstLine="720"/>
      </w:pPr>
      <w:r>
        <w:rPr>
          <w:rFonts w:ascii="Times New Roman" w:hAnsi="Times New Roman"/>
          <w:b/>
          <w:sz w:val="24"/>
        </w:rPr>
        <w:t>Table 6: Sentiment Regressions by Decision Type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(&lt;0.001)</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60"/>
      </w:pPr>
      <w:r>
        <w:rPr>
          <w:rFonts w:ascii="Times New Roman" w:hAnsi="Times New Roman"/>
          <w:b w:val="0"/>
          <w:i/>
          <w:sz w:val="20"/>
        </w:rPr>
        <w:t>Note: Newey-West HAC(4) standard errors. Dependent variable: combined sentiment score.</w:t>
      </w:r>
    </w:p>
    <w:p>
      <w:pPr>
        <w:spacing w:after="120" w:lineRule="auto" w:line="276"/>
        <w:ind w:firstLine="720"/>
      </w:pPr>
      <w:r>
        <w:rPr>
          <w:rFonts w:ascii="Times New Roman" w:hAnsi="Times New Roman"/>
          <w:b w:val="0"/>
          <w:i w:val="0"/>
          <w:sz w:val="24"/>
        </w:rPr>
        <w:t>The rate cut regime produces the strongest result in the entire paper: the path shock is highly significant (p &lt; 0.001) and the R² is 43.1%, compared to 1.57% for the full sample. This is a 27-fold increase in explanatory power. The mechanism is intuitive: when the Fed is cutting rates, the path shock captures the expected trajectory of future cuts, and the statement language directly reflects this forward guidance. The target shock, by contrast, is only marginally significant (p = 0.089) in the rate cut regime, suggesting that the current decision is less informative than the expected future path when the Fed is easing.</w:t>
      </w:r>
    </w:p>
    <w:p>
      <w:pPr>
        <w:spacing w:after="120" w:lineRule="auto" w:line="276"/>
        <w:ind w:firstLine="720"/>
      </w:pPr>
      <w:r>
        <w:rPr>
          <w:rFonts w:ascii="Times New Roman" w:hAnsi="Times New Roman"/>
          <w:b w:val="0"/>
          <w:i w:val="0"/>
          <w:sz w:val="24"/>
        </w:rPr>
        <w:t>During rate hike meetings, the pattern reverses: the target shock dominates (p = 0.013) while the path shock is insignificant (p = 0.298). This is consistent with the view that rate hikes are primarily about the current decision, with less forward guidance content. When rates are unchanged — the majority of meetings — neither shock is significant at the 5% level, reflecting the low information content of meetings where no policy change occurs.</w:t>
      </w:r>
    </w:p>
    <w:p>
      <w:pPr>
        <w:spacing w:after="120" w:lineRule="auto" w:line="276"/>
        <w:ind w:firstLine="720"/>
      </w:pPr>
      <w:r>
        <w:rPr>
          <w:rFonts w:ascii="Times New Roman" w:hAnsi="Times New Roman"/>
          <w:b w:val="0"/>
          <w:i w:val="0"/>
          <w:sz w:val="24"/>
        </w:rPr>
        <w:t>This regime-dependent finding has important implications for the information channel hypothesis. The full-sample result — target shock significant, path shock not — is an average across regimes with very different dynamics. The rate cut regime provides strong evidence that forward guidance language is responsive to the path shock, supporting the information channel. The rate hike regime supports the alternative view that the current decision dominates. The full-sample result obscures this heterogeneity.</w:t>
      </w:r>
    </w:p>
    <w:p>
      <w:pPr>
        <w:pStyle w:val="Heading2"/>
      </w:pPr>
      <w:r>
        <w:t>5.8 Economic Significance</w:t>
      </w:r>
    </w:p>
    <w:p>
      <w:pPr>
        <w:jc w:val="center"/>
      </w:pPr>
      <w:r>
        <w:drawing>
          <wp:inline xmlns:a="http://schemas.openxmlformats.org/drawingml/2006/main" xmlns:pic="http://schemas.openxmlformats.org/drawingml/2006/picture">
            <wp:extent cx="4572000" cy="4158381"/>
            <wp:docPr id="6" name="Picture 6"/>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4572000" cy="4158381"/>
                    </a:xfrm>
                    <a:prstGeom prst="rect"/>
                  </pic:spPr>
                </pic:pic>
              </a:graphicData>
            </a:graphic>
          </wp:inline>
        </w:drawing>
      </w:r>
    </w:p>
    <w:p>
      <w:pPr>
        <w:jc w:val="center"/>
      </w:pPr>
      <w:r>
        <w:rPr>
          <w:b/>
          <w:sz w:val="20"/>
        </w:rPr>
        <w:t>Figure 6: Correlation Heatmap</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5.9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A2 compares the regression results using three different sentiment measures.</w:t>
      </w:r>
    </w:p>
    <w:p>
      <w:pPr>
        <w:jc w:val="center"/>
      </w:pPr>
      <w:r>
        <w:rPr>
          <w:b/>
        </w:rPr>
        <w:t>Table 7: Sentiment Dictionary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jc w:val="center"/>
      </w:pPr>
      <w:r>
        <w:drawing>
          <wp:inline xmlns:a="http://schemas.openxmlformats.org/drawingml/2006/main" xmlns:pic="http://schemas.openxmlformats.org/drawingml/2006/picture">
            <wp:extent cx="4572000" cy="2827243"/>
            <wp:docPr id="7" name="Picture 7"/>
            <wp:cNvGraphicFramePr>
              <a:graphicFrameLocks noChangeAspect="1"/>
            </wp:cNvGraphicFramePr>
            <a:graphic>
              <a:graphicData uri="http://schemas.openxmlformats.org/drawingml/2006/picture">
                <pic:pic>
                  <pic:nvPicPr>
                    <pic:cNvPr id="0" name="fig10_version_comparison.png"/>
                    <pic:cNvPicPr/>
                  </pic:nvPicPr>
                  <pic:blipFill>
                    <a:blip r:embed="rId16"/>
                    <a:stretch>
                      <a:fillRect/>
                    </a:stretch>
                  </pic:blipFill>
                  <pic:spPr>
                    <a:xfrm>
                      <a:off x="0" y="0"/>
                      <a:ext cx="4572000" cy="2827243"/>
                    </a:xfrm>
                    <a:prstGeom prst="rect"/>
                  </pic:spPr>
                </pic:pic>
              </a:graphicData>
            </a:graphic>
          </wp:inline>
        </w:drawing>
      </w:r>
    </w:p>
    <w:p>
      <w:pPr>
        <w:jc w:val="center"/>
      </w:pPr>
      <w:r>
        <w:rPr>
          <w:b/>
          <w:sz w:val="20"/>
        </w:rPr>
        <w:t>Figure 7: Data Source Comparison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Chair Fixed Effects</w:t>
      </w:r>
    </w:p>
    <w:p>
      <w:pPr>
        <w:spacing w:after="120" w:lineRule="auto" w:line="276"/>
        <w:ind w:firstLine="720"/>
      </w:pPr>
      <w:r>
        <w:rPr>
          <w:rFonts w:ascii="Times New Roman" w:hAnsi="Times New Roman"/>
          <w:b w:val="0"/>
          <w:i w:val="0"/>
          <w:sz w:val="24"/>
        </w:rPr>
        <w:t>To control for systematic differences in statement language across Fed chairs, we include chair fixed effects (Yellen and Powell dummies, with Bernanke as the reference category) in the H1 regression. The results show that the Powell dummy is significant (β = 0.0067, p = 0.023), indicating that Powell-era statements have systematically higher sentiment scores, while the Yellen dummy is not significant (β = 0.0004, p = 0.552). Importantly, the target shock becomes insignificant (p = 0.471) once chair fixed effects are included, suggesting that the cross-chair variation in sentiment partially absorbs the target shock effect. The R² increases from 1.57% to 27.08%, confirming that chair identity explains a large fraction of sentiment variation.</w:t>
      </w:r>
    </w:p>
    <w:p>
      <w:pPr>
        <w:spacing w:after="120" w:lineRule="auto" w:line="276"/>
        <w:ind w:firstLine="720"/>
      </w:pPr>
      <w:r>
        <w:rPr>
          <w:rFonts w:ascii="Times New Roman" w:hAnsi="Times New Roman"/>
          <w:b w:val="0"/>
          <w:i w:val="0"/>
          <w:sz w:val="24"/>
        </w:rPr>
        <w:t>For the H2 regression (CRSP VW returns), the target shock remains significant (p = 0.043) even with chair fixed effects, and neither chair dummy is significant. This suggests that the target shock effect on asset returns is not driven by chair-specific factors, while the sentiment effect is partially mediated by the chair's communication style.</w:t>
      </w:r>
    </w:p>
    <w:p>
      <w:pPr>
        <w:pStyle w:val="Heading2"/>
      </w:pPr>
      <w:r>
        <w:t>6.14 Term Spread Response</w:t>
      </w:r>
    </w:p>
    <w:p>
      <w:pPr>
        <w:spacing w:after="120" w:lineRule="auto" w:line="276"/>
        <w:ind w:firstLine="720"/>
      </w:pPr>
      <w:r>
        <w:rPr>
          <w:rFonts w:ascii="Times New Roman" w:hAnsi="Times New Roman"/>
          <w:b w:val="0"/>
          <w:i w:val="0"/>
          <w:sz w:val="24"/>
        </w:rPr>
        <w:t>We also examine the response of the term spread (10-year minus 3-month Treasury yield) to monetary policy shocks. Neither the target shock (p = 0.667) nor the path shock (p = 0.341) significantly predicts changes in the term spread, with an R² of only 1.39%. This null result is consistent with the fixed income results in Table 4 and reflects the same measurement issue: daily-frequency data dilute the high-frequency announcement effect. The term spread response is better captured by intraday data, as Gürkaynak et al. (2005b) demonstrate.</w:t>
      </w:r>
    </w:p>
    <w:p>
      <w:pPr>
        <w:pStyle w:val="Heading2"/>
      </w:pPr>
      <w:r>
        <w:t>6.15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6.16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6.17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α + ρ · Sₜ₋₁ + β₁ · Targetₜ + β₂ · Pathₜ + εₜ</w:t>
      </w:r>
      <w:r>
        <w:t xml:space="preserve">    (6)</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is no longer significant at conventional levels (β₁ = 0.000609, p = 0.105), while the path shock becomes significant (β₂ = −0.000854, p = 0.034). The R² increases to 70.3%, reflecting the strong explanatory power of the lagged dependent variable. The key finding — target shock insignificance, path shock 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6.18 Subsample Analysis: Pre-Crisis, Crisis, and Post-Crisis</w:t>
      </w:r>
    </w:p>
    <w:p>
      <w:pPr>
        <w:pStyle w:val="Heading2"/>
      </w:pPr>
      <w:r>
        <w:t>6.19 FOMC Minutes: Delayed Information and Deliberation Quality</w:t>
      </w:r>
    </w:p>
    <w:p>
      <w:r>
        <w:t>A natural question is whether the information content of FOMC language extends beyond the immediate post-meeting statement to the detailed minutes released approximately three weeks later. The FOMC minutes provide a substantially richer textual signal—averaging 8,314 words compared to 1,470 for statements—and reflect the Committee's deliberative process rather than its immediate policy communication.</w:t>
      </w:r>
    </w:p>
    <w:p>
      <w:r>
        <w:t>We compute LM and CB sentiment scores for all 117 FOMC minutes in our sample using the same dictionaries applied to the statements. The correlation between statement and minutes sentiment is moderate for the LM dictionary (r = 0.33) but negative for the CB dictionary (r = 0.35), suggesting that the deliberative tone captured in minutes differs systematically from the communicative tone of statements.</w:t>
      </w:r>
    </w:p>
    <w:p>
      <w:r/>
    </w:p>
    <w:p>
      <w:r>
        <w:t>A striking result emerges when we include minutes sentiment as a predictor of statement sentiment (Model 4): the minutes LM score is highly significant (β = 0.254, p = 0.003), and the R² increases from 1.57% to 6.06%. This suggests that minutes sentiment—reflecting the Committee's deliberative assessment—captures information that also drives the more concise statement language, but with greater statistical power due to the richer textual signal.</w:t>
      </w:r>
    </w:p>
    <w:p>
      <w:r>
        <w:t>The forward guidance interaction is particularly strong for minutes CB sentiment (Model 5): the path shock is significant at 5% (p = 0.024), and the CB × FG interaction is highly significant (p &lt; 0.001) with an R² of 53.1%. This indicates that during the forward guidance period, the deliberative tone of FOMC minutes was strongly influenced by expectations about the future policy path—a finding consistent with the view that forward guidance fundamentally changed the nature of FOMC deliberations (Campbell et al., 2012; Swanson, 2024).</w:t>
      </w:r>
    </w:p>
    <w:p>
      <w:r>
        <w:t xml:space="preserve">These results contribute to the literature on FOMC communication transparency (Hansen, McMahon, and Prat, 2018) by showing that the information content of FOMC language is not limited to the immediate statement but extends to the deliberative record. The negative correlation between statement and minutes CB sentiment suggests that the Committee's communicative stance (statement) and its deliberative assessment (minutes) may serve different functions: the statement signals immediate policy direction, while the minutes reveal the underlying reasoning and areas of disagreement.</w:t>
      </w:r>
    </w:p>
    <w:p>
      <w:r>
        <w:rPr>
          <w:b/>
        </w:rPr>
        <w:t>Table 8: FOMC Minutes Sentiment and Monetary Policy Shocks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β_T</w:t>
            </w:r>
          </w:p>
        </w:tc>
        <w:tc>
          <w:tcPr>
            <w:tcW w:type="dxa" w:w="1440"/>
          </w:tcPr>
          <w:p>
            <w:r>
              <w:t>p_T</w:t>
            </w:r>
          </w:p>
        </w:tc>
        <w:tc>
          <w:tcPr>
            <w:tcW w:type="dxa" w:w="1440"/>
          </w:tcPr>
          <w:p>
            <w:r>
              <w:t>β_P</w:t>
            </w:r>
          </w:p>
        </w:tc>
        <w:tc>
          <w:tcPr>
            <w:tcW w:type="dxa" w:w="1440"/>
          </w:tcPr>
          <w:p>
            <w:r>
              <w:t>p_P</w:t>
            </w:r>
          </w:p>
        </w:tc>
        <w:tc>
          <w:tcPr>
            <w:tcW w:type="dxa" w:w="1440"/>
          </w:tcPr>
          <w:p>
            <w:r>
              <w:t>R²</w:t>
            </w:r>
          </w:p>
        </w:tc>
      </w:tr>
      <w:tr>
        <w:tc>
          <w:tcPr>
            <w:tcW w:type="dxa" w:w="1440"/>
          </w:tcPr>
          <w:p>
            <w:r>
              <w:t>Statement ~ Shocks</w:t>
            </w:r>
          </w:p>
        </w:tc>
        <w:tc>
          <w:tcPr>
            <w:tcW w:type="dxa" w:w="1440"/>
          </w:tcPr>
          <w:p>
            <w:r>
              <w:t>0.000577**</w:t>
            </w:r>
          </w:p>
        </w:tc>
        <w:tc>
          <w:tcPr>
            <w:tcW w:type="dxa" w:w="1440"/>
          </w:tcPr>
          <w:p>
            <w:r>
              <w:t>0.017</w:t>
            </w:r>
          </w:p>
        </w:tc>
        <w:tc>
          <w:tcPr>
            <w:tcW w:type="dxa" w:w="1440"/>
          </w:tcPr>
          <w:p>
            <w:r>
              <w:t>0.000633</w:t>
            </w:r>
          </w:p>
        </w:tc>
        <w:tc>
          <w:tcPr>
            <w:tcW w:type="dxa" w:w="1440"/>
          </w:tcPr>
          <w:p>
            <w:r>
              <w:t>0.152</w:t>
            </w:r>
          </w:p>
        </w:tc>
        <w:tc>
          <w:tcPr>
            <w:tcW w:type="dxa" w:w="1440"/>
          </w:tcPr>
          <w:p>
            <w:r>
              <w:t>1.57%</w:t>
            </w:r>
          </w:p>
        </w:tc>
      </w:tr>
      <w:tr>
        <w:tc>
          <w:tcPr>
            <w:tcW w:type="dxa" w:w="1440"/>
          </w:tcPr>
          <w:p>
            <w:r>
              <w:t>Minutes LM ~ Shocks</w:t>
            </w:r>
          </w:p>
        </w:tc>
        <w:tc>
          <w:tcPr>
            <w:tcW w:type="dxa" w:w="1440"/>
          </w:tcPr>
          <w:p>
            <w:r>
              <w:t>0.000923*</w:t>
            </w:r>
          </w:p>
        </w:tc>
        <w:tc>
          <w:tcPr>
            <w:tcW w:type="dxa" w:w="1440"/>
          </w:tcPr>
          <w:p>
            <w:r>
              <w:t>0.083</w:t>
            </w:r>
          </w:p>
        </w:tc>
        <w:tc>
          <w:tcPr>
            <w:tcW w:type="dxa" w:w="1440"/>
          </w:tcPr>
          <w:p>
            <w:r>
              <w:t>0.001051</w:t>
            </w:r>
          </w:p>
        </w:tc>
        <w:tc>
          <w:tcPr>
            <w:tcW w:type="dxa" w:w="1440"/>
          </w:tcPr>
          <w:p>
            <w:r>
              <w:t>0.324</w:t>
            </w:r>
          </w:p>
        </w:tc>
        <w:tc>
          <w:tcPr>
            <w:tcW w:type="dxa" w:w="1440"/>
          </w:tcPr>
          <w:p>
            <w:r>
              <w:t>3.67%</w:t>
            </w:r>
          </w:p>
        </w:tc>
      </w:tr>
      <w:tr>
        <w:tc>
          <w:tcPr>
            <w:tcW w:type="dxa" w:w="1440"/>
          </w:tcPr>
          <w:p>
            <w:r>
              <w:t>Minutes CB ~ Shocks</w:t>
            </w:r>
          </w:p>
        </w:tc>
        <w:tc>
          <w:tcPr>
            <w:tcW w:type="dxa" w:w="1440"/>
          </w:tcPr>
          <w:p>
            <w:r>
              <w:t>−0.000617</w:t>
            </w:r>
          </w:p>
        </w:tc>
        <w:tc>
          <w:tcPr>
            <w:tcW w:type="dxa" w:w="1440"/>
          </w:tcPr>
          <w:p>
            <w:r>
              <w:t>0.716</w:t>
            </w:r>
          </w:p>
        </w:tc>
        <w:tc>
          <w:tcPr>
            <w:tcW w:type="dxa" w:w="1440"/>
          </w:tcPr>
          <w:p>
            <w:r>
              <w:t>0.002876*</w:t>
            </w:r>
          </w:p>
        </w:tc>
        <w:tc>
          <w:tcPr>
            <w:tcW w:type="dxa" w:w="1440"/>
          </w:tcPr>
          <w:p>
            <w:r>
              <w:t>0.061</w:t>
            </w:r>
          </w:p>
        </w:tc>
        <w:tc>
          <w:tcPr>
            <w:tcW w:type="dxa" w:w="1440"/>
          </w:tcPr>
          <w:p>
            <w:r>
              <w:t>5.60%</w:t>
            </w:r>
          </w:p>
        </w:tc>
      </w:tr>
      <w:tr>
        <w:tc>
          <w:tcPr>
            <w:tcW w:type="dxa" w:w="1440"/>
          </w:tcPr>
          <w:p>
            <w:r>
              <w:t>Minutes Combined ~ Shocks</w:t>
            </w:r>
          </w:p>
        </w:tc>
        <w:tc>
          <w:tcPr>
            <w:tcW w:type="dxa" w:w="1440"/>
          </w:tcPr>
          <w:p>
            <w:r>
              <w:t>0.000529**</w:t>
            </w:r>
          </w:p>
        </w:tc>
        <w:tc>
          <w:tcPr>
            <w:tcW w:type="dxa" w:w="1440"/>
          </w:tcPr>
          <w:p>
            <w:r>
              <w:t>0.011</w:t>
            </w:r>
          </w:p>
        </w:tc>
        <w:tc>
          <w:tcPr>
            <w:tcW w:type="dxa" w:w="1440"/>
          </w:tcPr>
          <w:p>
            <w:r>
              <w:t>0.001235**</w:t>
            </w:r>
          </w:p>
        </w:tc>
        <w:tc>
          <w:tcPr>
            <w:tcW w:type="dxa" w:w="1440"/>
          </w:tcPr>
          <w:p>
            <w:r>
              <w:t>0.015</w:t>
            </w:r>
          </w:p>
        </w:tc>
        <w:tc>
          <w:tcPr>
            <w:tcW w:type="dxa" w:w="1440"/>
          </w:tcPr>
          <w:p>
            <w:r>
              <w:t>9.35%</w:t>
            </w:r>
          </w:p>
        </w:tc>
      </w:tr>
      <w:tr>
        <w:tc>
          <w:tcPr>
            <w:tcW w:type="dxa" w:w="1440"/>
          </w:tcPr>
          <w:p>
            <w:r>
              <w:t>Statement ~ Shocks + Min Comb.</w:t>
            </w:r>
          </w:p>
        </w:tc>
        <w:tc>
          <w:tcPr>
            <w:tcW w:type="dxa" w:w="1440"/>
          </w:tcPr>
          <w:p>
            <w:r>
              <w:t>0.000429*</w:t>
            </w:r>
          </w:p>
        </w:tc>
        <w:tc>
          <w:tcPr>
            <w:tcW w:type="dxa" w:w="1440"/>
          </w:tcPr>
          <w:p>
            <w:r>
              <w:t>0.062</w:t>
            </w:r>
          </w:p>
        </w:tc>
        <w:tc>
          <w:tcPr>
            <w:tcW w:type="dxa" w:w="1440"/>
          </w:tcPr>
          <w:p>
            <w:r>
              <w:t>0.000329</w:t>
            </w:r>
          </w:p>
        </w:tc>
        <w:tc>
          <w:tcPr>
            <w:tcW w:type="dxa" w:w="1440"/>
          </w:tcPr>
          <w:p>
            <w:r>
              <w:t>0.611</w:t>
            </w:r>
          </w:p>
        </w:tc>
        <w:tc>
          <w:tcPr>
            <w:tcW w:type="dxa" w:w="1440"/>
          </w:tcPr>
          <w:p>
            <w:r>
              <w:t>6.06%</w:t>
            </w:r>
          </w:p>
        </w:tc>
      </w:tr>
    </w:tbl>
    <w:p>
      <w:r>
        <w:t xml:space="preserve">Note: Newey-West standard errors. * p&lt;0.10, ** p&lt;0.05, *** p&lt;0.01. N=117. Minutes LM is the Loughran-McDonald net positive ratio for FOMC minutes text. Minutes CB is the central bank-specific hawkish-dovish score.</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p>
      <w:pPr>
        <w:jc w:val="center"/>
      </w:pPr>
      <w:r>
        <w:rPr>
          <w:b/>
        </w:rPr>
        <w:t>Table 9: Subsample Analysis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w:t>
      </w:r>
    </w:p>
    <w:p>
      <w:pPr>
        <w:spacing w:after="120" w:lineRule="auto" w:line="276"/>
        <w:ind w:firstLine="720"/>
      </w:pPr>
      <w:r>
        <w:rPr>
          <w:rFonts w:ascii="Times New Roman" w:hAnsi="Times New Roman"/>
          <w:b w:val="0"/>
          <w:i w:val="0"/>
          <w:sz w:val="24"/>
        </w:rPr>
        <w:t>However, this null result masks an important regime-dependent effect. When we split the sample by decision type (Section 6.6, Appendix C.1), the rate cut regime shows the path shock highly significant (p &lt; 0.001) with an R² of 43.1% — by far the strongest result in the paper. This suggests that forward guidance language is indeed responsive to the path shock, but only during easing cycles. The mechanism is intuitive: when the Fed is cutting rates, the path shock captures the expected trajectory of future cuts, and the statement language reflects this forward guidance. During rate hike or unchanged meetings, the path shock captures a broader policy stance signal that does not translate into specific language changes. This regime-dependent finding reconciles the null full-sample H4 with the theoretical prediction that forward guidance matters: it matters, but selectively.</w:t>
      </w:r>
    </w:p>
    <w:p>
      <w:pPr>
        <w:spacing w:after="120" w:lineRule="auto" w:line="276"/>
        <w:ind w:firstLine="720"/>
      </w:pPr>
      <w:r>
        <w:rPr>
          <w:rFonts w:ascii="Times New Roman" w:hAnsi="Times New Roman"/>
          <w:b w:val="0"/>
          <w:i w:val="0"/>
          <w:sz w:val="24"/>
        </w:rPr>
        <w:t>A fourth finding concerns the role of chair-specific communication styles. The chair fixed effects analysis (Section 6.13) reveals that the Powell dummy is significant (p = 0.023) in the sentiment regression, and the target shock becomes insignificant (p = 0.471) once chair effects are included. This suggests that the cross-chair variation in communication style partially absorbs the target shock effect on sentiment. However, the target shock remains significant in the asset return regression (p = 0.043) even with chair fixed effects, indicating that the financial market response to the target shock is not driven by chair-specific factors. The asymmetry is informative: sentiment is partially a function of who is speaking, but asset prices respond to what is decided, not who decides it.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fifth,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3"/>
      </w:pPr>
      <w:r>
        <w:t>C.2 Extended Sample with USMPD (2006–2026)</w:t>
      </w:r>
    </w:p>
    <w:p>
      <w:r>
        <w:t xml:space="preserve">To assess out-of-sample robustness, we extend our analysis using the US Monetary Policy Event Study Database (USMPD, maintained by the Federal Reserve Bank of San Francisco), which provides high-frequency monetary policy surprises through April 2026. Combining the Acosta (2022) target/path decomposition (2006–2022) with USMPD data (2022–2026) yields 163 FOMC meetings. The extended sample regression produces an R² of 1.65%, consistent with the baseline estimate. However, neither the target shock (p = 0.546) nor the path shock (p = 0.144) reaches statistical significance in the extended sample. This attenuation is consistent with the well-documented decline in monetary policy surprise magnitudes during the post-2022 normalization period, when the Federal Reserve's forward guidance became more systematic and predictable (see also Swanson, 2024). The result suggests that the baseline finding may be sample-specific, driven primarily by the pre-2022 period when monetary policy surprises were larger and more variable. We view this as an important caveat rather than a refutation: the information content of FOMC language appears to depend on the magnitude of policy surprises, which has diminished in recent years.</w:t>
      </w:r>
    </w:p>
    <w:p>
      <w:pPr>
        <w:pStyle w:val="Heading1"/>
      </w:pPr>
      <w:r>
        <w:t>Appendix C: Additional Robustness</w:t>
      </w:r>
    </w:p>
    <w:p>
      <w:pPr>
        <w:pStyle w:val="Heading2"/>
      </w:pPr>
      <w:r>
        <w:t>C.1 Regime-Specific Results</w:t>
      </w:r>
    </w:p>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C.2 Sentiment Distribution</w:t>
      </w:r>
    </w:p>
    <w:p>
      <w:pPr>
        <w:jc w:val="center"/>
      </w:pPr>
      <w:r>
        <w:rPr>
          <w:b/>
        </w:rPr>
        <w:t>Table A1: Sentiment Score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p>
      <w:pPr>
        <w:jc w:val="center"/>
      </w:pPr>
      <w:r>
        <w:rPr>
          <w:b/>
        </w:rPr>
        <w:t>Table A2: Newey-West Lag Sensitivity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β_T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β_P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p>
      <w:pPr>
        <w:jc w:val="center"/>
      </w:pPr>
      <w:r>
        <w:rPr>
          <w:b/>
        </w:rPr>
        <w:t>Table A3: Data Source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p>
            <w:r>
              <w:t>Data Source</w:t>
            </w:r>
          </w:p>
        </w:tc>
        <w:tc>
          <w:p>
            <w:r>
              <w:t>β_T</w:t>
            </w:r>
          </w:p>
        </w:tc>
        <w:tc>
          <w:p>
            <w:r>
              <w:t>t</w:t>
            </w:r>
          </w:p>
        </w:tc>
        <w:tc>
          <w:p>
            <w:r>
              <w:t>R²</w:t>
            </w:r>
          </w:p>
        </w:tc>
      </w:tr>
      <w:tr>
        <w:tc>
          <w:p>
            <w:r>
              <w:t>CRSP (sprtrn)</w:t>
            </w:r>
          </w:p>
        </w:tc>
        <w:tc>
          <w:p>
            <w:r>
              <w:t>-0.391*</w:t>
            </w:r>
          </w:p>
        </w:tc>
        <w:tc>
          <w:p>
            <w:r>
              <w:t>-1.80</w:t>
            </w:r>
          </w:p>
        </w:tc>
        <w:tc>
          <w:p>
            <w:r>
              <w:t>7.8%</w:t>
            </w:r>
          </w:p>
        </w:tc>
      </w:tr>
      <w:tr>
        <w:tc>
          <w:p>
            <w:r>
              <w:t>yfinance (^GSPC)</w:t>
            </w:r>
          </w:p>
        </w:tc>
        <w:tc>
          <w:p>
            <w:r>
              <w:t>-0.259**</w:t>
            </w:r>
          </w:p>
        </w:tc>
        <w:tc>
          <w:p>
            <w:r>
              <w:t>-2.19</w:t>
            </w:r>
          </w:p>
        </w:tc>
        <w:tc>
          <w:p>
            <w:r>
              <w:t>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