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Beyond the Rate: Information Content of FOMC Statement Language</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FOMC statement language conveys information beyond the policy rate decision. Using a central bank sentiment dictionary and high-frequency monetary policy shocks from Gürkaynak, Sack, and Swanson (2005), we decompose FOMC communication into a target surprise and a forward guidance path factor across 117 meetings (2006–2022). The target shock significantly predicts sentiment (β = 0.000577, p = 0.017), while the path shock does not (p = 0.152), though a Wald test cannot reject equal effects (p = 0.90). In asset return regressions, the target shock significantly predicts equity and gold returns, with small-cap stocks responding more strongly. The forward guidance interaction is not robustly significant, but a regime analysis reveals that the path shock is highly significant during rate cut meetings (p &lt; 0.001, R² = 43.1%). Using rate changes instead of high-frequency shocks renders the sentiment relationship undetectable (p = 0.726), underscoring the importance of data quality.</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spacing w:after="120" w:lineRule="auto" w:line="276"/>
        <w:ind w:firstLine="720"/>
      </w:pPr>
      <w:r>
        <w:rPr>
          <w:rFonts w:ascii="Times New Roman" w:hAnsi="Times New Roman"/>
          <w:b/>
          <w:sz w:val="24"/>
        </w:rPr>
        <w:t>Acknowledgments</w:t>
      </w:r>
      <w:r>
        <w:rPr>
          <w:rFonts w:ascii="Times New Roman" w:hAnsi="Times New Roman"/>
          <w:b w:val="0"/>
          <w:i w:val="0"/>
          <w:sz w:val="24"/>
        </w:rPr>
        <w:t>: We thank [to be added] for helpful comments. All errors are our own.</w:t>
      </w:r>
    </w:p>
    <w:p>
      <w:pPr>
        <w:spacing w:after="120" w:lineRule="auto" w:line="276"/>
        <w:ind w:firstLine="720"/>
      </w:pPr>
      <w:r>
        <w:rPr>
          <w:rFonts w:ascii="Times New Roman" w:hAnsi="Times New Roman"/>
          <w:b/>
          <w:sz w:val="24"/>
        </w:rPr>
        <w:t>Declarations</w:t>
      </w:r>
      <w:r>
        <w:rPr>
          <w:rFonts w:ascii="Times New Roman" w:hAnsi="Times New Roman"/>
          <w:b w:val="0"/>
          <w:i w:val="0"/>
          <w:sz w:val="24"/>
        </w:rPr>
        <w:t>: The authors have no relevant financial or non-financial interests to disclose. No funding was received for this research. Data and code for replication are available at [GitHub repository to be added].</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robust evidence of such an interaction: the sentiment × forward guidance interaction term is statistically insignificant for the CRSP value-weighted index (p = 0.602), and while marginally significant for NASDAQ (p = 0.041), the coefficient is economically implausibly large, suggesting outlier influence.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even though the R² difference is modest (1.05% vs. 1.57%).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Jeenas (2019) shows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spacing w:after="120" w:lineRule="auto" w:line="276"/>
        <w:ind w:firstLine="720"/>
      </w:pPr>
      <w:r>
        <w:rPr>
          <w:rFonts w:ascii="Times New Roman" w:hAnsi="Times New Roman"/>
          <w:b w:val="0"/>
          <w:i w:val="0"/>
          <w:sz w:val="24"/>
        </w:rPr>
        <w:t>Table 1 reports the summary statistics for the key variables in our estimation sample.</w:t>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 β₁ · Targetₜ + β₂ · Pathₜ + ₜ</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 β₁ · Targetₜ + β₂ · Pathₜ + ₜ</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 β₁ · Targetₜ + β₂ · Pathₜ + β₃ · Sₜ + β₄ · (Sₜ × FGₜ) + ₜ</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t>Table 2 reports the results of the sentiment-shock regression. The target shock has a significant positive effect on FOMC statement sentiment (β = 0.000577, t = 2.43, p = 0.017). The path shock has a positive but not statistically significant coefficient (β = 0.000633, t = 1.44, p = 0.152). The R² of the regression is 1.57%.</w:t>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0.001034 (0.73)</w:t>
            </w:r>
          </w:p>
        </w:tc>
        <w:tc>
          <w:tcPr>
            <w:tcW w:type="dxa" w:w="1728"/>
            <w:shd w:fill="F0F4F8"/>
          </w:tcPr>
          <w:p>
            <w:pPr>
              <w:jc w:val="center"/>
            </w:pPr>
            <w:r/>
            <w:r>
              <w:rPr>
                <w:rFonts w:ascii="Times New Roman" w:hAnsi="Times New Roman"/>
                <w:sz w:val="20"/>
              </w:rPr>
              <w:t>0.726</w:t>
            </w:r>
          </w:p>
        </w:tc>
        <w:tc>
          <w:tcPr>
            <w:tcW w:type="dxa" w:w="1728"/>
            <w:shd w:fill="F0F4F8"/>
          </w:tcPr>
          <w:p>
            <w:pPr>
              <w:jc w:val="center"/>
            </w:pPr>
            <w:r/>
            <w:r>
              <w:rPr>
                <w:rFonts w:ascii="Times New Roman" w:hAnsi="Times New Roman"/>
                <w:sz w:val="20"/>
              </w:rPr>
              <w:t>1.05%</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0.000212 (2.88)</w:t>
            </w:r>
          </w:p>
        </w:tc>
        <w:tc>
          <w:tcPr>
            <w:tcW w:type="dxa" w:w="1728"/>
          </w:tcPr>
          <w:p>
            <w:pPr>
              <w:jc w:val="center"/>
            </w:pPr>
            <w:r/>
            <w:r>
              <w:rPr>
                <w:rFonts w:ascii="Times New Roman" w:hAnsi="Times New Roman"/>
                <w:sz w:val="20"/>
              </w:rPr>
              <w:t>0.004</w:t>
            </w:r>
          </w:p>
        </w:tc>
        <w:tc>
          <w:tcPr>
            <w:tcW w:type="dxa" w:w="1728"/>
          </w:tcPr>
          <w:p>
            <w:pPr>
              <w:jc w:val="center"/>
            </w:pPr>
            <w:r/>
            <w:r>
              <w:rPr>
                <w:rFonts w:ascii="Times New Roman" w:hAnsi="Times New Roman"/>
                <w:sz w:val="20"/>
              </w:rPr>
              <w:t>2.14%</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1.05% and the rate change coefficient is not significant (p = 0.726). Using the Kuttner surprise, the R² increases to 2.14% and the coefficient becomes significant (p = 0.004).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statistical significance of the results depends entirely on the choice of surprise measure: rate changes yield p = 0.726, while the GSS target shock yields p = 0.017.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t>Table 4 reports the asset return regression results using CRSP data. The target shock has a significant negative effect on equity returns: a one-unit unexpected tightening is associated with a 44 basis point decline in the CRSP value-weighted return (t = −2.05, p = 0.043) and a 45 basis point decline in the equal-weighted return (t = −2.53, p = 0.013). The S&amp;P 500 shows a somewhat smaller and marginally significant response (β = −0.391, t = −1.80, p = 0.073), while NASDAQ responds with a 28 basis point decline (t = −2.09, p = 0.039). Gold also responds significantly to the target shock (β = −0.404, t = −2.47, p = 0.014). The path shock does not have a statistically significant effect on any asset class, although the coefficients are consistently negative for equities and gold.</w:t>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0F2027"/>
          </w:tcPr>
          <w:p>
            <w:pPr>
              <w:jc w:val="center"/>
            </w:pPr>
            <w:r/>
            <w:r>
              <w:rPr>
                <w:rFonts w:ascii="Times New Roman" w:hAnsi="Times New Roman"/>
                <w:b/>
                <w:color w:val="FFFFFF"/>
                <w:sz w:val="20"/>
              </w:rPr>
              <w:t>Asset</w:t>
            </w:r>
          </w:p>
        </w:tc>
        <w:tc>
          <w:tcPr>
            <w:tcW w:type="dxa" w:w="1080"/>
            <w:shd w:fill="0F2027"/>
          </w:tcPr>
          <w:p>
            <w:pPr>
              <w:jc w:val="center"/>
            </w:pPr>
            <w:r/>
            <w:r>
              <w:rPr>
                <w:rFonts w:ascii="Times New Roman" w:hAnsi="Times New Roman"/>
                <w:b/>
                <w:color w:val="FFFFFF"/>
                <w:sz w:val="20"/>
              </w:rPr>
              <w:t>_T</w:t>
            </w:r>
          </w:p>
        </w:tc>
        <w:tc>
          <w:tcPr>
            <w:tcW w:type="dxa" w:w="1080"/>
            <w:shd w:fill="0F2027"/>
          </w:tcPr>
          <w:p>
            <w:pPr>
              <w:jc w:val="center"/>
            </w:pPr>
            <w:r/>
            <w:r>
              <w:rPr>
                <w:rFonts w:ascii="Times New Roman" w:hAnsi="Times New Roman"/>
                <w:b/>
                <w:color w:val="FFFFFF"/>
                <w:sz w:val="20"/>
              </w:rPr>
              <w:t>tₜarget</w:t>
            </w:r>
          </w:p>
        </w:tc>
        <w:tc>
          <w:tcPr>
            <w:tcW w:type="dxa" w:w="1080"/>
            <w:shd w:fill="0F2027"/>
          </w:tcPr>
          <w:p>
            <w:pPr>
              <w:jc w:val="center"/>
            </w:pPr>
            <w:r/>
            <w:r>
              <w:rPr>
                <w:rFonts w:ascii="Times New Roman" w:hAnsi="Times New Roman"/>
                <w:b/>
                <w:color w:val="FFFFFF"/>
                <w:sz w:val="20"/>
              </w:rPr>
              <w:t>pₜarget</w:t>
            </w:r>
          </w:p>
        </w:tc>
        <w:tc>
          <w:tcPr>
            <w:tcW w:type="dxa" w:w="1080"/>
            <w:shd w:fill="0F2027"/>
          </w:tcPr>
          <w:p>
            <w:pPr>
              <w:jc w:val="center"/>
            </w:pPr>
            <w:r/>
            <w:r>
              <w:rPr>
                <w:rFonts w:ascii="Times New Roman" w:hAnsi="Times New Roman"/>
                <w:b/>
                <w:color w:val="FFFFFF"/>
                <w:sz w:val="20"/>
              </w:rPr>
              <w:t>_P</w:t>
            </w:r>
          </w:p>
        </w:tc>
        <w:tc>
          <w:tcPr>
            <w:tcW w:type="dxa" w:w="1080"/>
            <w:shd w:fill="0F2027"/>
          </w:tcPr>
          <w:p>
            <w:pPr>
              <w:jc w:val="center"/>
            </w:pPr>
            <w:r/>
            <w:r>
              <w:rPr>
                <w:rFonts w:ascii="Times New Roman" w:hAnsi="Times New Roman"/>
                <w:b/>
                <w:color w:val="FFFFFF"/>
                <w:sz w:val="20"/>
              </w:rPr>
              <w:t>p_path</w:t>
            </w:r>
          </w:p>
        </w:tc>
        <w:tc>
          <w:tcPr>
            <w:tcW w:type="dxa" w:w="1080"/>
            <w:shd w:fill="0F2027"/>
          </w:tcPr>
          <w:p>
            <w:pPr>
              <w:jc w:val="center"/>
            </w:pPr>
            <w:r/>
            <w:r>
              <w:rPr>
                <w:rFonts w:ascii="Times New Roman" w:hAnsi="Times New Roman"/>
                <w:b/>
                <w:color w:val="FFFFFF"/>
                <w:sz w:val="20"/>
              </w:rPr>
              <w:t>R²</w:t>
            </w:r>
          </w:p>
        </w:tc>
        <w:tc>
          <w:tcPr>
            <w:tcW w:type="dxa" w:w="1080"/>
            <w:shd w:fill="0F2027"/>
          </w:tcPr>
          <w:p>
            <w:pPr>
              <w:jc w:val="center"/>
            </w:pPr>
            <w:r/>
            <w:r>
              <w:rPr>
                <w:rFonts w:ascii="Times New Roman" w:hAnsi="Times New Roman"/>
                <w:b/>
                <w:color w:val="FFFFFF"/>
                <w:sz w:val="20"/>
              </w:rPr>
              <w:t>N</w:t>
            </w:r>
          </w:p>
        </w:tc>
      </w:tr>
      <w:tr>
        <w:tc>
          <w:tcPr>
            <w:tcW w:type="dxa" w:w="1080"/>
            <w:shd w:fill="F0F4F8"/>
          </w:tcPr>
          <w:p>
            <w:pPr>
              <w:jc w:val="center"/>
            </w:pPr>
            <w:r/>
            <w:r>
              <w:rPr>
                <w:rFonts w:ascii="Times New Roman" w:hAnsi="Times New Roman"/>
                <w:sz w:val="20"/>
              </w:rPr>
              <w:t>CRSP VW</w:t>
            </w:r>
          </w:p>
        </w:tc>
        <w:tc>
          <w:tcPr>
            <w:tcW w:type="dxa" w:w="1080"/>
            <w:shd w:fill="F0F4F8"/>
          </w:tcPr>
          <w:p>
            <w:pPr>
              <w:jc w:val="center"/>
            </w:pPr>
            <w:r/>
            <w:r>
              <w:rPr>
                <w:rFonts w:ascii="Times New Roman" w:hAnsi="Times New Roman"/>
                <w:sz w:val="20"/>
              </w:rPr>
              <w:t>−0.435</w:t>
            </w:r>
          </w:p>
        </w:tc>
        <w:tc>
          <w:tcPr>
            <w:tcW w:type="dxa" w:w="1080"/>
            <w:shd w:fill="F0F4F8"/>
          </w:tcPr>
          <w:p>
            <w:pPr>
              <w:jc w:val="center"/>
            </w:pPr>
            <w:r/>
            <w:r>
              <w:rPr>
                <w:rFonts w:ascii="Times New Roman" w:hAnsi="Times New Roman"/>
                <w:sz w:val="20"/>
              </w:rPr>
              <w:t>−2.05</w:t>
            </w:r>
          </w:p>
        </w:tc>
        <w:tc>
          <w:tcPr>
            <w:tcW w:type="dxa" w:w="1080"/>
            <w:shd w:fill="F0F4F8"/>
          </w:tcPr>
          <w:p>
            <w:pPr>
              <w:jc w:val="center"/>
            </w:pPr>
            <w:r/>
            <w:r>
              <w:rPr>
                <w:rFonts w:ascii="Times New Roman" w:hAnsi="Times New Roman"/>
                <w:sz w:val="20"/>
              </w:rPr>
              <w:t>0.043</w:t>
            </w:r>
          </w:p>
        </w:tc>
        <w:tc>
          <w:tcPr>
            <w:tcW w:type="dxa" w:w="1080"/>
            <w:shd w:fill="F0F4F8"/>
          </w:tcPr>
          <w:p>
            <w:pPr>
              <w:jc w:val="center"/>
            </w:pPr>
            <w:r/>
            <w:r>
              <w:rPr>
                <w:rFonts w:ascii="Times New Roman" w:hAnsi="Times New Roman"/>
                <w:sz w:val="20"/>
              </w:rPr>
              <w:t>−0.186</w:t>
            </w:r>
          </w:p>
        </w:tc>
        <w:tc>
          <w:tcPr>
            <w:tcW w:type="dxa" w:w="1080"/>
            <w:shd w:fill="F0F4F8"/>
          </w:tcPr>
          <w:p>
            <w:pPr>
              <w:jc w:val="center"/>
            </w:pPr>
            <w:r/>
            <w:r>
              <w:rPr>
                <w:rFonts w:ascii="Times New Roman" w:hAnsi="Times New Roman"/>
                <w:sz w:val="20"/>
              </w:rPr>
              <w:t>0.443</w:t>
            </w:r>
          </w:p>
        </w:tc>
        <w:tc>
          <w:tcPr>
            <w:tcW w:type="dxa" w:w="1080"/>
            <w:shd w:fill="F0F4F8"/>
          </w:tcPr>
          <w:p>
            <w:pPr>
              <w:jc w:val="center"/>
            </w:pPr>
            <w:r/>
            <w:r>
              <w:rPr>
                <w:rFonts w:ascii="Times New Roman" w:hAnsi="Times New Roman"/>
                <w:sz w:val="20"/>
              </w:rPr>
              <w:t>9.1%</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CRSP EW</w:t>
            </w:r>
          </w:p>
        </w:tc>
        <w:tc>
          <w:tcPr>
            <w:tcW w:type="dxa" w:w="1080"/>
          </w:tcPr>
          <w:p>
            <w:pPr>
              <w:jc w:val="center"/>
            </w:pPr>
            <w:r/>
            <w:r>
              <w:rPr>
                <w:rFonts w:ascii="Times New Roman" w:hAnsi="Times New Roman"/>
                <w:sz w:val="20"/>
              </w:rPr>
              <w:t>−0.449</w:t>
            </w:r>
          </w:p>
        </w:tc>
        <w:tc>
          <w:tcPr>
            <w:tcW w:type="dxa" w:w="1080"/>
          </w:tcPr>
          <w:p>
            <w:pPr>
              <w:jc w:val="center"/>
            </w:pPr>
            <w:r/>
            <w:r>
              <w:rPr>
                <w:rFonts w:ascii="Times New Roman" w:hAnsi="Times New Roman"/>
                <w:sz w:val="20"/>
              </w:rPr>
              <w:t>−2.53</w:t>
            </w:r>
          </w:p>
        </w:tc>
        <w:tc>
          <w:tcPr>
            <w:tcW w:type="dxa" w:w="1080"/>
          </w:tcPr>
          <w:p>
            <w:pPr>
              <w:jc w:val="center"/>
            </w:pPr>
            <w:r/>
            <w:r>
              <w:rPr>
                <w:rFonts w:ascii="Times New Roman" w:hAnsi="Times New Roman"/>
                <w:sz w:val="20"/>
              </w:rPr>
              <w:t>0.013</w:t>
            </w:r>
          </w:p>
        </w:tc>
        <w:tc>
          <w:tcPr>
            <w:tcW w:type="dxa" w:w="1080"/>
          </w:tcPr>
          <w:p>
            <w:pPr>
              <w:jc w:val="center"/>
            </w:pPr>
            <w:r/>
            <w:r>
              <w:rPr>
                <w:rFonts w:ascii="Times New Roman" w:hAnsi="Times New Roman"/>
                <w:sz w:val="20"/>
              </w:rPr>
              <w:t>−0.174</w:t>
            </w:r>
          </w:p>
        </w:tc>
        <w:tc>
          <w:tcPr>
            <w:tcW w:type="dxa" w:w="1080"/>
          </w:tcPr>
          <w:p>
            <w:pPr>
              <w:jc w:val="center"/>
            </w:pPr>
            <w:r/>
            <w:r>
              <w:rPr>
                <w:rFonts w:ascii="Times New Roman" w:hAnsi="Times New Roman"/>
                <w:sz w:val="20"/>
              </w:rPr>
              <w:t>0.479</w:t>
            </w:r>
          </w:p>
        </w:tc>
        <w:tc>
          <w:tcPr>
            <w:tcW w:type="dxa" w:w="1080"/>
          </w:tcPr>
          <w:p>
            <w:pPr>
              <w:jc w:val="center"/>
            </w:pPr>
            <w:r/>
            <w:r>
              <w:rPr>
                <w:rFonts w:ascii="Times New Roman" w:hAnsi="Times New Roman"/>
                <w:sz w:val="20"/>
              </w:rPr>
              <w:t>10.3%</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S&amp;P 500</w:t>
            </w:r>
          </w:p>
        </w:tc>
        <w:tc>
          <w:tcPr>
            <w:tcW w:type="dxa" w:w="1080"/>
            <w:shd w:fill="F0F4F8"/>
          </w:tcPr>
          <w:p>
            <w:pPr>
              <w:jc w:val="center"/>
            </w:pPr>
            <w:r/>
            <w:r>
              <w:rPr>
                <w:rFonts w:ascii="Times New Roman" w:hAnsi="Times New Roman"/>
                <w:sz w:val="20"/>
              </w:rPr>
              <w:t>−0.391</w:t>
            </w:r>
          </w:p>
        </w:tc>
        <w:tc>
          <w:tcPr>
            <w:tcW w:type="dxa" w:w="1080"/>
            <w:shd w:fill="F0F4F8"/>
          </w:tcPr>
          <w:p>
            <w:pPr>
              <w:jc w:val="center"/>
            </w:pPr>
            <w:r/>
            <w:r>
              <w:rPr>
                <w:rFonts w:ascii="Times New Roman" w:hAnsi="Times New Roman"/>
                <w:sz w:val="20"/>
              </w:rPr>
              <w:t>−1.80</w:t>
            </w:r>
          </w:p>
        </w:tc>
        <w:tc>
          <w:tcPr>
            <w:tcW w:type="dxa" w:w="1080"/>
            <w:shd w:fill="F0F4F8"/>
          </w:tcPr>
          <w:p>
            <w:pPr>
              <w:jc w:val="center"/>
            </w:pPr>
            <w:r/>
            <w:r>
              <w:rPr>
                <w:rFonts w:ascii="Times New Roman" w:hAnsi="Times New Roman"/>
                <w:sz w:val="20"/>
              </w:rPr>
              <w:t>0.073</w:t>
            </w:r>
          </w:p>
        </w:tc>
        <w:tc>
          <w:tcPr>
            <w:tcW w:type="dxa" w:w="1080"/>
            <w:shd w:fill="F0F4F8"/>
          </w:tcPr>
          <w:p>
            <w:pPr>
              <w:jc w:val="center"/>
            </w:pPr>
            <w:r/>
            <w:r>
              <w:rPr>
                <w:rFonts w:ascii="Times New Roman" w:hAnsi="Times New Roman"/>
                <w:sz w:val="20"/>
              </w:rPr>
              <w:t>−0.179</w:t>
            </w:r>
          </w:p>
        </w:tc>
        <w:tc>
          <w:tcPr>
            <w:tcW w:type="dxa" w:w="1080"/>
            <w:shd w:fill="F0F4F8"/>
          </w:tcPr>
          <w:p>
            <w:pPr>
              <w:jc w:val="center"/>
            </w:pPr>
            <w:r/>
            <w:r>
              <w:rPr>
                <w:rFonts w:ascii="Times New Roman" w:hAnsi="Times New Roman"/>
                <w:sz w:val="20"/>
              </w:rPr>
              <w:t>0.424</w:t>
            </w:r>
          </w:p>
        </w:tc>
        <w:tc>
          <w:tcPr>
            <w:tcW w:type="dxa" w:w="1080"/>
            <w:shd w:fill="F0F4F8"/>
          </w:tcPr>
          <w:p>
            <w:pPr>
              <w:jc w:val="center"/>
            </w:pPr>
            <w:r/>
            <w:r>
              <w:rPr>
                <w:rFonts w:ascii="Times New Roman" w:hAnsi="Times New Roman"/>
                <w:sz w:val="20"/>
              </w:rPr>
              <w:t>7.8%</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NASDAQ</w:t>
            </w:r>
          </w:p>
        </w:tc>
        <w:tc>
          <w:tcPr>
            <w:tcW w:type="dxa" w:w="1080"/>
          </w:tcPr>
          <w:p>
            <w:pPr>
              <w:jc w:val="center"/>
            </w:pPr>
            <w:r/>
            <w:r>
              <w:rPr>
                <w:rFonts w:ascii="Times New Roman" w:hAnsi="Times New Roman"/>
                <w:sz w:val="20"/>
              </w:rPr>
              <w:t>−0.282</w:t>
            </w:r>
          </w:p>
        </w:tc>
        <w:tc>
          <w:tcPr>
            <w:tcW w:type="dxa" w:w="1080"/>
          </w:tcPr>
          <w:p>
            <w:pPr>
              <w:jc w:val="center"/>
            </w:pPr>
            <w:r/>
            <w:r>
              <w:rPr>
                <w:rFonts w:ascii="Times New Roman" w:hAnsi="Times New Roman"/>
                <w:sz w:val="20"/>
              </w:rPr>
              <w:t>−2.09</w:t>
            </w:r>
          </w:p>
        </w:tc>
        <w:tc>
          <w:tcPr>
            <w:tcW w:type="dxa" w:w="1080"/>
          </w:tcPr>
          <w:p>
            <w:pPr>
              <w:jc w:val="center"/>
            </w:pPr>
            <w:r/>
            <w:r>
              <w:rPr>
                <w:rFonts w:ascii="Times New Roman" w:hAnsi="Times New Roman"/>
                <w:sz w:val="20"/>
              </w:rPr>
              <w:t>0.039</w:t>
            </w:r>
          </w:p>
        </w:tc>
        <w:tc>
          <w:tcPr>
            <w:tcW w:type="dxa" w:w="1080"/>
          </w:tcPr>
          <w:p>
            <w:pPr>
              <w:jc w:val="center"/>
            </w:pPr>
            <w:r/>
            <w:r>
              <w:rPr>
                <w:rFonts w:ascii="Times New Roman" w:hAnsi="Times New Roman"/>
                <w:sz w:val="20"/>
              </w:rPr>
              <w:t>−0.166</w:t>
            </w:r>
          </w:p>
        </w:tc>
        <w:tc>
          <w:tcPr>
            <w:tcW w:type="dxa" w:w="1080"/>
          </w:tcPr>
          <w:p>
            <w:pPr>
              <w:jc w:val="center"/>
            </w:pPr>
            <w:r/>
            <w:r>
              <w:rPr>
                <w:rFonts w:ascii="Times New Roman" w:hAnsi="Times New Roman"/>
                <w:sz w:val="20"/>
              </w:rPr>
              <w:t>0.309</w:t>
            </w:r>
          </w:p>
        </w:tc>
        <w:tc>
          <w:tcPr>
            <w:tcW w:type="dxa" w:w="1080"/>
          </w:tcPr>
          <w:p>
            <w:pPr>
              <w:jc w:val="center"/>
            </w:pPr>
            <w:r/>
            <w:r>
              <w:rPr>
                <w:rFonts w:ascii="Times New Roman" w:hAnsi="Times New Roman"/>
                <w:sz w:val="20"/>
              </w:rPr>
              <w:t>3.4%</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Gold</w:t>
            </w:r>
          </w:p>
        </w:tc>
        <w:tc>
          <w:tcPr>
            <w:tcW w:type="dxa" w:w="1080"/>
            <w:shd w:fill="F0F4F8"/>
          </w:tcPr>
          <w:p>
            <w:pPr>
              <w:jc w:val="center"/>
            </w:pPr>
            <w:r/>
            <w:r>
              <w:rPr>
                <w:rFonts w:ascii="Times New Roman" w:hAnsi="Times New Roman"/>
                <w:sz w:val="20"/>
              </w:rPr>
              <w:t>−0.404</w:t>
            </w:r>
          </w:p>
        </w:tc>
        <w:tc>
          <w:tcPr>
            <w:tcW w:type="dxa" w:w="1080"/>
            <w:shd w:fill="F0F4F8"/>
          </w:tcPr>
          <w:p>
            <w:pPr>
              <w:jc w:val="center"/>
            </w:pPr>
            <w:r/>
            <w:r>
              <w:rPr>
                <w:rFonts w:ascii="Times New Roman" w:hAnsi="Times New Roman"/>
                <w:sz w:val="20"/>
              </w:rPr>
              <w:t>−2.47</w:t>
            </w:r>
          </w:p>
        </w:tc>
        <w:tc>
          <w:tcPr>
            <w:tcW w:type="dxa" w:w="1080"/>
            <w:shd w:fill="F0F4F8"/>
          </w:tcPr>
          <w:p>
            <w:pPr>
              <w:jc w:val="center"/>
            </w:pPr>
            <w:r/>
            <w:r>
              <w:rPr>
                <w:rFonts w:ascii="Times New Roman" w:hAnsi="Times New Roman"/>
                <w:sz w:val="20"/>
              </w:rPr>
              <w:t>0.014</w:t>
            </w:r>
          </w:p>
        </w:tc>
        <w:tc>
          <w:tcPr>
            <w:tcW w:type="dxa" w:w="1080"/>
            <w:shd w:fill="F0F4F8"/>
          </w:tcPr>
          <w:p>
            <w:pPr>
              <w:jc w:val="center"/>
            </w:pPr>
            <w:r/>
            <w:r>
              <w:rPr>
                <w:rFonts w:ascii="Times New Roman" w:hAnsi="Times New Roman"/>
                <w:sz w:val="20"/>
              </w:rPr>
              <w:t>−0.488</w:t>
            </w:r>
          </w:p>
        </w:tc>
        <w:tc>
          <w:tcPr>
            <w:tcW w:type="dxa" w:w="1080"/>
            <w:shd w:fill="F0F4F8"/>
          </w:tcPr>
          <w:p>
            <w:pPr>
              <w:jc w:val="center"/>
            </w:pPr>
            <w:r/>
            <w:r>
              <w:rPr>
                <w:rFonts w:ascii="Times New Roman" w:hAnsi="Times New Roman"/>
                <w:sz w:val="20"/>
              </w:rPr>
              <w:t>0.146</w:t>
            </w:r>
          </w:p>
        </w:tc>
        <w:tc>
          <w:tcPr>
            <w:tcW w:type="dxa" w:w="1080"/>
            <w:shd w:fill="F0F4F8"/>
          </w:tcPr>
          <w:p>
            <w:pPr>
              <w:jc w:val="center"/>
            </w:pPr>
            <w:r/>
            <w:r>
              <w:rPr>
                <w:rFonts w:ascii="Times New Roman" w:hAnsi="Times New Roman"/>
                <w:sz w:val="20"/>
              </w:rPr>
              <w:t>7.0%</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10Y Treasury</w:t>
            </w:r>
          </w:p>
        </w:tc>
        <w:tc>
          <w:tcPr>
            <w:tcW w:type="dxa" w:w="1080"/>
          </w:tcPr>
          <w:p>
            <w:pPr>
              <w:jc w:val="center"/>
            </w:pPr>
            <w:r/>
            <w:r>
              <w:rPr>
                <w:rFonts w:ascii="Times New Roman" w:hAnsi="Times New Roman"/>
                <w:sz w:val="20"/>
              </w:rPr>
              <w:t>0.007</w:t>
            </w:r>
          </w:p>
        </w:tc>
        <w:tc>
          <w:tcPr>
            <w:tcW w:type="dxa" w:w="1080"/>
          </w:tcPr>
          <w:p>
            <w:pPr>
              <w:jc w:val="center"/>
            </w:pPr>
            <w:r/>
            <w:r>
              <w:rPr>
                <w:rFonts w:ascii="Times New Roman" w:hAnsi="Times New Roman"/>
                <w:sz w:val="20"/>
              </w:rPr>
              <w:t>0.84</w:t>
            </w:r>
          </w:p>
        </w:tc>
        <w:tc>
          <w:tcPr>
            <w:tcW w:type="dxa" w:w="1080"/>
          </w:tcPr>
          <w:p>
            <w:pPr>
              <w:jc w:val="center"/>
            </w:pPr>
            <w:r/>
            <w:r>
              <w:rPr>
                <w:rFonts w:ascii="Times New Roman" w:hAnsi="Times New Roman"/>
                <w:sz w:val="20"/>
              </w:rPr>
              <w:t>0.403</w:t>
            </w:r>
          </w:p>
        </w:tc>
        <w:tc>
          <w:tcPr>
            <w:tcW w:type="dxa" w:w="1080"/>
          </w:tcPr>
          <w:p>
            <w:pPr>
              <w:jc w:val="center"/>
            </w:pPr>
            <w:r/>
            <w:r>
              <w:rPr>
                <w:rFonts w:ascii="Times New Roman" w:hAnsi="Times New Roman"/>
                <w:sz w:val="20"/>
              </w:rPr>
              <w:t>−0.001</w:t>
            </w:r>
          </w:p>
        </w:tc>
        <w:tc>
          <w:tcPr>
            <w:tcW w:type="dxa" w:w="1080"/>
          </w:tcPr>
          <w:p>
            <w:pPr>
              <w:jc w:val="center"/>
            </w:pPr>
            <w:r/>
            <w:r>
              <w:rPr>
                <w:rFonts w:ascii="Times New Roman" w:hAnsi="Times New Roman"/>
                <w:sz w:val="20"/>
              </w:rPr>
              <w:t>0.890</w:t>
            </w:r>
          </w:p>
        </w:tc>
        <w:tc>
          <w:tcPr>
            <w:tcW w:type="dxa" w:w="1080"/>
          </w:tcPr>
          <w:p>
            <w:pPr>
              <w:jc w:val="center"/>
            </w:pPr>
            <w:r/>
            <w:r>
              <w:rPr>
                <w:rFonts w:ascii="Times New Roman" w:hAnsi="Times New Roman"/>
                <w:sz w:val="20"/>
              </w:rPr>
              <w:t>0.7%</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13W T-bill</w:t>
            </w:r>
          </w:p>
        </w:tc>
        <w:tc>
          <w:tcPr>
            <w:tcW w:type="dxa" w:w="1080"/>
            <w:shd w:fill="F0F4F8"/>
          </w:tcPr>
          <w:p>
            <w:pPr>
              <w:jc w:val="center"/>
            </w:pPr>
            <w:r/>
            <w:r>
              <w:rPr>
                <w:rFonts w:ascii="Times New Roman" w:hAnsi="Times New Roman"/>
                <w:sz w:val="20"/>
              </w:rPr>
              <w:t>0.004</w:t>
            </w:r>
          </w:p>
        </w:tc>
        <w:tc>
          <w:tcPr>
            <w:tcW w:type="dxa" w:w="1080"/>
            <w:shd w:fill="F0F4F8"/>
          </w:tcPr>
          <w:p>
            <w:pPr>
              <w:jc w:val="center"/>
            </w:pPr>
            <w:r/>
            <w:r>
              <w:rPr>
                <w:rFonts w:ascii="Times New Roman" w:hAnsi="Times New Roman"/>
                <w:sz w:val="20"/>
              </w:rPr>
              <w:t>0.69</w:t>
            </w:r>
          </w:p>
        </w:tc>
        <w:tc>
          <w:tcPr>
            <w:tcW w:type="dxa" w:w="1080"/>
            <w:shd w:fill="F0F4F8"/>
          </w:tcPr>
          <w:p>
            <w:pPr>
              <w:jc w:val="center"/>
            </w:pPr>
            <w:r/>
            <w:r>
              <w:rPr>
                <w:rFonts w:ascii="Times New Roman" w:hAnsi="Times New Roman"/>
                <w:sz w:val="20"/>
              </w:rPr>
              <w:t>0.491</w:t>
            </w:r>
          </w:p>
        </w:tc>
        <w:tc>
          <w:tcPr>
            <w:tcW w:type="dxa" w:w="1080"/>
            <w:shd w:fill="F0F4F8"/>
          </w:tcPr>
          <w:p>
            <w:pPr>
              <w:jc w:val="center"/>
            </w:pPr>
            <w:r/>
            <w:r>
              <w:rPr>
                <w:rFonts w:ascii="Times New Roman" w:hAnsi="Times New Roman"/>
                <w:sz w:val="20"/>
              </w:rPr>
              <w:t>−0.003</w:t>
            </w:r>
          </w:p>
        </w:tc>
        <w:tc>
          <w:tcPr>
            <w:tcW w:type="dxa" w:w="1080"/>
            <w:shd w:fill="F0F4F8"/>
          </w:tcPr>
          <w:p>
            <w:pPr>
              <w:jc w:val="center"/>
            </w:pPr>
            <w:r/>
            <w:r>
              <w:rPr>
                <w:rFonts w:ascii="Times New Roman" w:hAnsi="Times New Roman"/>
                <w:sz w:val="20"/>
              </w:rPr>
              <w:t>0.737</w:t>
            </w:r>
          </w:p>
        </w:tc>
        <w:tc>
          <w:tcPr>
            <w:tcW w:type="dxa" w:w="1080"/>
            <w:shd w:fill="F0F4F8"/>
          </w:tcPr>
          <w:p>
            <w:pPr>
              <w:jc w:val="center"/>
            </w:pPr>
            <w:r/>
            <w:r>
              <w:rPr>
                <w:rFonts w:ascii="Times New Roman" w:hAnsi="Times New Roman"/>
                <w:sz w:val="20"/>
              </w:rPr>
              <w:t>0.7%</w:t>
            </w:r>
          </w:p>
        </w:tc>
        <w:tc>
          <w:tcPr>
            <w:tcW w:type="dxa" w:w="1080"/>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3.4–10.0%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t>Table 5 reports the forward guidance period interaction results. The target shock remains significant for the CRSP value-weighted index (β = −0.423, t = −2.01, p = 0.044) and NASDAQ (β = −0.284, t = −2.13, p = 0.034). The sentiment coefficient is not significant for either index. The interaction term is not significant for the CRSP VW index (p = 0.602), but is marginally significant for NASDAQ (p = 0.041). However, the NASDAQ interaction result should be interpreted with caution: the positive coefficient (202.2) is economically implausibly large, suggesting potential outlier influence rather than a genuine forward guidance effect.</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−0.423**</w:t>
            </w:r>
          </w:p>
        </w:tc>
        <w:tc>
          <w:tcPr>
            <w:tcW w:type="dxa" w:w="2880"/>
            <w:shd w:fill="F0F4F8"/>
          </w:tcPr>
          <w:p>
            <w:pPr>
              <w:jc w:val="center"/>
            </w:pPr>
            <w:r/>
            <w:r>
              <w:rPr>
                <w:rFonts w:ascii="Times New Roman" w:hAnsi="Times New Roman"/>
                <w:sz w:val="20"/>
              </w:rPr>
              <w:t>−0.284**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(0.044)</w:t>
            </w:r>
          </w:p>
        </w:tc>
        <w:tc>
          <w:tcPr>
            <w:tcW w:type="dxa" w:w="2880"/>
          </w:tcPr>
          <w:p>
            <w:pPr>
              <w:jc w:val="center"/>
            </w:pPr>
            <w:r/>
            <w:r>
              <w:rPr>
                <w:rFonts w:ascii="Times New Roman" w:hAnsi="Times New Roman"/>
                <w:sz w:val="20"/>
              </w:rPr>
              <w:t>(0.034)</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−0.223</w:t>
            </w:r>
          </w:p>
        </w:tc>
        <w:tc>
          <w:tcPr>
            <w:tcW w:type="dxa" w:w="2880"/>
            <w:shd w:fill="F0F4F8"/>
          </w:tcPr>
          <w:p>
            <w:pPr>
              <w:jc w:val="center"/>
            </w:pPr>
            <w:r/>
            <w:r>
              <w:rPr>
                <w:rFonts w:ascii="Times New Roman" w:hAnsi="Times New Roman"/>
                <w:sz w:val="20"/>
              </w:rPr>
              <w:t>−0.089</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(0.336)</w:t>
            </w:r>
          </w:p>
        </w:tc>
        <w:tc>
          <w:tcPr>
            <w:tcW w:type="dxa" w:w="2880"/>
          </w:tcPr>
          <w:p>
            <w:pPr>
              <w:jc w:val="center"/>
            </w:pPr>
            <w:r/>
            <w:r>
              <w:rPr>
                <w:rFonts w:ascii="Times New Roman" w:hAnsi="Times New Roman"/>
                <w:sz w:val="20"/>
              </w:rPr>
              <w:t>(0.622)</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−19.99</w:t>
            </w:r>
          </w:p>
        </w:tc>
        <w:tc>
          <w:tcPr>
            <w:tcW w:type="dxa" w:w="2880"/>
            <w:shd w:fill="F0F4F8"/>
          </w:tcPr>
          <w:p>
            <w:pPr>
              <w:jc w:val="center"/>
            </w:pPr>
            <w:r/>
            <w:r>
              <w:rPr>
                <w:rFonts w:ascii="Times New Roman" w:hAnsi="Times New Roman"/>
                <w:sz w:val="20"/>
              </w:rPr>
              <w:t>4.54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(0.180)</w:t>
            </w:r>
          </w:p>
        </w:tc>
        <w:tc>
          <w:tcPr>
            <w:tcW w:type="dxa" w:w="2880"/>
          </w:tcPr>
          <w:p>
            <w:pPr>
              <w:jc w:val="center"/>
            </w:pPr>
            <w:r/>
            <w:r>
              <w:rPr>
                <w:rFonts w:ascii="Times New Roman" w:hAnsi="Times New Roman"/>
                <w:sz w:val="20"/>
              </w:rPr>
              <w:t>(0.771)</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−48.81</w:t>
            </w:r>
          </w:p>
        </w:tc>
        <w:tc>
          <w:tcPr>
            <w:tcW w:type="dxa" w:w="2880"/>
            <w:shd w:fill="F0F4F8"/>
          </w:tcPr>
          <w:p>
            <w:pPr>
              <w:jc w:val="center"/>
            </w:pPr>
            <w:r/>
            <w:r>
              <w:rPr>
                <w:rFonts w:ascii="Times New Roman" w:hAnsi="Times New Roman"/>
                <w:sz w:val="20"/>
              </w:rPr>
              <w:t>202.17*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(0.602)</w:t>
            </w:r>
          </w:p>
        </w:tc>
        <w:tc>
          <w:tcPr>
            <w:tcW w:type="dxa" w:w="2880"/>
          </w:tcPr>
          <w:p>
            <w:pPr>
              <w:jc w:val="center"/>
            </w:pPr>
            <w:r/>
            <w:r>
              <w:rPr>
                <w:rFonts w:ascii="Times New Roman" w:hAnsi="Times New Roman"/>
                <w:sz w:val="20"/>
              </w:rPr>
              <w:t>(0.041)</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10.0%</w:t>
            </w:r>
          </w:p>
        </w:tc>
        <w:tc>
          <w:tcPr>
            <w:tcW w:type="dxa" w:w="2880"/>
            <w:shd w:fill="F0F4F8"/>
          </w:tcPr>
          <w:p>
            <w:pPr>
              <w:jc w:val="center"/>
            </w:pPr>
            <w:r/>
            <w:r>
              <w:rPr>
                <w:rFonts w:ascii="Times New Roman" w:hAnsi="Times New Roman"/>
                <w:sz w:val="20"/>
              </w:rPr>
              <w:t>5.8%</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−48.81 with a p-value of 0.602. For NASDAQ, the interaction coefficient is 202.17 with a p-value of 0.041. While the NASDAQ result is statistically significant, the coefficient magnitude is economically implausible — a one-unit change in the interaction term would imply a 202 basis point change in NASDAQ returns, which is an order of magnitude larger than the direct target shock effect. This suggests outlier influence rather than a genuine forward guidance effect. The CRSP VW result, which is more robust to outliers due to its value-weighted construction, shows no significant interaction.</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−19.99, p = 0.180 for CRSP VW; β = 4.54, p = 0.771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Regime-Dependent Effects: The Rate Cut Anomaly</w:t>
      </w:r>
    </w:p>
    <w:p>
      <w:pPr>
        <w:spacing w:after="120" w:lineRule="auto" w:line="276"/>
        <w:ind w:firstLine="720"/>
      </w:pPr>
      <w:r>
        <w:rPr>
          <w:rFonts w:ascii="Times New Roman" w:hAnsi="Times New Roman"/>
          <w:b w:val="0"/>
          <w:i w:val="0"/>
          <w:sz w:val="24"/>
        </w:rPr>
        <w:t>The null forward guidance interaction in Table 5 masks a striking regime-dependent pattern. When we estimate the H1 regression separately by decision type, the results differ dramatically across regimes:</w:t>
      </w:r>
    </w:p>
    <w:p>
      <w:pPr>
        <w:spacing w:after="120" w:lineRule="auto" w:line="276"/>
        <w:ind w:firstLine="720"/>
      </w:pPr>
      <w:r>
        <w:rPr>
          <w:rFonts w:ascii="Times New Roman" w:hAnsi="Times New Roman"/>
          <w:b/>
          <w:sz w:val="24"/>
        </w:rPr>
        <w:t>Table 6: Sentiment Regressions by Decision Type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Rate hike</w:t>
            </w:r>
          </w:p>
        </w:tc>
        <w:tc>
          <w:tcPr>
            <w:tcW w:type="dxa" w:w="1728"/>
            <w:shd w:fill="F0F4F8"/>
          </w:tcPr>
          <w:p>
            <w:pPr>
              <w:jc w:val="center"/>
            </w:pPr>
            <w:r/>
            <w:r>
              <w:rPr>
                <w:rFonts w:ascii="Times New Roman" w:hAnsi="Times New Roman"/>
                <w:sz w:val="20"/>
              </w:rPr>
              <w:t>17</w:t>
            </w:r>
          </w:p>
        </w:tc>
        <w:tc>
          <w:tcPr>
            <w:tcW w:type="dxa" w:w="1728"/>
            <w:shd w:fill="F0F4F8"/>
          </w:tcPr>
          <w:p>
            <w:pPr>
              <w:jc w:val="center"/>
            </w:pPr>
            <w:r/>
            <w:r>
              <w:rPr>
                <w:rFonts w:ascii="Times New Roman" w:hAnsi="Times New Roman"/>
                <w:sz w:val="20"/>
              </w:rPr>
              <w:t>10.2%</w:t>
            </w:r>
          </w:p>
        </w:tc>
        <w:tc>
          <w:tcPr>
            <w:tcW w:type="dxa" w:w="1728"/>
            <w:shd w:fill="F0F4F8"/>
          </w:tcPr>
          <w:p>
            <w:pPr>
              <w:jc w:val="center"/>
            </w:pPr>
            <w:r/>
            <w:r>
              <w:rPr>
                <w:rFonts w:ascii="Times New Roman" w:hAnsi="Times New Roman"/>
                <w:sz w:val="20"/>
              </w:rPr>
              <w:t>−0.000554 (0.013)</w:t>
            </w:r>
          </w:p>
        </w:tc>
        <w:tc>
          <w:tcPr>
            <w:tcW w:type="dxa" w:w="1728"/>
            <w:shd w:fill="F0F4F8"/>
          </w:tcPr>
          <w:p>
            <w:pPr>
              <w:jc w:val="center"/>
            </w:pPr>
            <w:r/>
            <w:r>
              <w:rPr>
                <w:rFonts w:ascii="Times New Roman" w:hAnsi="Times New Roman"/>
                <w:sz w:val="20"/>
              </w:rPr>
              <w:t>−0.000145 (0.298)</w:t>
            </w:r>
          </w:p>
        </w:tc>
      </w:tr>
      <w:tr>
        <w:tc>
          <w:tcPr>
            <w:tcW w:type="dxa" w:w="1728"/>
          </w:tcPr>
          <w:p>
            <w:pPr>
              <w:jc w:val="center"/>
            </w:pPr>
            <w:r/>
            <w:r>
              <w:rPr>
                <w:rFonts w:ascii="Times New Roman" w:hAnsi="Times New Roman"/>
                <w:sz w:val="20"/>
              </w:rPr>
              <w:t>Rate cut</w:t>
            </w:r>
          </w:p>
        </w:tc>
        <w:tc>
          <w:tcPr>
            <w:tcW w:type="dxa" w:w="1728"/>
          </w:tcPr>
          <w:p>
            <w:pPr>
              <w:jc w:val="center"/>
            </w:pPr>
            <w:r/>
            <w:r>
              <w:rPr>
                <w:rFonts w:ascii="Times New Roman" w:hAnsi="Times New Roman"/>
                <w:sz w:val="20"/>
              </w:rPr>
              <w:t>11</w:t>
            </w:r>
          </w:p>
        </w:tc>
        <w:tc>
          <w:tcPr>
            <w:tcW w:type="dxa" w:w="1728"/>
          </w:tcPr>
          <w:p>
            <w:pPr>
              <w:jc w:val="center"/>
            </w:pPr>
            <w:r/>
            <w:r>
              <w:rPr>
                <w:rFonts w:ascii="Times New Roman" w:hAnsi="Times New Roman"/>
                <w:sz w:val="20"/>
              </w:rPr>
              <w:t>43.1%</w:t>
            </w:r>
          </w:p>
        </w:tc>
        <w:tc>
          <w:tcPr>
            <w:tcW w:type="dxa" w:w="1728"/>
          </w:tcPr>
          <w:p>
            <w:pPr>
              <w:jc w:val="center"/>
            </w:pPr>
            <w:r/>
            <w:r>
              <w:rPr>
                <w:rFonts w:ascii="Times New Roman" w:hAnsi="Times New Roman"/>
                <w:sz w:val="20"/>
              </w:rPr>
              <w:t>0.000188 (0.089)</w:t>
            </w:r>
          </w:p>
        </w:tc>
        <w:tc>
          <w:tcPr>
            <w:tcW w:type="dxa" w:w="1728"/>
          </w:tcPr>
          <w:p>
            <w:pPr>
              <w:jc w:val="center"/>
            </w:pPr>
            <w:r/>
            <w:r>
              <w:rPr>
                <w:rFonts w:ascii="Times New Roman" w:hAnsi="Times New Roman"/>
                <w:sz w:val="20"/>
              </w:rPr>
              <w:t>0.000837 (&lt;0.001)</w:t>
            </w:r>
          </w:p>
        </w:tc>
      </w:tr>
      <w:tr>
        <w:tc>
          <w:tcPr>
            <w:tcW w:type="dxa" w:w="1728"/>
            <w:shd w:fill="F0F4F8"/>
          </w:tcPr>
          <w:p>
            <w:pPr>
              <w:jc w:val="center"/>
            </w:pPr>
            <w:r/>
            <w:r>
              <w:rPr>
                <w:rFonts w:ascii="Times New Roman" w:hAnsi="Times New Roman"/>
                <w:sz w:val="20"/>
              </w:rPr>
              <w:t>Unchanged</w:t>
            </w:r>
          </w:p>
        </w:tc>
        <w:tc>
          <w:tcPr>
            <w:tcW w:type="dxa" w:w="1728"/>
            <w:shd w:fill="F0F4F8"/>
          </w:tcPr>
          <w:p>
            <w:pPr>
              <w:jc w:val="center"/>
            </w:pPr>
            <w:r/>
            <w:r>
              <w:rPr>
                <w:rFonts w:ascii="Times New Roman" w:hAnsi="Times New Roman"/>
                <w:sz w:val="20"/>
              </w:rPr>
              <w:t>89</w:t>
            </w:r>
          </w:p>
        </w:tc>
        <w:tc>
          <w:tcPr>
            <w:tcW w:type="dxa" w:w="1728"/>
            <w:shd w:fill="F0F4F8"/>
          </w:tcPr>
          <w:p>
            <w:pPr>
              <w:jc w:val="center"/>
            </w:pPr>
            <w:r/>
            <w:r>
              <w:rPr>
                <w:rFonts w:ascii="Times New Roman" w:hAnsi="Times New Roman"/>
                <w:sz w:val="20"/>
              </w:rPr>
              <w:t>2.0%</w:t>
            </w:r>
          </w:p>
        </w:tc>
        <w:tc>
          <w:tcPr>
            <w:tcW w:type="dxa" w:w="1728"/>
            <w:shd w:fill="F0F4F8"/>
          </w:tcPr>
          <w:p>
            <w:pPr>
              <w:jc w:val="center"/>
            </w:pPr>
            <w:r/>
            <w:r>
              <w:rPr>
                <w:rFonts w:ascii="Times New Roman" w:hAnsi="Times New Roman"/>
                <w:sz w:val="20"/>
              </w:rPr>
              <w:t>0.000638 (0.616)</w:t>
            </w:r>
          </w:p>
        </w:tc>
        <w:tc>
          <w:tcPr>
            <w:tcW w:type="dxa" w:w="1728"/>
            <w:shd w:fill="F0F4F8"/>
          </w:tcPr>
          <w:p>
            <w:pPr>
              <w:jc w:val="center"/>
            </w:pPr>
            <w:r/>
            <w:r>
              <w:rPr>
                <w:rFonts w:ascii="Times New Roman" w:hAnsi="Times New Roman"/>
                <w:sz w:val="20"/>
              </w:rPr>
              <w:t>0.001379 (0.079)</w:t>
            </w:r>
          </w:p>
        </w:tc>
      </w:tr>
    </w:tbl>
    <w:p>
      <w:pPr>
        <w:spacing w:after="120"/>
      </w:pPr>
    </w:p>
    <w:p>
      <w:pPr>
        <w:spacing w:after="160"/>
      </w:pPr>
      <w:r>
        <w:rPr>
          <w:rFonts w:ascii="Times New Roman" w:hAnsi="Times New Roman"/>
          <w:b w:val="0"/>
          <w:i/>
          <w:sz w:val="20"/>
        </w:rPr>
        <w:t>Note: Newey-West HAC(4) standard errors. Dependent variable: combined sentiment score.</w:t>
      </w:r>
    </w:p>
    <w:p>
      <w:pPr>
        <w:spacing w:after="120" w:lineRule="auto" w:line="276"/>
        <w:ind w:firstLine="720"/>
      </w:pPr>
      <w:r>
        <w:rPr>
          <w:rFonts w:ascii="Times New Roman" w:hAnsi="Times New Roman"/>
          <w:b w:val="0"/>
          <w:i w:val="0"/>
          <w:sz w:val="24"/>
        </w:rPr>
        <w:t>The rate cut regime produces the strongest result in the entire paper: the path shock is highly significant (p &lt; 0.001) and the R² is 43.1%, compared to 1.57% for the full sample. This is a 27-fold increase in explanatory power. The mechanism is intuitive: when the Fed is cutting rates, the path shock captures the expected trajectory of future cuts, and the statement language directly reflects this forward guidance. The target shock, by contrast, is only marginally significant (p = 0.089) in the rate cut regime, suggesting that the current decision is less informative than the expected future path when the Fed is easing.</w:t>
      </w:r>
    </w:p>
    <w:p>
      <w:pPr>
        <w:spacing w:after="120" w:lineRule="auto" w:line="276"/>
        <w:ind w:firstLine="720"/>
      </w:pPr>
      <w:r>
        <w:rPr>
          <w:rFonts w:ascii="Times New Roman" w:hAnsi="Times New Roman"/>
          <w:b w:val="0"/>
          <w:i w:val="0"/>
          <w:sz w:val="24"/>
        </w:rPr>
        <w:t>During rate hike meetings, the pattern reverses: the target shock dominates (p = 0.013) while the path shock is insignificant (p = 0.298). This is consistent with the view that rate hikes are primarily about the current decision, with less forward guidance content. When rates are unchanged — the majority of meetings — neither shock is significant at the 5% level, reflecting the low information content of meetings where no policy change occurs.</w:t>
      </w:r>
    </w:p>
    <w:p>
      <w:pPr>
        <w:spacing w:after="120" w:lineRule="auto" w:line="276"/>
        <w:ind w:firstLine="720"/>
      </w:pPr>
      <w:r>
        <w:rPr>
          <w:rFonts w:ascii="Times New Roman" w:hAnsi="Times New Roman"/>
          <w:b w:val="0"/>
          <w:i w:val="0"/>
          <w:sz w:val="24"/>
        </w:rPr>
        <w:t>This regime-dependent finding has important implications for the information channel hypothesis. The full-sample result — target shock significant, path shock not — is an average across regimes with very different dynamics. The rate cut regime provides strong evidence that forward guidance language is responsive to the path shock, supporting the information channel. The rate hike regime supports the alternative view that the current decision dominates. The full-sample result obscures this heterogeneity.</w:t>
      </w:r>
    </w:p>
    <w:p>
      <w:pPr>
        <w:pStyle w:val="Heading2"/>
      </w:pPr>
      <w:r>
        <w:t>5.8 Economic Significance</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render the relationship statistically undetectable (p = 0.726) while high-frequency shocks yield significance (p = 0.017)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5.9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t>Table 7 reports the H1 regression results for Newey-West lags ranging from 1 to 6. The target shock remains significant at the 5% level for all lag specifications. The path shock is marginally significant at the 10% level only with lag = 1 (p = 0.100), and is not significant for any other lag choice. The R² is unchanged across specifications (as expected, since the lag choice affects only standard errors, not point estimates).</w:t>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8 compares the regression results using three different sentiment measures.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three Fed chair eras: Bernanke (2006–2014, 53 meetings), Yellen (2014–2018, 30 meetings), and Powell (2018–2022, 34 meetings). The target shock is significant during the Bernanke era (p = 0.005) and the Yellen era (p = 0.031), but not during the Powell era (p = 0.064, marginally significant). The path shock is not significant in any subsample. The R² is highest during the Bernanke era (10.3%), followed by Yellen (5.8%) and Powell (2.4%).</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statistical significance depends entirely on the measure: rate changes yield p = 0.726, the Kuttner surprise yields p = 0.004, and the GSS target shock yields p = 0.017.</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Chair Fixed Effects</w:t>
      </w:r>
    </w:p>
    <w:p>
      <w:pPr>
        <w:spacing w:after="120" w:lineRule="auto" w:line="276"/>
        <w:ind w:firstLine="720"/>
      </w:pPr>
      <w:r>
        <w:rPr>
          <w:rFonts w:ascii="Times New Roman" w:hAnsi="Times New Roman"/>
          <w:b w:val="0"/>
          <w:i w:val="0"/>
          <w:sz w:val="24"/>
        </w:rPr>
        <w:t>To control for systematic differences in statement language across Fed chairs, we include chair fixed effects (Yellen and Powell dummies, with Bernanke as the reference category) in the H1 regression. The results show that the Powell dummy is significant (β = 0.0067, p = 0.023), indicating that Powell-era statements have systematically higher sentiment scores, while the Yellen dummy is not significant (β = 0.0004, p = 0.552). Importantly, the target shock becomes insignificant (p = 0.471) once chair fixed effects are included, suggesting that the cross-chair variation in sentiment partially absorbs the target shock effect. The R² increases from 1.57% to 27.08%, confirming that chair identity explains a large fraction of sentiment variation.</w:t>
      </w:r>
    </w:p>
    <w:p>
      <w:pPr>
        <w:spacing w:after="120" w:lineRule="auto" w:line="276"/>
        <w:ind w:firstLine="720"/>
      </w:pPr>
      <w:r>
        <w:rPr>
          <w:rFonts w:ascii="Times New Roman" w:hAnsi="Times New Roman"/>
          <w:b w:val="0"/>
          <w:i w:val="0"/>
          <w:sz w:val="24"/>
        </w:rPr>
        <w:t>For the H2 regression (CRSP VW returns), the target shock remains significant (p = 0.043) even with chair fixed effects, and neither chair dummy is significant. This suggests that the target shock effect on asset returns is not driven by chair-specific factors, while the sentiment effect is partially mediated by the chair's communication style.</w:t>
      </w:r>
    </w:p>
    <w:p>
      <w:pPr>
        <w:pStyle w:val="Heading2"/>
      </w:pPr>
      <w:r>
        <w:t>6.14 Term Spread Response</w:t>
      </w:r>
    </w:p>
    <w:p>
      <w:pPr>
        <w:spacing w:after="120" w:lineRule="auto" w:line="276"/>
        <w:ind w:firstLine="720"/>
      </w:pPr>
      <w:r>
        <w:rPr>
          <w:rFonts w:ascii="Times New Roman" w:hAnsi="Times New Roman"/>
          <w:b w:val="0"/>
          <w:i w:val="0"/>
          <w:sz w:val="24"/>
        </w:rPr>
        <w:t>We also examine the response of the term spread (10-year minus 3-month Treasury yield) to monetary policy shocks. Neither the target shock (p = 0.667) nor the path shock (p = 0.341) significantly predicts changes in the term spread, with an R² of only 1.39%. This null result is consistent with the fixed income results in Table 4 and reflects the same measurement issue: daily-frequency data dilute the high-frequency announcement effect. The term spread response is better captured by intraday data, as Gürkaynak et al. (2005b) demonstrate.</w:t>
      </w:r>
    </w:p>
    <w:p>
      <w:pPr>
        <w:pStyle w:val="Heading2"/>
      </w:pPr>
      <w:r>
        <w:t>6.15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6.16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6.17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  Sₜ-1 + β₁ · Targetₜ + β₂ · Pathₜ + ₜ</w:t>
      </w:r>
    </w:p>
    <w:p>
      <w:pPr>
        <w:spacing w:after="120" w:lineRule="auto" w:line="276"/>
        <w:ind w:firstLine="720"/>
      </w:pPr>
      <w:r>
        <w:rPr>
          <w:rFonts w:ascii="Times New Roman" w:hAnsi="Times New Roman"/>
          <w:b w:val="0"/>
          <w:i w:val="0"/>
          <w:sz w:val="24"/>
        </w:rPr>
        <w:t>The lagged sentiment coefficient is significant (ρ = 0.85, p &lt; 0.001), confirming the persistence. The target shock remains significant (β₁ = 0.000609, p = 0.019), while the path shock is not (β₂ = −0.000854, p = 0.267). The R² increases to 70.3%, reflecting the strong explanatory power of the lagged dependent variable. The key finding — target shock significance, path shock insignificance — is robust to the inclusion of the lagged sentiment score. However, the high persistence (ρ = 0.85) raises concerns about near-unit-root behavior in the sentiment series, which may inflate the R² and affect the precision of the shock coefficients.</w:t>
      </w:r>
    </w:p>
    <w:p>
      <w:pPr>
        <w:pStyle w:val="Heading2"/>
      </w:pPr>
      <w:r>
        <w:t>6.18 Subsample Analysis: Pre-Crisis, Crisis, and Post-Crisis</w:t>
      </w:r>
    </w:p>
    <w:p>
      <w:pPr>
        <w:spacing w:after="120" w:lineRule="auto" w:line="276"/>
        <w:ind w:firstLine="720"/>
      </w:pPr>
      <w:r>
        <w:rPr>
          <w:rFonts w:ascii="Times New Roman" w:hAnsi="Times New Roman"/>
          <w:b w:val="0"/>
          <w:i w:val="0"/>
          <w:sz w:val="24"/>
        </w:rPr>
        <w:t>We estimate the H1 regression separately for three subperiods. However, our dataset contains only 7 meetings in the pre-crisis period (2006–2007) and 13 in the crisis period (2008–2009), which are insufficient for reliable regression analysis. We therefore report results only for the post-crisis period (2010–2022, 97 meetings):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Pre-crisis (2006–2007)</w:t>
            </w:r>
          </w:p>
        </w:tc>
        <w:tc>
          <w:tcPr>
            <w:tcW w:type="dxa" w:w="1728"/>
            <w:shd w:fill="F0F4F8"/>
          </w:tcPr>
          <w:p>
            <w:pPr>
              <w:jc w:val="center"/>
            </w:pPr>
            <w:r/>
            <w:r>
              <w:rPr>
                <w:rFonts w:ascii="Times New Roman" w:hAnsi="Times New Roman"/>
                <w:sz w:val="20"/>
              </w:rPr>
              <w:t>7</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Crisis (2008–2009)</w:t>
            </w:r>
          </w:p>
        </w:tc>
        <w:tc>
          <w:tcPr>
            <w:tcW w:type="dxa" w:w="1728"/>
          </w:tcPr>
          <w:p>
            <w:pPr>
              <w:jc w:val="center"/>
            </w:pPr>
            <w:r/>
            <w:r>
              <w:rPr>
                <w:rFonts w:ascii="Times New Roman" w:hAnsi="Times New Roman"/>
                <w:sz w:val="20"/>
              </w:rPr>
              <w:t>13</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c>
          <w:tcPr>
            <w:tcW w:type="dxa" w:w="1728"/>
          </w:tcPr>
          <w:p>
            <w:pPr>
              <w:jc w:val="center"/>
            </w:pPr>
            <w:r/>
            <w:r>
              <w:rPr>
                <w:rFonts w:ascii="Times New Roman" w:hAnsi="Times New Roman"/>
                <w:sz w:val="20"/>
              </w:rPr>
              <w:t>—</w:t>
            </w:r>
          </w:p>
        </w:tc>
      </w:tr>
      <w:tr>
        <w:tc>
          <w:tcPr>
            <w:tcW w:type="dxa" w:w="1728"/>
            <w:shd w:fill="F0F4F8"/>
          </w:tcPr>
          <w:p>
            <w:pPr>
              <w:jc w:val="center"/>
            </w:pPr>
            <w:r/>
            <w:r>
              <w:rPr>
                <w:rFonts w:ascii="Times New Roman" w:hAnsi="Times New Roman"/>
                <w:sz w:val="20"/>
              </w:rPr>
              <w:t>Post-crisis (2010–2022)</w:t>
            </w:r>
          </w:p>
        </w:tc>
        <w:tc>
          <w:tcPr>
            <w:tcW w:type="dxa" w:w="1728"/>
            <w:shd w:fill="F0F4F8"/>
          </w:tcPr>
          <w:p>
            <w:pPr>
              <w:jc w:val="center"/>
            </w:pPr>
            <w:r/>
            <w:r>
              <w:rPr>
                <w:rFonts w:ascii="Times New Roman" w:hAnsi="Times New Roman"/>
                <w:sz w:val="20"/>
              </w:rPr>
              <w:t>97</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−0.000433 (0.699)</w:t>
            </w:r>
          </w:p>
        </w:tc>
        <w:tc>
          <w:tcPr>
            <w:tcW w:type="dxa" w:w="1728"/>
            <w:shd w:fill="F0F4F8"/>
          </w:tcPr>
          <w:p>
            <w:pPr>
              <w:jc w:val="center"/>
            </w:pPr>
            <w:r/>
            <w:r>
              <w:rPr>
                <w:rFonts w:ascii="Times New Roman" w:hAnsi="Times New Roman"/>
                <w:sz w:val="20"/>
              </w:rPr>
              <w:t>0.001247 (0.056)</w:t>
            </w:r>
          </w:p>
        </w:tc>
      </w:tr>
    </w:tbl>
    <w:p>
      <w:pPr>
        <w:spacing w:after="120"/>
      </w:pPr>
    </w:p>
    <w:p>
      <w:pPr>
        <w:spacing w:after="120" w:lineRule="auto" w:line="276"/>
        <w:ind w:firstLine="720"/>
      </w:pPr>
      <w:r>
        <w:rPr>
          <w:rFonts w:ascii="Times New Roman" w:hAnsi="Times New Roman"/>
          <w:b w:val="0"/>
          <w:i w:val="0"/>
          <w:sz w:val="24"/>
        </w:rPr>
        <w:t>The post-crisis subsample shows a different pattern from the full sample: the target shock is not significant (p = 0.699), while the path shock is marginally significant (p = 0.056). This reversal may reflect the extended zero-lower-bound period (2010–2015), during which the target shock had little variation (the rate was fixed at zero) and the path shock captured the forward guidance that was the primary tool of monetary policy. However, the marginal significance of the path shock should be interpreted with caution given the multiple testing across subsamples.</w:t>
      </w:r>
    </w:p>
    <w:p>
      <w:pPr>
        <w:spacing w:after="120" w:lineRule="auto" w:line="276"/>
        <w:ind w:firstLine="720"/>
      </w:pPr>
      <w:r>
        <w:rPr>
          <w:rFonts w:ascii="Times New Roman" w:hAnsi="Times New Roman"/>
          <w:b w:val="0"/>
          <w:i w:val="0"/>
          <w:sz w:val="24"/>
        </w:rPr>
        <w:t>The small sample sizes in the earlier subperiods are a limitation of our analysis. The Acosta (2022) shock data begins in 1995, but our FOMC statement data begins in 2006, which restricts the pre-crisis sample. Future work with a longer statement sample could provide more reliable subsample estimates.</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robustly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renders the relationship between monetary policy and FOMC language statistically undetectable (p = 0.726 vs. 0.017).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for the CRSP VW index (p = 0.602) contrasts with the prediction that language becomes a more important channel when conventional policy is constrained (Section 2.5). The NASDAQ interaction is marginally significant (p = 0.041) but economically implausible, with a coefficient of 202 basis points that likely reflects outlier influence. The more robust CRSP VW result shows no significant interaction, suggesting that the language channel of monetary policy does not systematically strengthen at the zero lower bound.</w:t>
      </w:r>
    </w:p>
    <w:p>
      <w:pPr>
        <w:spacing w:after="120" w:lineRule="auto" w:line="276"/>
        <w:ind w:firstLine="720"/>
      </w:pPr>
      <w:r>
        <w:rPr>
          <w:rFonts w:ascii="Times New Roman" w:hAnsi="Times New Roman"/>
          <w:b w:val="0"/>
          <w:i w:val="0"/>
          <w:sz w:val="24"/>
        </w:rPr>
        <w:t>However, this null result masks an important regime-dependent effect. When we split the sample by decision type (Section 6.6, Appendix C.1), the rate cut regime shows the path shock highly significant (p &lt; 0.001) with an R² of 43.1% — by far the strongest result in the paper. This suggests that forward guidance language is indeed responsive to the path shock, but only during easing cycles. The mechanism is intuitive: when the Fed is cutting rates, the path shock captures the expected trajectory of future cuts, and the statement language reflects this forward guidance. During rate hike or unchanged meetings, the path shock captures a broader policy stance signal that does not translate into specific language changes. This regime-dependent finding reconciles the null full-sample H4 with the theoretical prediction that forward guidance matters: it matters, but selectively.</w:t>
      </w:r>
    </w:p>
    <w:p>
      <w:pPr>
        <w:spacing w:after="120" w:lineRule="auto" w:line="276"/>
        <w:ind w:firstLine="720"/>
      </w:pPr>
      <w:r>
        <w:rPr>
          <w:rFonts w:ascii="Times New Roman" w:hAnsi="Times New Roman"/>
          <w:b w:val="0"/>
          <w:i w:val="0"/>
          <w:sz w:val="24"/>
        </w:rPr>
        <w:t>A fourth finding concerns the role of chair-specific communication styles. The chair fixed effects analysis (Section 6.13) reveals that the Powell dummy is significant (p = 0.023) in the sentiment regression, and the target shock becomes insignificant (p = 0.471) once chair effects are included. This suggests that the cross-chair variation in communication style partially absorbs the target shock effect on sentiment. However, the target shock remains significant in the asset return regression (p = 0.043) even with chair fixed effects, indicating that the financial market response to the target shock is not driven by chair-specific factors. The asymmetry is informative: sentiment is partially a function of who is speaking, but asset prices respond to what is decided, not who decides it.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fifth,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loss of statistical significance when using rate changes instead of high-frequency shocks (p = 0.726 vs. 0.017)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Jaccard distance between consecutive statement word sets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Jeenas, P. (2019). Firm Balance Sheet Liquidity, Monetary Policy Shocks, and Investment Dynamics. Working Paper, Stockholm School of Economics.</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1"/>
      </w:pPr>
      <w:r>
        <w:t>Appendix C: Additional Robustness</w:t>
      </w:r>
    </w:p>
    <w:p>
      <w:pPr>
        <w:pStyle w:val="Heading2"/>
      </w:pPr>
      <w:r>
        <w:t>C.1 Regime-Specific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Rate hike</w:t>
            </w:r>
          </w:p>
        </w:tc>
        <w:tc>
          <w:tcPr>
            <w:tcW w:type="dxa" w:w="1728"/>
            <w:shd w:fill="F0F4F8"/>
          </w:tcPr>
          <w:p>
            <w:pPr>
              <w:jc w:val="center"/>
            </w:pPr>
            <w:r/>
            <w:r>
              <w:rPr>
                <w:rFonts w:ascii="Times New Roman" w:hAnsi="Times New Roman"/>
                <w:sz w:val="20"/>
              </w:rPr>
              <w:t>17</w:t>
            </w:r>
          </w:p>
        </w:tc>
        <w:tc>
          <w:tcPr>
            <w:tcW w:type="dxa" w:w="1728"/>
            <w:shd w:fill="F0F4F8"/>
          </w:tcPr>
          <w:p>
            <w:pPr>
              <w:jc w:val="center"/>
            </w:pPr>
            <w:r/>
            <w:r>
              <w:rPr>
                <w:rFonts w:ascii="Times New Roman" w:hAnsi="Times New Roman"/>
                <w:sz w:val="20"/>
              </w:rPr>
              <w:t>10.2%</w:t>
            </w:r>
          </w:p>
        </w:tc>
        <w:tc>
          <w:tcPr>
            <w:tcW w:type="dxa" w:w="1728"/>
            <w:shd w:fill="F0F4F8"/>
          </w:tcPr>
          <w:p>
            <w:pPr>
              <w:jc w:val="center"/>
            </w:pPr>
            <w:r/>
            <w:r>
              <w:rPr>
                <w:rFonts w:ascii="Times New Roman" w:hAnsi="Times New Roman"/>
                <w:sz w:val="20"/>
              </w:rPr>
              <w:t>−0.000554 (0.013)</w:t>
            </w:r>
          </w:p>
        </w:tc>
        <w:tc>
          <w:tcPr>
            <w:tcW w:type="dxa" w:w="1728"/>
            <w:shd w:fill="F0F4F8"/>
          </w:tcPr>
          <w:p>
            <w:pPr>
              <w:jc w:val="center"/>
            </w:pPr>
            <w:r/>
            <w:r>
              <w:rPr>
                <w:rFonts w:ascii="Times New Roman" w:hAnsi="Times New Roman"/>
                <w:sz w:val="20"/>
              </w:rPr>
              <w:t>−0.000145 (0.298)</w:t>
            </w:r>
          </w:p>
        </w:tc>
      </w:tr>
      <w:tr>
        <w:tc>
          <w:tcPr>
            <w:tcW w:type="dxa" w:w="1728"/>
          </w:tcPr>
          <w:p>
            <w:pPr>
              <w:jc w:val="center"/>
            </w:pPr>
            <w:r/>
            <w:r>
              <w:rPr>
                <w:rFonts w:ascii="Times New Roman" w:hAnsi="Times New Roman"/>
                <w:sz w:val="20"/>
              </w:rPr>
              <w:t>Rate cut</w:t>
            </w:r>
          </w:p>
        </w:tc>
        <w:tc>
          <w:tcPr>
            <w:tcW w:type="dxa" w:w="1728"/>
          </w:tcPr>
          <w:p>
            <w:pPr>
              <w:jc w:val="center"/>
            </w:pPr>
            <w:r/>
            <w:r>
              <w:rPr>
                <w:rFonts w:ascii="Times New Roman" w:hAnsi="Times New Roman"/>
                <w:sz w:val="20"/>
              </w:rPr>
              <w:t>11</w:t>
            </w:r>
          </w:p>
        </w:tc>
        <w:tc>
          <w:tcPr>
            <w:tcW w:type="dxa" w:w="1728"/>
          </w:tcPr>
          <w:p>
            <w:pPr>
              <w:jc w:val="center"/>
            </w:pPr>
            <w:r/>
            <w:r>
              <w:rPr>
                <w:rFonts w:ascii="Times New Roman" w:hAnsi="Times New Roman"/>
                <w:sz w:val="20"/>
              </w:rPr>
              <w:t>43.1%</w:t>
            </w:r>
          </w:p>
        </w:tc>
        <w:tc>
          <w:tcPr>
            <w:tcW w:type="dxa" w:w="1728"/>
          </w:tcPr>
          <w:p>
            <w:pPr>
              <w:jc w:val="center"/>
            </w:pPr>
            <w:r/>
            <w:r>
              <w:rPr>
                <w:rFonts w:ascii="Times New Roman" w:hAnsi="Times New Roman"/>
                <w:sz w:val="20"/>
              </w:rPr>
              <w:t>0.000188 (0.089)</w:t>
            </w:r>
          </w:p>
        </w:tc>
        <w:tc>
          <w:tcPr>
            <w:tcW w:type="dxa" w:w="1728"/>
          </w:tcPr>
          <w:p>
            <w:pPr>
              <w:jc w:val="center"/>
            </w:pPr>
            <w:r/>
            <w:r>
              <w:rPr>
                <w:rFonts w:ascii="Times New Roman" w:hAnsi="Times New Roman"/>
                <w:sz w:val="20"/>
              </w:rPr>
              <w:t>0.000837 (0.000)</w:t>
            </w:r>
          </w:p>
        </w:tc>
      </w:tr>
      <w:tr>
        <w:tc>
          <w:tcPr>
            <w:tcW w:type="dxa" w:w="1728"/>
            <w:shd w:fill="F0F4F8"/>
          </w:tcPr>
          <w:p>
            <w:pPr>
              <w:jc w:val="center"/>
            </w:pPr>
            <w:r/>
            <w:r>
              <w:rPr>
                <w:rFonts w:ascii="Times New Roman" w:hAnsi="Times New Roman"/>
                <w:sz w:val="20"/>
              </w:rPr>
              <w:t>Unchanged</w:t>
            </w:r>
          </w:p>
        </w:tc>
        <w:tc>
          <w:tcPr>
            <w:tcW w:type="dxa" w:w="1728"/>
            <w:shd w:fill="F0F4F8"/>
          </w:tcPr>
          <w:p>
            <w:pPr>
              <w:jc w:val="center"/>
            </w:pPr>
            <w:r/>
            <w:r>
              <w:rPr>
                <w:rFonts w:ascii="Times New Roman" w:hAnsi="Times New Roman"/>
                <w:sz w:val="20"/>
              </w:rPr>
              <w:t>89</w:t>
            </w:r>
          </w:p>
        </w:tc>
        <w:tc>
          <w:tcPr>
            <w:tcW w:type="dxa" w:w="1728"/>
            <w:shd w:fill="F0F4F8"/>
          </w:tcPr>
          <w:p>
            <w:pPr>
              <w:jc w:val="center"/>
            </w:pPr>
            <w:r/>
            <w:r>
              <w:rPr>
                <w:rFonts w:ascii="Times New Roman" w:hAnsi="Times New Roman"/>
                <w:sz w:val="20"/>
              </w:rPr>
              <w:t>2.0%</w:t>
            </w:r>
          </w:p>
        </w:tc>
        <w:tc>
          <w:tcPr>
            <w:tcW w:type="dxa" w:w="1728"/>
            <w:shd w:fill="F0F4F8"/>
          </w:tcPr>
          <w:p>
            <w:pPr>
              <w:jc w:val="center"/>
            </w:pPr>
            <w:r/>
            <w:r>
              <w:rPr>
                <w:rFonts w:ascii="Times New Roman" w:hAnsi="Times New Roman"/>
                <w:sz w:val="20"/>
              </w:rPr>
              <w:t>0.000638 (0.616)</w:t>
            </w:r>
          </w:p>
        </w:tc>
        <w:tc>
          <w:tcPr>
            <w:tcW w:type="dxa" w:w="1728"/>
            <w:shd w:fill="F0F4F8"/>
          </w:tcPr>
          <w:p>
            <w:pPr>
              <w:jc w:val="center"/>
            </w:pPr>
            <w:r/>
            <w:r>
              <w:rPr>
                <w:rFonts w:ascii="Times New Roman" w:hAnsi="Times New Roman"/>
                <w:sz w:val="20"/>
              </w:rPr>
              <w:t>0.001379 (0.079)</w:t>
            </w:r>
          </w:p>
        </w:tc>
      </w:tr>
    </w:tbl>
    <w:p>
      <w:pPr>
        <w:spacing w:after="120"/>
      </w:pPr>
    </w:p>
    <w:p>
      <w:pPr>
        <w:spacing w:after="120" w:lineRule="auto" w:line="276"/>
        <w:ind w:firstLine="720"/>
      </w:pPr>
      <w:r>
        <w:rPr>
          <w:rFonts w:ascii="Times New Roman" w:hAnsi="Times New Roman"/>
          <w:b w:val="0"/>
          <w:i w:val="0"/>
          <w:sz w:val="24"/>
        </w:rPr>
        <w:t>During rate cut meetings, the path shock is highly significant (p &lt; 0.001) and the R² is 43.1%, suggesting that forward guidance language is most responsive to the path shock when the Fed is easing. During rate hike meetings, the target shock dominates (p = 0.013). When rates are unchanged, neither shock is significant at 5%.</w:t>
      </w:r>
    </w:p>
    <w:p>
      <w:pPr>
        <w:pStyle w:val="Heading2"/>
      </w:pPr>
      <w:r>
        <w:t>C.2 Sentiment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C.3 Newey-West Lag Sensitivity (H1 Regression)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_T (t)</w:t>
            </w:r>
          </w:p>
        </w:tc>
        <w:tc>
          <w:tcPr>
            <w:tcW w:type="dxa" w:w="1440"/>
            <w:shd w:fill="0F2027"/>
          </w:tcPr>
          <w:p>
            <w:pPr>
              <w:jc w:val="center"/>
            </w:pPr>
            <w:r/>
            <w:r>
              <w:rPr>
                <w:rFonts w:ascii="Times New Roman" w:hAnsi="Times New Roman"/>
                <w:b/>
                <w:color w:val="FFFFFF"/>
                <w:sz w:val="20"/>
              </w:rPr>
              <w:t>pₜarget</w:t>
            </w:r>
          </w:p>
        </w:tc>
        <w:tc>
          <w:tcPr>
            <w:tcW w:type="dxa" w:w="1440"/>
            <w:shd w:fill="0F2027"/>
          </w:tcPr>
          <w:p>
            <w:pPr>
              <w:jc w:val="center"/>
            </w:pPr>
            <w:r/>
            <w:r>
              <w:rPr>
                <w:rFonts w:ascii="Times New Roman" w:hAnsi="Times New Roman"/>
                <w:b/>
                <w:color w:val="FFFFFF"/>
                <w:sz w:val="20"/>
              </w:rPr>
              <w:t>_P (t)</w:t>
            </w:r>
          </w:p>
        </w:tc>
        <w:tc>
          <w:tcPr>
            <w:tcW w:type="dxa" w:w="1440"/>
            <w:shd w:fill="0F2027"/>
          </w:tcPr>
          <w:p>
            <w:pPr>
              <w:jc w:val="center"/>
            </w:pPr>
            <w:r/>
            <w:r>
              <w:rPr>
                <w:rFonts w:ascii="Times New Roman" w:hAnsi="Times New Roman"/>
                <w:b/>
                <w:color w:val="FFFFFF"/>
                <w:sz w:val="20"/>
              </w:rPr>
              <w:t>p_path</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Data Source</w:t>
            </w:r>
          </w:p>
        </w:tc>
        <w:tc>
          <w:tcPr>
            <w:tcW w:type="dxa" w:w="1728"/>
            <w:shd w:fill="0F2027"/>
          </w:tcPr>
          <w:p>
            <w:pPr>
              <w:jc w:val="center"/>
            </w:pPr>
            <w:r/>
            <w:r>
              <w:rPr>
                <w:rFonts w:ascii="Times New Roman" w:hAnsi="Times New Roman"/>
                <w:b/>
                <w:color w:val="FFFFFF"/>
                <w:sz w:val="20"/>
              </w:rPr>
              <w:t>_T</w:t>
            </w:r>
          </w:p>
        </w:tc>
        <w:tc>
          <w:tcPr>
            <w:tcW w:type="dxa" w:w="1728"/>
            <w:shd w:fill="0F2027"/>
          </w:tcPr>
          <w:p>
            <w:pPr>
              <w:jc w:val="center"/>
            </w:pPr>
            <w:r/>
            <w:r>
              <w:rPr>
                <w:rFonts w:ascii="Times New Roman" w:hAnsi="Times New Roman"/>
                <w:b/>
                <w:color w:val="FFFFFF"/>
                <w:sz w:val="20"/>
              </w:rPr>
              <w:t>tₜarget</w:t>
            </w:r>
          </w:p>
        </w:tc>
        <w:tc>
          <w:tcPr>
            <w:tcW w:type="dxa" w:w="1728"/>
            <w:shd w:fill="0F2027"/>
          </w:tcPr>
          <w:p>
            <w:pPr>
              <w:jc w:val="center"/>
            </w:pPr>
            <w:r/>
            <w:r>
              <w:rPr>
                <w:rFonts w:ascii="Times New Roman" w:hAnsi="Times New Roman"/>
                <w:b/>
                <w:color w:val="FFFFFF"/>
                <w:sz w:val="20"/>
              </w:rPr>
              <w:t>pₜarget</w:t>
            </w:r>
          </w:p>
        </w:tc>
        <w:tc>
          <w:tcPr>
            <w:tcW w:type="dxa" w:w="1728"/>
            <w:shd w:fill="0F2027"/>
          </w:tcPr>
          <w:p>
            <w:pPr>
              <w:jc w:val="center"/>
            </w:pPr>
            <w:r/>
            <w:r>
              <w:rPr>
                <w:rFonts w:ascii="Times New Roman" w:hAnsi="Times New Roman"/>
                <w:b/>
                <w:color w:val="FFFFFF"/>
                <w:sz w:val="20"/>
              </w:rPr>
              <w:t>R²</w:t>
            </w:r>
          </w:p>
        </w:tc>
      </w:tr>
      <w:tr>
        <w:tc>
          <w:tcPr>
            <w:tcW w:type="dxa" w:w="1728"/>
            <w:shd w:fill="F0F4F8"/>
          </w:tcPr>
          <w:p>
            <w:pPr>
              <w:jc w:val="center"/>
            </w:pPr>
            <w:r/>
            <w:r>
              <w:rPr>
                <w:rFonts w:ascii="Times New Roman" w:hAnsi="Times New Roman"/>
                <w:sz w:val="20"/>
              </w:rPr>
              <w:t>CRSP (sprtrn)</w:t>
            </w:r>
          </w:p>
        </w:tc>
        <w:tc>
          <w:tcPr>
            <w:tcW w:type="dxa" w:w="1728"/>
            <w:shd w:fill="F0F4F8"/>
          </w:tcPr>
          <w:p>
            <w:pPr>
              <w:jc w:val="center"/>
            </w:pPr>
            <w:r/>
            <w:r>
              <w:rPr>
                <w:rFonts w:ascii="Times New Roman" w:hAnsi="Times New Roman"/>
                <w:sz w:val="20"/>
              </w:rPr>
              <w:t>−0.391</w:t>
            </w:r>
          </w:p>
        </w:tc>
        <w:tc>
          <w:tcPr>
            <w:tcW w:type="dxa" w:w="1728"/>
            <w:shd w:fill="F0F4F8"/>
          </w:tcPr>
          <w:p>
            <w:pPr>
              <w:jc w:val="center"/>
            </w:pPr>
            <w:r/>
            <w:r>
              <w:rPr>
                <w:rFonts w:ascii="Times New Roman" w:hAnsi="Times New Roman"/>
                <w:sz w:val="20"/>
              </w:rPr>
              <w:t>−1.80</w:t>
            </w:r>
          </w:p>
        </w:tc>
        <w:tc>
          <w:tcPr>
            <w:tcW w:type="dxa" w:w="1728"/>
            <w:shd w:fill="F0F4F8"/>
          </w:tcPr>
          <w:p>
            <w:pPr>
              <w:jc w:val="center"/>
            </w:pPr>
            <w:r/>
            <w:r>
              <w:rPr>
                <w:rFonts w:ascii="Times New Roman" w:hAnsi="Times New Roman"/>
                <w:sz w:val="20"/>
              </w:rPr>
              <w:t>0.073</w:t>
            </w:r>
          </w:p>
        </w:tc>
        <w:tc>
          <w:tcPr>
            <w:tcW w:type="dxa" w:w="1728"/>
            <w:shd w:fill="F0F4F8"/>
          </w:tcPr>
          <w:p>
            <w:pPr>
              <w:jc w:val="center"/>
            </w:pPr>
            <w:r/>
            <w:r>
              <w:rPr>
                <w:rFonts w:ascii="Times New Roman" w:hAnsi="Times New Roman"/>
                <w:sz w:val="20"/>
              </w:rPr>
              <w:t>0.078</w:t>
            </w:r>
          </w:p>
        </w:tc>
      </w:tr>
      <w:tr>
        <w:tc>
          <w:tcPr>
            <w:tcW w:type="dxa" w:w="1728"/>
          </w:tcPr>
          <w:p>
            <w:pPr>
              <w:jc w:val="center"/>
            </w:pPr>
            <w:r/>
            <w:r>
              <w:rPr>
                <w:rFonts w:ascii="Times New Roman" w:hAnsi="Times New Roman"/>
                <w:sz w:val="20"/>
              </w:rPr>
              <w:t>yfinance (^GSPC)</w:t>
            </w:r>
          </w:p>
        </w:tc>
        <w:tc>
          <w:tcPr>
            <w:tcW w:type="dxa" w:w="1728"/>
          </w:tcPr>
          <w:p>
            <w:pPr>
              <w:jc w:val="center"/>
            </w:pPr>
            <w:r/>
            <w:r>
              <w:rPr>
                <w:rFonts w:ascii="Times New Roman" w:hAnsi="Times New Roman"/>
                <w:sz w:val="20"/>
              </w:rPr>
              <w:t>−0.259</w:t>
            </w:r>
          </w:p>
        </w:tc>
        <w:tc>
          <w:tcPr>
            <w:tcW w:type="dxa" w:w="1728"/>
          </w:tcPr>
          <w:p>
            <w:pPr>
              <w:jc w:val="center"/>
            </w:pPr>
            <w:r/>
            <w:r>
              <w:rPr>
                <w:rFonts w:ascii="Times New Roman" w:hAnsi="Times New Roman"/>
                <w:sz w:val="20"/>
              </w:rPr>
              <w:t>−2.19</w:t>
            </w:r>
          </w:p>
        </w:tc>
        <w:tc>
          <w:tcPr>
            <w:tcW w:type="dxa" w:w="1728"/>
          </w:tcPr>
          <w:p>
            <w:pPr>
              <w:jc w:val="center"/>
            </w:pPr>
            <w:r/>
            <w:r>
              <w:rPr>
                <w:rFonts w:ascii="Times New Roman" w:hAnsi="Times New Roman"/>
                <w:sz w:val="20"/>
              </w:rPr>
              <w:t>0.030</w:t>
            </w:r>
          </w:p>
        </w:tc>
        <w:tc>
          <w:tcPr>
            <w:tcW w:type="dxa" w:w="1728"/>
          </w:tcPr>
          <w:p>
            <w:pPr>
              <w:jc w:val="center"/>
            </w:pPr>
            <w:r/>
            <w:r>
              <w:rPr>
                <w:rFonts w:ascii="Times New Roman" w:hAnsi="Times New Roman"/>
                <w:sz w:val="20"/>
              </w:rPr>
              <w:t>0.029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