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Beyond the Rate:</w:t>
      </w:r>
    </w:p>
    <w:p>
      <w:pPr>
        <w:jc w:val="center"/>
      </w:pPr>
      <w:r>
        <w:rPr>
          <w:rFonts w:ascii="Times New Roman" w:hAnsi="Times New Roman"/>
          <w:b/>
          <w:sz w:val="40"/>
        </w:rPr>
        <w:t>Information Content of FOMC Forward Guidance Language</w:t>
      </w:r>
    </w:p>
    <w:p/>
    <w:p>
      <w:pPr>
        <w:jc w:val="center"/>
      </w:pPr>
      <w:r>
        <w:rPr>
          <w:rFonts w:ascii="Times New Roman" w:hAnsi="Times New Roman"/>
          <w:sz w:val="28"/>
        </w:rPr>
        <w:t>Dechang Yu</w:t>
      </w:r>
    </w:p>
    <w:p>
      <w:pPr>
        <w:jc w:val="center"/>
      </w:pPr>
      <w:r>
        <w:rPr>
          <w:rFonts w:ascii="Times New Roman" w:hAnsi="Times New Roman"/>
          <w:i/>
          <w:sz w:val="22"/>
        </w:rPr>
        <w:t>Academy of AI, Xi'an Jiaotong-Liverpool University</w:t>
      </w:r>
    </w:p>
    <w:p/>
    <w:p>
      <w:pPr>
        <w:jc w:val="center"/>
      </w:pPr>
      <w:r>
        <w:rPr>
          <w:rFonts w:ascii="Times New Roman" w:hAnsi="Times New Roman"/>
          <w:sz w:val="28"/>
        </w:rPr>
        <w:t>Eileen Zhang</w:t>
      </w:r>
    </w:p>
    <w:p>
      <w:pPr>
        <w:jc w:val="center"/>
      </w:pPr>
      <w:r>
        <w:rPr>
          <w:rFonts w:ascii="Times New Roman" w:hAnsi="Times New Roman"/>
          <w:i/>
          <w:sz w:val="22"/>
        </w:rPr>
        <w:t>[Affiliation to be confirmed]</w:t>
      </w:r>
    </w:p>
    <w:p/>
    <w:p>
      <w:pPr>
        <w:jc w:val="center"/>
      </w:pPr>
      <w:r>
        <w:rPr>
          <w:rFonts w:ascii="Times New Roman" w:hAnsi="Times New Roman"/>
          <w:i/>
          <w:sz w:val="24"/>
        </w:rPr>
        <w:t>Job Market Paper</w:t>
        <w:br/>
        <w:t>May 2026</w:t>
      </w:r>
    </w:p>
    <w:p>
      <w:r>
        <w:br w:type="page"/>
      </w:r>
    </w:p>
    <w:p>
      <w:pPr>
        <w:pStyle w:val="Heading1"/>
      </w:pPr>
      <w:r>
        <w:t>Abstract</w:t>
      </w:r>
    </w:p>
    <w:p>
      <w:pPr>
        <w:spacing w:after="120"/>
      </w:pPr>
      <w:r>
        <w:rPr>
          <w:rFonts w:ascii="Times New Roman" w:hAnsi="Times New Roman"/>
          <w:b w:val="0"/>
          <w:i w:val="0"/>
          <w:sz w:val="24"/>
        </w:rPr>
        <w:t>We investigate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Our analysis spans 117 FOMC meetings from 2006 to 2022, combining CRSP market data via WRDS with 164 FOMC statement texts. We find that the path shock — capturing information about the future trajectory of monetary policy — is the primary driver of FOMC language sentiment (p = 0.047), while the target rate surprise is also marginally significant (p = 0.062). This supports the information channel hypothesis: forward guidance language conveys information about future economic conditions and policy intentions, not merely the current rate decision. In asset return regressions, small-cap stocks (equal-weighted market) respond more strongly to target shocks than large-cap stocks (value-weighted), consistent with the literature on heterogeneous sensitivity to monetary policy. Our results are robust to excluding the COVID period, using non-standardized Kuttner surprise measures, and restricting to the post-2010 period. These findings have implications for understanding the transmission mechanism of central bank communication and the design of forward guidance frameworks.</w:t>
      </w:r>
    </w:p>
    <w:p>
      <w:pPr>
        <w:spacing w:after="120"/>
      </w:pPr>
      <w:r>
        <w:rPr>
          <w:rFonts w:ascii="Times New Roman" w:hAnsi="Times New Roman"/>
          <w:b w:val="0"/>
          <w:i/>
          <w:sz w:val="22"/>
        </w:rPr>
        <w:t>Keywords: Monetary policy; FOMC; Forward guidance; Information channel; Sentiment analysis; High-frequency identification</w:t>
      </w:r>
    </w:p>
    <w:p>
      <w:pPr>
        <w:spacing w:after="120"/>
      </w:pPr>
      <w:r>
        <w:rPr>
          <w:rFonts w:ascii="Times New Roman" w:hAnsi="Times New Roman"/>
          <w:b w:val="0"/>
          <w:i/>
          <w:sz w:val="22"/>
        </w:rPr>
        <w:t>JEL Classification: E52, E58, G14, G12</w:t>
      </w:r>
    </w:p>
    <w:p>
      <w:r>
        <w:br w:type="page"/>
      </w:r>
    </w:p>
    <w:p>
      <w:pPr>
        <w:pStyle w:val="Heading1"/>
      </w:pPr>
      <w:r>
        <w:t>1. Introduction</w:t>
      </w:r>
    </w:p>
    <w:p>
      <w:pPr>
        <w:spacing w:after="120"/>
        <w:ind w:firstLine="425"/>
      </w:pPr>
      <w:r>
        <w:rPr>
          <w:rFonts w:ascii="Times New Roman" w:hAnsi="Times New Roman"/>
          <w:b w:val="0"/>
          <w:i w:val="0"/>
          <w:sz w:val="24"/>
        </w:rPr>
        <w:t>Central bank communication has become a central tool of monetary policy. Since the Federal Reserve began releasing post-meeting statements in 1994, the language of these statements has evolved from brief rate announcements to detailed assessments of economic conditions and explicit forward guidance about the future path of policy. This evolution raises a fundamental question: does the language of FOMC statements convey information beyond the immediate policy rate decision?</w:t>
      </w:r>
    </w:p>
    <w:p>
      <w:pPr>
        <w:spacing w:after="120"/>
        <w:ind w:firstLine="425"/>
      </w:pPr>
      <w:r>
        <w:rPr>
          <w:rFonts w:ascii="Times New Roman" w:hAnsi="Times New Roman"/>
          <w:b w:val="0"/>
          <w:i w:val="0"/>
          <w:sz w:val="24"/>
        </w:rPr>
        <w:t>The theoretical case for an information channel is well-established. Romer and Romer (2000) demonstrate that the Federal Reserve possesses superior information about the economy, and that FOMC announcements reveal this information to markets. Campbell et al. (2012) distinguish between Odyssean forward guidance (credible commitments) and Delphic guidance (information about the Fed's economic assessment), arguing that both can move markets through channels distinct from the rate decision itself. Jarociński and Karadi (2020) use a structural VAR with high-frequency identification to separate monetary policy shocks into a policy shock and an information shock, finding that the two have opposite effects on stock prices.</w:t>
      </w:r>
    </w:p>
    <w:p>
      <w:pPr>
        <w:spacing w:after="120"/>
        <w:ind w:firstLine="425"/>
      </w:pPr>
      <w:r>
        <w:rPr>
          <w:rFonts w:ascii="Times New Roman" w:hAnsi="Times New Roman"/>
          <w:b w:val="0"/>
          <w:i w:val="0"/>
          <w:sz w:val="24"/>
        </w:rPr>
        <w:t>Despite this theoretical progress, empirical evidence on the information content of FOMC language per se remains limited. Most event studies treat the FOMC announcement as a single event and measure its aggregate impact on asset prices. This approach conflates the rate decision with the accompanying communication, making it impossible to identify the incremental information content of forward guidance language. The few studies that attempt to separate these channels (e.g., Gürkaynak et al., 2005; Campbell et al., 2012) focus on asset price responses rather than on the language itself.</w:t>
      </w:r>
    </w:p>
    <w:p>
      <w:pPr>
        <w:spacing w:after="120"/>
        <w:ind w:firstLine="425"/>
      </w:pPr>
      <w:r>
        <w:rPr>
          <w:rFonts w:ascii="Times New Roman" w:hAnsi="Times New Roman"/>
          <w:b w:val="0"/>
          <w:i w:val="0"/>
          <w:sz w:val="24"/>
        </w:rPr>
        <w:t>This paper fills this gap by directly examining how monetary policy shocks — decomposed into a target rate surprise and a forward guidance path factor — relate to the sentiment of FOMC statement language. Our key innovation is to use the two-shock decomposition of Gürkaynak, Sack, and Swanson (2005, henceforth GSS) as independent variables in a regression where the dependent variable is a text-based measure of FOMC statement sentiment. If the path shock — which captures information about the future trajectory of policy beyond the current rate decision — significantly predicts statement sentiment, this constitutes direct evidence that FOMC language conveys information about the future, not just the present.</w:t>
      </w:r>
    </w:p>
    <w:p>
      <w:pPr>
        <w:spacing w:after="120"/>
        <w:ind w:firstLine="425"/>
      </w:pPr>
      <w:r>
        <w:rPr>
          <w:rFonts w:ascii="Times New Roman" w:hAnsi="Times New Roman"/>
          <w:b w:val="0"/>
          <w:i w:val="0"/>
          <w:sz w:val="24"/>
        </w:rPr>
        <w:t>Our empirical strategy proceeds in four steps. First, we construct an expanded central bank sentiment dictionary that captures hawkish and dovish language specific to monetary policy communications, going beyond the general-purpose Loughran-McDonald (2011) financial dictionary. Second, we use the GSS target and path shocks as our measure of monetary policy surprises, sourced from the Acosta (2022) replication dataset covering 220 FOMC meetings from 1995 to 2022. Third, we combine CRSP market data (accessed via WRDS) with FOMC statement texts to build a unified dataset spanning 117 meetings from 2006 to 2022. Fourth, we estimate OLS regressions with Newey-West standard errors to test four hypotheses about the relationship between monetary policy shocks, statement sentiment, and asset returns.</w:t>
      </w:r>
    </w:p>
    <w:p>
      <w:pPr>
        <w:spacing w:after="120"/>
        <w:ind w:firstLine="425"/>
      </w:pPr>
      <w:r>
        <w:rPr>
          <w:rFonts w:ascii="Times New Roman" w:hAnsi="Times New Roman"/>
          <w:b w:val="0"/>
          <w:i w:val="0"/>
          <w:sz w:val="24"/>
        </w:rPr>
        <w:t>Our main findings are as follows. First, the path shock is the primary driver of FOMC language sentiment (p = 0.047), while the target rate surprise is also marginally significant (p = 0.062). This supports the information channel hypothesis: forward guidance language conveys information about future economic conditions and policy intentions, not merely the current rate decision. Second, small-cap stocks (equal-weighted market return) respond more strongly to target shocks than large-cap stocks (value-weighted), with the equal-weighted CRSP return showing a significant response at the 5% level (t = -2.03). Third,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These findings contribute to three strands of the literature. First, we contribute to the literature on central bank communication (Blinder et al., 2008; Hansen et al., 2018; Cieslak et al., 2019) by providing direct evidence that the language of FOMC statements responds to information about the future policy path, not just the current rate decision. Second, we contribute to the literature on monetary policy identification (Kuttner, 2001; Gürkaynak et al., 2005; Nakamura and Steinsson, 2018; Bauer and Swanson, 2023) by showing that the two-shock decomposition has implications not only for asset prices but also for the language of central bank communications. Third, we contribute to the growing literature on text-based measures of monetary policy stance (Apel and Blix, 2014; Henry, 2008; Corredoira et al., 2020) by introducing an expanded central bank dictionary and validating it against high-frequency monetary policy shocks.</w:t>
      </w:r>
    </w:p>
    <w:p>
      <w:pPr>
        <w:spacing w:after="120"/>
        <w:ind w:firstLine="425"/>
      </w:pPr>
      <w:r>
        <w:rPr>
          <w:rFonts w:ascii="Times New Roman" w:hAnsi="Times New Roman"/>
          <w:b w:val="0"/>
          <w:i w:val="0"/>
          <w:sz w:val="24"/>
        </w:rPr>
        <w:t>The remainder of the paper is organized as follows. Section 2 reviews the related literature. Section 3 describes the data and measurement. Section 4 presents the empirical methodology. Section 5 reports the main results. Section 6 discusses robustness checks, extensions, and limitations. Section 7 concludes.</w:t>
      </w:r>
    </w:p>
    <w:p>
      <w:pPr>
        <w:pStyle w:val="Heading1"/>
      </w:pPr>
      <w:r>
        <w:t>2. Literature Review</w:t>
      </w:r>
    </w:p>
    <w:p>
      <w:pPr>
        <w:pStyle w:val="Heading2"/>
      </w:pPr>
      <w:r>
        <w:t>2.1 Monetary Policy Surprises and High-Frequency Identification</w:t>
      </w:r>
    </w:p>
    <w:p>
      <w:pPr>
        <w:spacing w:after="120"/>
        <w:ind w:firstLine="425"/>
      </w:pPr>
      <w:r>
        <w:rPr>
          <w:rFonts w:ascii="Times New Roman" w:hAnsi="Times New Roman"/>
          <w:b w:val="0"/>
          <w:i w:val="0"/>
          <w:sz w:val="24"/>
        </w:rPr>
        <w:t>The identification of exogenous monetary policy shocks has been a central challenge in monetary economics. Kuttner (2001) pioneered the use of federal funds futures to measure monetary policy surprises, showing that the unexpected component of rate decisions — measured as the change in the implied federal funds rate from the day before to the day of the FOMC meeting — has a much larger effect on long-term interest rates than the expected component. This approach has become the standard for event-study identification in monetary policy research.</w:t>
      </w:r>
    </w:p>
    <w:p>
      <w:pPr>
        <w:spacing w:after="120"/>
        <w:ind w:firstLine="425"/>
      </w:pPr>
      <w:r>
        <w:rPr>
          <w:rFonts w:ascii="Times New Roman" w:hAnsi="Times New Roman"/>
          <w:b w:val="0"/>
          <w:i w:val="0"/>
          <w:sz w:val="24"/>
        </w:rPr>
        <w:t>Gürkaynak, Sack, and Swanson (2005) extended Kuttner's approach by decomposing monetary policy surprises into two components: a target factor (the surprise in the current federal funds rate target) and a path factor (the surprise in the future path of monetary policy). Using federal funds futures and eurodollar futures at various horizons, they showed that the path factor explains a substantial fraction of the variation in long-term interest rates and stock prices around FOMC announcements, even after controlling for the target surprise. This finding implies that FOMC communications about the future path of policy convey significant information to markets.</w:t>
      </w:r>
    </w:p>
    <w:p>
      <w:pPr>
        <w:spacing w:after="120"/>
        <w:ind w:firstLine="425"/>
      </w:pPr>
      <w:r>
        <w:rPr>
          <w:rFonts w:ascii="Times New Roman" w:hAnsi="Times New Roman"/>
          <w:b w:val="0"/>
          <w:i w:val="0"/>
          <w:sz w:val="24"/>
        </w:rPr>
        <w:t>Nakamura and Steinsson (2018) introduced the 'policy news shock,' a high-frequency measure that captures both the target and path components of monetary policy surprises. They show that these shocks have large effects on output and inflation in a structural VAR framework, with a 100-basis-point tightening reducing industrial production by about 4% over two years. Bauer and Swanson (2023) reassessed these findings, arguing that many apparent monetary policy surprises are contaminated by information effects — the Fed's announcement reveals its economic assessment, not just its policy decision. They propose an orthogonalization procedure to separate the two effects.</w:t>
      </w:r>
    </w:p>
    <w:p>
      <w:pPr>
        <w:pStyle w:val="Heading2"/>
      </w:pPr>
      <w:r>
        <w:t>2.2 Central Bank Communication and Forward Guidance</w:t>
      </w:r>
    </w:p>
    <w:p>
      <w:pPr>
        <w:spacing w:after="120"/>
        <w:ind w:firstLine="425"/>
      </w:pPr>
      <w:r>
        <w:rPr>
          <w:rFonts w:ascii="Times New Roman" w:hAnsi="Times New Roman"/>
          <w:b w:val="0"/>
          <w:i w:val="0"/>
          <w:sz w:val="24"/>
        </w:rPr>
        <w:t>The literature on central bank communication has grown rapidly since Blinder et al. (2008) documented that greater transparency and communication improve the predictability of monetary policy. Hansen et al. (2018) show that the transparency of FOMC statements — measured by their clarity and specificity — affects how markets interpret monetary policy decisions. Cieslak et al. (2019) find that the tone of FOMC communications predicts future monetary policy decisions and economic outcomes, even after controlling for macroeconomic fundamentals.</w:t>
      </w:r>
    </w:p>
    <w:p>
      <w:pPr>
        <w:spacing w:after="120"/>
        <w:ind w:firstLine="425"/>
      </w:pPr>
      <w:r>
        <w:rPr>
          <w:rFonts w:ascii="Times New Roman" w:hAnsi="Times New Roman"/>
          <w:b w:val="0"/>
          <w:i w:val="0"/>
          <w:sz w:val="24"/>
        </w:rPr>
        <w:t>Forward guidance — the practice of communicating information about the likely future path of monetary policy — has become a key tool of monetary policy, especially during the zero lower bound period (2008-2015). Campbell et al. (2012) distinguish between Odyssean forward guidance (which makes a commitment about future policy actions) and Delphic guidance (which reveals the Fed's assessment of the economic outlook). Both types of guidance can move markets, but through different channels: Odyssean guidance works by changing expectations about future policy rates, while Delphic guidance works by revealing information about the Fed's economic assessment.</w:t>
      </w:r>
    </w:p>
    <w:p>
      <w:pPr>
        <w:spacing w:after="120"/>
        <w:ind w:firstLine="425"/>
      </w:pPr>
      <w:r>
        <w:rPr>
          <w:rFonts w:ascii="Times New Roman" w:hAnsi="Times New Roman"/>
          <w:b w:val="0"/>
          <w:i w:val="0"/>
          <w:sz w:val="24"/>
        </w:rPr>
        <w:t>A key challenge in this literature is measuring the information content of forward guidance language. Early studies used manual coding of FOMC statements (e.g., Apel and Blix, 2014), while more recent work has employed natural language processing techniques. Henry (2008) uses the Loughran-McDonald (2011) financial sentiment dictionary to measure the tone of central bank communications, finding that negative tone predicts tighter monetary policy. However, general-purpose financial dictionaries may miss important central bank-specific language, such as 'hawkish' and 'dovish' terminology that is specific to monetary policy discussions.</w:t>
      </w:r>
    </w:p>
    <w:p>
      <w:pPr>
        <w:pStyle w:val="Heading2"/>
      </w:pPr>
      <w:r>
        <w:t>2.3 The Information Channel of Monetary Policy</w:t>
      </w:r>
    </w:p>
    <w:p>
      <w:pPr>
        <w:spacing w:after="120"/>
        <w:ind w:firstLine="425"/>
      </w:pPr>
      <w:r>
        <w:rPr>
          <w:rFonts w:ascii="Times New Roman" w:hAnsi="Times New Roman"/>
          <w:b w:val="0"/>
          <w:i w:val="0"/>
          <w:sz w:val="24"/>
        </w:rPr>
        <w:t>The information channel of monetary policy — the idea that central bank announcements reveal information about the economy, not just about policy — has received increasing attention. Romer and Romer (2000) first documented that the Federal Reserve has superior information about the economy, and that FOMC announcements reveal this information to markets. This finding challenges the standard identification assumption in monetary policy VARs, which treats all high-frequency interest rate changes around FOMC announcements as exogenous policy shocks.</w:t>
      </w:r>
    </w:p>
    <w:p>
      <w:pPr>
        <w:spacing w:after="120"/>
        <w:ind w:firstLine="425"/>
      </w:pPr>
      <w:r>
        <w:rPr>
          <w:rFonts w:ascii="Times New Roman" w:hAnsi="Times New Roman"/>
          <w:b w:val="0"/>
          <w:i w:val="0"/>
          <w:sz w:val="24"/>
        </w:rPr>
        <w:t>Jarociński and Karadi (2020) use a sign-restriction approach to separate monetary policy shocks into a policy shock and an information shock. They find that when interest rates rise and stock prices fall around an FOMC announcement, this is consistent with a contractionary policy shock; but when both interest rates and stock prices rise, this is consistent with an information shock (the Fed is revealing positive economic news). The two shocks have opposite effects on output and inflation, highlighting the importance of distinguishing between them.</w:t>
      </w:r>
    </w:p>
    <w:p>
      <w:pPr>
        <w:spacing w:after="120"/>
        <w:ind w:firstLine="425"/>
      </w:pPr>
      <w:r>
        <w:rPr>
          <w:rFonts w:ascii="Times New Roman" w:hAnsi="Times New Roman"/>
          <w:b w:val="0"/>
          <w:i w:val="0"/>
          <w:sz w:val="24"/>
        </w:rPr>
        <w:t>Our paper contributes to this literature by examining the information channel from a novel angle: instead of looking at asset price responses, we look at the language of FOMC statements themselves. If the path shock — which captures information about the future trajectory of policy — significantly predicts statement sentiment, this provides direct evidence that FOMC language conveys information about the future, not just the present. This approach complements the asset-price-based identification of information effects and provides a more direct test of the information channel hypothesis.</w:t>
      </w:r>
    </w:p>
    <w:p>
      <w:pPr>
        <w:pStyle w:val="Heading1"/>
      </w:pPr>
      <w:r>
        <w:t>3. Data and Measurement</w:t>
      </w:r>
    </w:p>
    <w:p>
      <w:pPr>
        <w:pStyle w:val="Heading2"/>
      </w:pPr>
      <w:r>
        <w:t>3.1 Monetary Policy Shocks</w:t>
      </w:r>
    </w:p>
    <w:p>
      <w:pPr>
        <w:spacing w:after="120"/>
        <w:ind w:firstLine="425"/>
      </w:pPr>
      <w:r>
        <w:rPr>
          <w:rFonts w:ascii="Times New Roman" w:hAnsi="Times New Roman"/>
          <w:b w:val="0"/>
          <w:i w:val="0"/>
          <w:sz w:val="24"/>
        </w:rPr>
        <w:t>We use the monetary policy shock series from Acosta (2022), who replicates and extends the GSS target and path factors and the Nakamura-Steinsson (NS) policy news shock using tick-frequency data from the Chicago Mercantile Exchange. The dataset covers 220 FOMC meetings from February 1995 to July 2022. The target factor captures the surprise in the current federal funds rate target (analogous to the Kuttner surprise), while the path factor captures the surprise in the future trajectory of monetary policy (analogous to the GSS path factor). Both factors are standardized to have unit standard deviation and positive correlation with the one-day change in the one-year Treasury yield around the FOMC announcement.</w:t>
      </w:r>
    </w:p>
    <w:p>
      <w:pPr>
        <w:spacing w:after="120"/>
        <w:ind w:firstLine="425"/>
      </w:pPr>
      <w:r>
        <w:rPr>
          <w:rFonts w:ascii="Times New Roman" w:hAnsi="Times New Roman"/>
          <w:b w:val="0"/>
          <w:i w:val="0"/>
          <w:sz w:val="24"/>
        </w:rPr>
        <w:t>For the period after July 2022 (not covered by the Acosta dataset), we extend the shock series using the Federal Reserve Bank of San Francisco's U.S. Monetary Policy Event-Study Database (USMPD), which provides raw high-frequency changes in fed funds futures (FF1-FF6) and eurodollar futures (ED1-ED8) around FOMC events through April 2026. We compute the target factor as the first principal component of [MP1, FF1-FF4] and the path factor as the first PC of [FF4-FF6, ED2-ED4] after orthogonalizing against the target, following the GSS (2005) methodology. Both factors are normalized by regressing on daily 1-year GSW yield changes. The resulting factors have high correlation with Acosta (2024): target r = 0.958, path r = 0.970. We use this extension only for robustness checks; our main results use the Acosta data exclusively.</w:t>
      </w:r>
    </w:p>
    <w:p>
      <w:pPr>
        <w:spacing w:after="60"/>
      </w:pPr>
      <w:r>
        <w:rPr>
          <w:rFonts w:ascii="Times New Roman" w:hAnsi="Times New Roman"/>
          <w:b/>
          <w:i/>
          <w:sz w:val="20"/>
        </w:rPr>
        <w:t>Table 1: Monetary Policy Shock Variables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Acosta (2024)/GSS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target rate surprise</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Acosta (2024)/GSS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forward guidance factor</w:t>
            </w:r>
          </w:p>
        </w:tc>
      </w:tr>
      <w:tr>
        <w:tc>
          <w:tcPr>
            <w:tcW w:type="dxa" w:w="1758"/>
          </w:tcPr>
          <w:p>
            <w:pPr>
              <w:jc w:val="center"/>
            </w:pPr>
            <w:r>
              <w:rPr>
                <w:rFonts w:ascii="Times New Roman" w:hAnsi="Times New Roman"/>
                <w:sz w:val="20"/>
              </w:rPr>
              <w:t>NS shock</w:t>
            </w:r>
          </w:p>
        </w:tc>
        <w:tc>
          <w:tcPr>
            <w:tcW w:type="dxa" w:w="1758"/>
          </w:tcPr>
          <w:p>
            <w:pPr>
              <w:jc w:val="center"/>
            </w:pPr>
            <w:r>
              <w:rPr>
                <w:rFonts w:ascii="Times New Roman" w:hAnsi="Times New Roman"/>
                <w:sz w:val="20"/>
              </w:rPr>
              <w:t>Acosta (2024)/NS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Policy news shock (Nakamura-Steinsson)</w:t>
            </w:r>
          </w:p>
        </w:tc>
      </w:tr>
      <w:tr>
        <w:tc>
          <w:tcPr>
            <w:tcW w:type="dxa" w:w="1758"/>
          </w:tcPr>
          <w:p>
            <w:pPr>
              <w:jc w:val="center"/>
            </w:pPr>
            <w:r>
              <w:rPr>
                <w:rFonts w:ascii="Times New Roman" w:hAnsi="Times New Roman"/>
                <w:sz w:val="20"/>
              </w:rPr>
              <w:t>FF shock (bp)</w:t>
            </w:r>
          </w:p>
        </w:tc>
        <w:tc>
          <w:tcPr>
            <w:tcW w:type="dxa" w:w="1758"/>
          </w:tcPr>
          <w:p>
            <w:pPr>
              <w:jc w:val="center"/>
            </w:pPr>
            <w:r>
              <w:rPr>
                <w:rFonts w:ascii="Times New Roman" w:hAnsi="Times New Roman"/>
                <w:sz w:val="20"/>
              </w:rPr>
              <w:t>Acosta (2024)</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30-min FF rate change in basis points</w:t>
            </w:r>
          </w:p>
        </w:tc>
      </w:tr>
      <w:tr>
        <w:tc>
          <w:tcPr>
            <w:tcW w:type="dxa" w:w="1758"/>
          </w:tcPr>
          <w:p>
            <w:pPr>
              <w:jc w:val="center"/>
            </w:pPr>
            <w:r>
              <w:rPr>
                <w:rFonts w:ascii="Times New Roman" w:hAnsi="Times New Roman"/>
                <w:sz w:val="20"/>
              </w:rPr>
              <w:t>Target (USMPD)</w:t>
            </w:r>
          </w:p>
        </w:tc>
        <w:tc>
          <w:tcPr>
            <w:tcW w:type="dxa" w:w="1758"/>
          </w:tcPr>
          <w:p>
            <w:pPr>
              <w:jc w:val="center"/>
            </w:pPr>
            <w:r>
              <w:rPr>
                <w:rFonts w:ascii="Times New Roman" w:hAnsi="Times New Roman"/>
                <w:sz w:val="20"/>
              </w:rPr>
              <w:t>USMPD/SF Fed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276</w:t>
            </w:r>
          </w:p>
        </w:tc>
        <w:tc>
          <w:tcPr>
            <w:tcW w:type="dxa" w:w="1758"/>
          </w:tcPr>
          <w:p>
            <w:pPr>
              <w:jc w:val="center"/>
            </w:pPr>
            <w:r>
              <w:rPr>
                <w:rFonts w:ascii="Times New Roman" w:hAnsi="Times New Roman"/>
                <w:sz w:val="20"/>
              </w:rPr>
              <w:t>GSS-style target from HF futures</w:t>
            </w:r>
          </w:p>
        </w:tc>
      </w:tr>
      <w:tr>
        <w:tc>
          <w:tcPr>
            <w:tcW w:type="dxa" w:w="1758"/>
          </w:tcPr>
          <w:p>
            <w:pPr>
              <w:jc w:val="center"/>
            </w:pPr>
            <w:r>
              <w:rPr>
                <w:rFonts w:ascii="Times New Roman" w:hAnsi="Times New Roman"/>
                <w:sz w:val="20"/>
              </w:rPr>
              <w:t>Path (USMPD)</w:t>
            </w:r>
          </w:p>
        </w:tc>
        <w:tc>
          <w:tcPr>
            <w:tcW w:type="dxa" w:w="1758"/>
          </w:tcPr>
          <w:p>
            <w:pPr>
              <w:jc w:val="center"/>
            </w:pPr>
            <w:r>
              <w:rPr>
                <w:rFonts w:ascii="Times New Roman" w:hAnsi="Times New Roman"/>
                <w:sz w:val="20"/>
              </w:rPr>
              <w:t>USMPD/SF Fed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276</w:t>
            </w:r>
          </w:p>
        </w:tc>
        <w:tc>
          <w:tcPr>
            <w:tcW w:type="dxa" w:w="1758"/>
          </w:tcPr>
          <w:p>
            <w:pPr>
              <w:jc w:val="center"/>
            </w:pPr>
            <w:r>
              <w:rPr>
                <w:rFonts w:ascii="Times New Roman" w:hAnsi="Times New Roman"/>
                <w:sz w:val="20"/>
              </w:rPr>
              <w:t>GSS-style path from HF futures</w:t>
            </w:r>
          </w:p>
        </w:tc>
      </w:tr>
    </w:tbl>
    <w:p/>
    <w:p>
      <w:pPr>
        <w:pStyle w:val="Heading2"/>
      </w:pPr>
      <w:r>
        <w:t>3.2 FOMC Statement Sentiment</w:t>
      </w:r>
    </w:p>
    <w:p>
      <w:pPr>
        <w:spacing w:after="120"/>
        <w:ind w:firstLine="425"/>
      </w:pPr>
      <w:r>
        <w:rPr>
          <w:rFonts w:ascii="Times New Roman" w:hAnsi="Times New Roman"/>
          <w:b w:val="0"/>
          <w:i w:val="0"/>
          <w:sz w:val="24"/>
        </w:rPr>
        <w:t>We construct a sentiment measure for FOMC statements using an expanded central bank dictionary that combines the Loughran-McDonald (2011) financial sentiment dictionary with a custom central bank dictionary. The LM dictionary contains approximately 30 positive and 30 negative words relevant to financial contexts, while our expanded CB dictionary contains 97 hawkish and 106 dovish terms specifically tailored to monetary policy language. The dictionaries are fully disjoint — no term appears in both hawkish and dovish sets — ensuring that each word contributes unambiguously to the sentiment score.</w:t>
      </w:r>
    </w:p>
    <w:p>
      <w:pPr>
        <w:spacing w:after="120"/>
        <w:ind w:firstLine="425"/>
      </w:pPr>
      <w:r>
        <w:rPr>
          <w:rFonts w:ascii="Times New Roman" w:hAnsi="Times New Roman"/>
          <w:b w:val="0"/>
          <w:i w:val="0"/>
          <w:sz w:val="24"/>
        </w:rPr>
        <w:t>The hawkish terms include words and phrases such as 'tighten,' 'restrictive,' 'inflationary,' 'overheating,' 'elevated,' 'vigilance,' 'normalize,' 'taper,' 'hike,' 'front-load,' and 'upside risks.' The dovish terms include 'accommodate,' 'ease,' 'stimulate,' 'support,' 'patient,' 'gradual,' 'data-dependent,' 'transitory,' and 'downside risks.' We also include bigram phrases such as 'rate hike,' 'inflation expectations,' 'restrictive stance' (hawkish) and 'rate cut,' 'accommodative stance,' 'forward guidance' (dovish). The full dictionary is reported in Appendix A.</w:t>
      </w:r>
    </w:p>
    <w:p>
      <w:pPr>
        <w:spacing w:after="120"/>
        <w:ind w:firstLine="425"/>
      </w:pPr>
      <w:r>
        <w:rPr>
          <w:rFonts w:ascii="Times New Roman" w:hAnsi="Times New Roman"/>
          <w:b w:val="0"/>
          <w:i w:val="0"/>
          <w:sz w:val="24"/>
        </w:rPr>
        <w:t>The combined sentiment score is computed as: Sentiment = 0.5 × [(Positive - Negative) / Total] + 0.5 × [(Hawkish - Dovish) / Total], where Positive and Negative are counts from the LM dictionary, Hawkish and Dovish are counts from the CB dictionary, and Total is the total word count. Higher values indicate more hawkish (tightening) language. This equal-weight combination follows the approach of Henry (2008) and Apel and Blix (2014).</w:t>
      </w:r>
    </w:p>
    <w:p>
      <w:pPr>
        <w:spacing w:after="120"/>
        <w:ind w:firstLine="425"/>
      </w:pPr>
      <w:r>
        <w:rPr>
          <w:rFonts w:ascii="Times New Roman" w:hAnsi="Times New Roman"/>
          <w:b w:val="0"/>
          <w:i w:val="0"/>
          <w:sz w:val="24"/>
        </w:rPr>
        <w:t>To validate our sentiment measure, we examine its correlation with the actual policy rate decision. In our sample, the sentiment score is positively correlated with the rate change (r = 0.18), indicating that more hawkish language is associated with larger rate hikes. However, the correlation is far from perfect, suggesting that the sentiment measure captures information beyond the rate decision itself. This is consistent with our hypothesis that FOMC language conveys forward-looking information that is not fully reflected in the current rate change.</w:t>
      </w:r>
    </w:p>
    <w:p>
      <w:pPr>
        <w:spacing w:after="120"/>
        <w:ind w:firstLine="425"/>
      </w:pPr>
      <w:r>
        <w:rPr>
          <w:rFonts w:ascii="Times New Roman" w:hAnsi="Times New Roman"/>
          <w:b w:val="0"/>
          <w:i w:val="0"/>
          <w:sz w:val="24"/>
        </w:rPr>
        <w:t>We also examine the persistence of sentiment across meetings. The autocorrelation of the sentiment score is approximately 0.35 at the one-meeting lag, indicating moderate persistence: the Fed tends to use similar language across consecutive meetings, but there is also substantial variation. This moderate persistence is consistent with the view that FOMC language reflects the Fed's evolving assessment of the economy, which changes gradually but can shift abruptly in response to new information (such as the financial crisis or the COVID pandemic).</w:t>
      </w:r>
    </w:p>
    <w:p>
      <w:pPr>
        <w:spacing w:after="120"/>
        <w:ind w:firstLine="425"/>
      </w:pPr>
      <w:r>
        <w:rPr>
          <w:rFonts w:ascii="Times New Roman" w:hAnsi="Times New Roman"/>
          <w:b w:val="0"/>
          <w:i w:val="0"/>
          <w:sz w:val="24"/>
        </w:rPr>
        <w:t>An important feature of our sentiment measure is that it is computed from the full text of the FOMC statement, not just the policy decision paragraph. This means that it captures the overall tone of the statement, including the economic assessment, the risk assessment, and the forward guidance language. The advantage of this approach is that it captures the full information content of the statement; the disadvantage is that it may conflate different dimensions of the communication. A more granular analysis that separately measures the sentiment of different sections of the statement (e.g., the economic assessment vs. the forward guidance) could provide additional insights, but is beyond the scope of this paper.</w:t>
      </w:r>
    </w:p>
    <w:p>
      <w:pPr>
        <w:spacing w:after="120"/>
        <w:ind w:firstLine="425"/>
      </w:pPr>
      <w:r>
        <w:rPr>
          <w:rFonts w:ascii="Times New Roman" w:hAnsi="Times New Roman"/>
          <w:b w:val="0"/>
          <w:i w:val="0"/>
          <w:sz w:val="24"/>
        </w:rPr>
        <w:t>Our expanded dictionary represents a significant improvement over the original CB dictionary used in our preliminary analysis (which contained only 18 hawkish and 18 dovish terms). The expansion from 36 to 120 terms increases the hit rate for FOMC-specific language and improves the signal-to-noise ratio of the sentiment measure. As we show in Section 6.3, the expanded dictionary produces substantially better results in the sentiment-shock regressions.</w:t>
      </w:r>
    </w:p>
    <w:p>
      <w:pPr>
        <w:pStyle w:val="Heading2"/>
      </w:pPr>
      <w:r>
        <w:t>3.3 Market Data</w:t>
      </w:r>
    </w:p>
    <w:p>
      <w:pPr>
        <w:spacing w:after="120"/>
        <w:ind w:firstLine="425"/>
      </w:pPr>
      <w:r>
        <w:rPr>
          <w:rFonts w:ascii="Times New Roman" w:hAnsi="Times New Roman"/>
          <w:b w:val="0"/>
          <w:i w:val="0"/>
          <w:sz w:val="24"/>
        </w:rPr>
        <w:t>We use CRSP daily stock return data accessed via WRDS (Wharton Research Data Services). Our primary market return measures are the CRSP value-weighted (VW) and equal-weighted (EW) market indices, which include all NYSE, AMEX, and NASDAQ stocks with delisting returns properly adjusted. These indices provide more accurate measures of market returns than the S&amp;P 500 or other subsets, as they include the full cross-section of listed stocks and properly handle delisting events.</w:t>
      </w:r>
    </w:p>
    <w:p>
      <w:pPr>
        <w:spacing w:after="120"/>
        <w:ind w:firstLine="425"/>
      </w:pPr>
      <w:r>
        <w:rPr>
          <w:rFonts w:ascii="Times New Roman" w:hAnsi="Times New Roman"/>
          <w:b w:val="0"/>
          <w:i w:val="0"/>
          <w:sz w:val="24"/>
        </w:rPr>
        <w:t>For the FOMC event window, we compute the daily return on the FOMC announcement day. Following the standard event-study methodology, we use the close-to-close return, which captures the market's reaction to the FOMC announcement released at 2:00 PM EST. We also compute abnormal returns for financial sector stocks using the market-adjusted model: AR_i = R_i - R_m, where R_i is the stock return and R_m is the CRSP VW market return.</w:t>
      </w:r>
    </w:p>
    <w:p>
      <w:pPr>
        <w:spacing w:after="60"/>
      </w:pPr>
      <w:r>
        <w:rPr>
          <w:rFonts w:ascii="Times New Roman" w:hAnsi="Times New Roman"/>
          <w:b/>
          <w:i/>
          <w:sz w:val="20"/>
        </w:rPr>
        <w:t>Table 2: Market and Fundamental Data</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CRSP VW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Value-weighted market index return</w:t>
            </w:r>
          </w:p>
        </w:tc>
      </w:tr>
      <w:tr>
        <w:tc>
          <w:tcPr>
            <w:tcW w:type="dxa" w:w="1758"/>
          </w:tcPr>
          <w:p>
            <w:pPr>
              <w:jc w:val="center"/>
            </w:pPr>
            <w:r>
              <w:rPr>
                <w:rFonts w:ascii="Times New Roman" w:hAnsi="Times New Roman"/>
                <w:sz w:val="20"/>
              </w:rPr>
              <w:t>CRSP EW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Equal-weighted market index return</w:t>
            </w:r>
          </w:p>
        </w:tc>
      </w:tr>
      <w:tr>
        <w:tc>
          <w:tcPr>
            <w:tcW w:type="dxa" w:w="1758"/>
          </w:tcPr>
          <w:p>
            <w:pPr>
              <w:jc w:val="center"/>
            </w:pPr>
            <w:r>
              <w:rPr>
                <w:rFonts w:ascii="Times New Roman" w:hAnsi="Times New Roman"/>
                <w:sz w:val="20"/>
              </w:rPr>
              <w:t>S&amp;P 500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S&amp;P 500 index return (CRSP)</w:t>
            </w:r>
          </w:p>
        </w:tc>
      </w:tr>
      <w:tr>
        <w:tc>
          <w:tcPr>
            <w:tcW w:type="dxa" w:w="1758"/>
          </w:tcPr>
          <w:p>
            <w:pPr>
              <w:jc w:val="center"/>
            </w:pPr>
            <w:r>
              <w:rPr>
                <w:rFonts w:ascii="Times New Roman" w:hAnsi="Times New Roman"/>
                <w:sz w:val="20"/>
              </w:rPr>
              <w:t>Financial stocks</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910 financial sector stocks (SIC 6000-6999)</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25,762 firms, quarterly fundamentals</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24,611 firms, annual fundamentals</w:t>
            </w:r>
          </w:p>
        </w:tc>
      </w:tr>
    </w:tbl>
    <w:p/>
    <w:p>
      <w:pPr>
        <w:pStyle w:val="Heading2"/>
      </w:pPr>
      <w:r>
        <w:t>3.4 FOMC Meeting Data</w:t>
      </w:r>
    </w:p>
    <w:p>
      <w:pPr>
        <w:spacing w:after="120"/>
        <w:ind w:firstLine="425"/>
      </w:pPr>
      <w:r>
        <w:rPr>
          <w:rFonts w:ascii="Times New Roman" w:hAnsi="Times New Roman"/>
          <w:b w:val="0"/>
          <w:i w:val="0"/>
          <w:sz w:val="24"/>
        </w:rPr>
        <w:t>Our sample covers 140 FOMC meetings from January 2006 to March 2025, with 164 FOMC statements available for text analysis. Of these, 117 meetings overlap with the Acosta (2022) monetary policy shock data (2006-2022), forming our main analysis sample. We classify each meeting by the chair's tenure (Greenspan, Bernanke, Yellen, Powell) and the monetary policy regime: conventional (pre-2008), forward guidance (2008-2015), and normalization (2016+).</w:t>
      </w:r>
    </w:p>
    <w:p>
      <w:pPr>
        <w:spacing w:after="60"/>
      </w:pPr>
      <w:r>
        <w:rPr>
          <w:rFonts w:ascii="Times New Roman" w:hAnsi="Times New Roman"/>
          <w:b/>
          <w:i/>
          <w:sz w:val="20"/>
        </w:rPr>
        <w:t>Table 3: Summary Statistics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Variable</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w:t>
            </w:r>
          </w:p>
        </w:tc>
        <w:tc>
          <w:tcPr>
            <w:tcW w:type="dxa" w:w="1465"/>
            <w:shd w:fill="F5F7FA"/>
          </w:tcPr>
          <w:p>
            <w:pPr>
              <w:jc w:val="center"/>
            </w:pPr>
            <w:r>
              <w:rPr>
                <w:rFonts w:ascii="Times New Roman" w:hAnsi="Times New Roman"/>
                <w:b/>
                <w:sz w:val="20"/>
              </w:rPr>
              <w:t>Std Dev</w:t>
            </w:r>
          </w:p>
        </w:tc>
        <w:tc>
          <w:tcPr>
            <w:tcW w:type="dxa" w:w="1465"/>
            <w:shd w:fill="F5F7FA"/>
          </w:tcPr>
          <w:p>
            <w:pPr>
              <w:jc w:val="center"/>
            </w:pPr>
            <w:r>
              <w:rPr>
                <w:rFonts w:ascii="Times New Roman" w:hAnsi="Times New Roman"/>
                <w:b/>
                <w:sz w:val="20"/>
              </w:rPr>
              <w:t>Min</w:t>
            </w:r>
          </w:p>
        </w:tc>
        <w:tc>
          <w:tcPr>
            <w:tcW w:type="dxa" w:w="1465"/>
            <w:shd w:fill="F5F7FA"/>
          </w:tcPr>
          <w:p>
            <w:pPr>
              <w:jc w:val="center"/>
            </w:pPr>
            <w:r>
              <w:rPr>
                <w:rFonts w:ascii="Times New Roman" w:hAnsi="Times New Roman"/>
                <w:b/>
                <w:sz w:val="20"/>
              </w:rPr>
              <w:t>Max</w:t>
            </w:r>
          </w:p>
        </w:tc>
      </w:tr>
      <w:tr>
        <w:tc>
          <w:tcPr>
            <w:tcW w:type="dxa" w:w="1465"/>
          </w:tcPr>
          <w:p>
            <w:pPr>
              <w:jc w:val="center"/>
            </w:pPr>
            <w:r>
              <w:rPr>
                <w:rFonts w:ascii="Times New Roman" w:hAnsi="Times New Roman"/>
                <w:sz w:val="20"/>
              </w:rPr>
              <w:t>Target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0.044</w:t>
            </w:r>
          </w:p>
        </w:tc>
        <w:tc>
          <w:tcPr>
            <w:tcW w:type="dxa" w:w="1465"/>
          </w:tcPr>
          <w:p>
            <w:pPr>
              <w:jc w:val="center"/>
            </w:pPr>
            <w:r>
              <w:rPr>
                <w:rFonts w:ascii="Times New Roman" w:hAnsi="Times New Roman"/>
                <w:sz w:val="20"/>
              </w:rPr>
              <w:t>1.000</w:t>
            </w:r>
          </w:p>
        </w:tc>
        <w:tc>
          <w:tcPr>
            <w:tcW w:type="dxa" w:w="1465"/>
          </w:tcPr>
          <w:p>
            <w:pPr>
              <w:jc w:val="center"/>
            </w:pPr>
            <w:r>
              <w:rPr>
                <w:rFonts w:ascii="Times New Roman" w:hAnsi="Times New Roman"/>
                <w:sz w:val="20"/>
              </w:rPr>
              <w:t>-4.955</w:t>
            </w:r>
          </w:p>
        </w:tc>
        <w:tc>
          <w:tcPr>
            <w:tcW w:type="dxa" w:w="1465"/>
          </w:tcPr>
          <w:p>
            <w:pPr>
              <w:jc w:val="center"/>
            </w:pPr>
            <w:r>
              <w:rPr>
                <w:rFonts w:ascii="Times New Roman" w:hAnsi="Times New Roman"/>
                <w:sz w:val="20"/>
              </w:rPr>
              <w:t>3.233</w:t>
            </w:r>
          </w:p>
        </w:tc>
      </w:tr>
      <w:tr>
        <w:tc>
          <w:tcPr>
            <w:tcW w:type="dxa" w:w="1465"/>
          </w:tcPr>
          <w:p>
            <w:pPr>
              <w:jc w:val="center"/>
            </w:pPr>
            <w:r>
              <w:rPr>
                <w:rFonts w:ascii="Times New Roman" w:hAnsi="Times New Roman"/>
                <w:sz w:val="20"/>
              </w:rPr>
              <w:t>Path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0.978</w:t>
            </w:r>
          </w:p>
        </w:tc>
        <w:tc>
          <w:tcPr>
            <w:tcW w:type="dxa" w:w="1465"/>
          </w:tcPr>
          <w:p>
            <w:pPr>
              <w:jc w:val="center"/>
            </w:pPr>
            <w:r>
              <w:rPr>
                <w:rFonts w:ascii="Times New Roman" w:hAnsi="Times New Roman"/>
                <w:sz w:val="20"/>
              </w:rPr>
              <w:t>-3.922</w:t>
            </w:r>
          </w:p>
        </w:tc>
        <w:tc>
          <w:tcPr>
            <w:tcW w:type="dxa" w:w="1465"/>
          </w:tcPr>
          <w:p>
            <w:pPr>
              <w:jc w:val="center"/>
            </w:pPr>
            <w:r>
              <w:rPr>
                <w:rFonts w:ascii="Times New Roman" w:hAnsi="Times New Roman"/>
                <w:sz w:val="20"/>
              </w:rPr>
              <w:t>3.994</w:t>
            </w:r>
          </w:p>
        </w:tc>
      </w:tr>
      <w:tr>
        <w:tc>
          <w:tcPr>
            <w:tcW w:type="dxa" w:w="1465"/>
          </w:tcPr>
          <w:p>
            <w:pPr>
              <w:jc w:val="center"/>
            </w:pPr>
            <w:r>
              <w:rPr>
                <w:rFonts w:ascii="Times New Roman" w:hAnsi="Times New Roman"/>
                <w:sz w:val="20"/>
              </w:rPr>
              <w:t>Kuttner (bp)</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-0.40</w:t>
            </w:r>
          </w:p>
        </w:tc>
        <w:tc>
          <w:tcPr>
            <w:tcW w:type="dxa" w:w="1465"/>
          </w:tcPr>
          <w:p>
            <w:pPr>
              <w:jc w:val="center"/>
            </w:pPr>
            <w:r>
              <w:rPr>
                <w:rFonts w:ascii="Times New Roman" w:hAnsi="Times New Roman"/>
                <w:sz w:val="20"/>
              </w:rPr>
              <w:t>3.93</w:t>
            </w:r>
          </w:p>
        </w:tc>
        <w:tc>
          <w:tcPr>
            <w:tcW w:type="dxa" w:w="1465"/>
          </w:tcPr>
          <w:p>
            <w:pPr>
              <w:jc w:val="center"/>
            </w:pPr>
            <w:r>
              <w:rPr>
                <w:rFonts w:ascii="Times New Roman" w:hAnsi="Times New Roman"/>
                <w:sz w:val="20"/>
              </w:rPr>
              <w:t>-20.63</w:t>
            </w:r>
          </w:p>
        </w:tc>
        <w:tc>
          <w:tcPr>
            <w:tcW w:type="dxa" w:w="1465"/>
          </w:tcPr>
          <w:p>
            <w:pPr>
              <w:jc w:val="center"/>
            </w:pPr>
            <w:r>
              <w:rPr>
                <w:rFonts w:ascii="Times New Roman" w:hAnsi="Times New Roman"/>
                <w:sz w:val="20"/>
              </w:rPr>
              <w:t>13.00</w:t>
            </w:r>
          </w:p>
        </w:tc>
      </w:tr>
      <w:tr>
        <w:tc>
          <w:tcPr>
            <w:tcW w:type="dxa" w:w="1465"/>
          </w:tcPr>
          <w:p>
            <w:pPr>
              <w:jc w:val="center"/>
            </w:pPr>
            <w:r>
              <w:rPr>
                <w:rFonts w:ascii="Times New Roman" w:hAnsi="Times New Roman"/>
                <w:sz w:val="20"/>
              </w:rPr>
              <w:t>Sentiment</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0.014</w:t>
            </w:r>
          </w:p>
        </w:tc>
        <w:tc>
          <w:tcPr>
            <w:tcW w:type="dxa" w:w="1465"/>
          </w:tcPr>
          <w:p>
            <w:pPr>
              <w:jc w:val="center"/>
            </w:pPr>
            <w:r>
              <w:rPr>
                <w:rFonts w:ascii="Times New Roman" w:hAnsi="Times New Roman"/>
                <w:sz w:val="20"/>
              </w:rPr>
              <w:t>0.003</w:t>
            </w:r>
          </w:p>
        </w:tc>
        <w:tc>
          <w:tcPr>
            <w:tcW w:type="dxa" w:w="1465"/>
          </w:tcPr>
          <w:p>
            <w:pPr>
              <w:jc w:val="center"/>
            </w:pPr>
            <w:r>
              <w:rPr>
                <w:rFonts w:ascii="Times New Roman" w:hAnsi="Times New Roman"/>
                <w:sz w:val="20"/>
              </w:rPr>
              <w:t>-0.006</w:t>
            </w:r>
          </w:p>
        </w:tc>
        <w:tc>
          <w:tcPr>
            <w:tcW w:type="dxa" w:w="1465"/>
          </w:tcPr>
          <w:p>
            <w:pPr>
              <w:jc w:val="center"/>
            </w:pPr>
            <w:r>
              <w:rPr>
                <w:rFonts w:ascii="Times New Roman" w:hAnsi="Times New Roman"/>
                <w:sz w:val="20"/>
              </w:rPr>
              <w:t>0.034</w:t>
            </w:r>
          </w:p>
        </w:tc>
      </w:tr>
      <w:tr>
        <w:tc>
          <w:tcPr>
            <w:tcW w:type="dxa" w:w="1465"/>
          </w:tcPr>
          <w:p>
            <w:pPr>
              <w:jc w:val="center"/>
            </w:pPr>
            <w:r>
              <w:rPr>
                <w:rFonts w:ascii="Times New Roman" w:hAnsi="Times New Roman"/>
                <w:sz w:val="20"/>
              </w:rPr>
              <w:t>CRSP VW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0.05</w:t>
            </w:r>
          </w:p>
        </w:tc>
        <w:tc>
          <w:tcPr>
            <w:tcW w:type="dxa" w:w="1465"/>
          </w:tcPr>
          <w:p>
            <w:pPr>
              <w:jc w:val="center"/>
            </w:pPr>
            <w:r>
              <w:rPr>
                <w:rFonts w:ascii="Times New Roman" w:hAnsi="Times New Roman"/>
                <w:sz w:val="20"/>
              </w:rPr>
              <w:t>1.20</w:t>
            </w:r>
          </w:p>
        </w:tc>
        <w:tc>
          <w:tcPr>
            <w:tcW w:type="dxa" w:w="1465"/>
          </w:tcPr>
          <w:p>
            <w:pPr>
              <w:jc w:val="center"/>
            </w:pPr>
            <w:r>
              <w:rPr>
                <w:rFonts w:ascii="Times New Roman" w:hAnsi="Times New Roman"/>
                <w:sz w:val="20"/>
              </w:rPr>
              <w:t>-4.35</w:t>
            </w:r>
          </w:p>
        </w:tc>
        <w:tc>
          <w:tcPr>
            <w:tcW w:type="dxa" w:w="1465"/>
          </w:tcPr>
          <w:p>
            <w:pPr>
              <w:jc w:val="center"/>
            </w:pPr>
            <w:r>
              <w:rPr>
                <w:rFonts w:ascii="Times New Roman" w:hAnsi="Times New Roman"/>
                <w:sz w:val="20"/>
              </w:rPr>
              <w:t>3.89</w:t>
            </w:r>
          </w:p>
        </w:tc>
      </w:tr>
      <w:tr>
        <w:tc>
          <w:tcPr>
            <w:tcW w:type="dxa" w:w="1465"/>
          </w:tcPr>
          <w:p>
            <w:pPr>
              <w:jc w:val="center"/>
            </w:pPr>
            <w:r>
              <w:rPr>
                <w:rFonts w:ascii="Times New Roman" w:hAnsi="Times New Roman"/>
                <w:sz w:val="20"/>
              </w:rPr>
              <w:t>CRSP EW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1.40</w:t>
            </w:r>
          </w:p>
        </w:tc>
        <w:tc>
          <w:tcPr>
            <w:tcW w:type="dxa" w:w="1465"/>
          </w:tcPr>
          <w:p>
            <w:pPr>
              <w:jc w:val="center"/>
            </w:pPr>
            <w:r>
              <w:rPr>
                <w:rFonts w:ascii="Times New Roman" w:hAnsi="Times New Roman"/>
                <w:sz w:val="20"/>
              </w:rPr>
              <w:t>-5.12</w:t>
            </w:r>
          </w:p>
        </w:tc>
        <w:tc>
          <w:tcPr>
            <w:tcW w:type="dxa" w:w="1465"/>
          </w:tcPr>
          <w:p>
            <w:pPr>
              <w:jc w:val="center"/>
            </w:pPr>
            <w:r>
              <w:rPr>
                <w:rFonts w:ascii="Times New Roman" w:hAnsi="Times New Roman"/>
                <w:sz w:val="20"/>
              </w:rPr>
              <w:t>4.67</w:t>
            </w:r>
          </w:p>
        </w:tc>
      </w:tr>
      <w:tr>
        <w:tc>
          <w:tcPr>
            <w:tcW w:type="dxa" w:w="1465"/>
          </w:tcPr>
          <w:p>
            <w:pPr>
              <w:jc w:val="center"/>
            </w:pPr>
            <w:r>
              <w:rPr>
                <w:rFonts w:ascii="Times New Roman" w:hAnsi="Times New Roman"/>
                <w:sz w:val="20"/>
              </w:rPr>
              <w:t>S&amp;P 500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w:t>
            </w:r>
          </w:p>
        </w:tc>
        <w:tc>
          <w:tcPr>
            <w:tcW w:type="dxa" w:w="1465"/>
          </w:tcPr>
          <w:p>
            <w:pPr>
              <w:jc w:val="center"/>
            </w:pPr>
            <w:r>
              <w:rPr>
                <w:rFonts w:ascii="Times New Roman" w:hAnsi="Times New Roman"/>
                <w:sz w:val="20"/>
              </w:rPr>
              <w:t>1.15</w:t>
            </w:r>
          </w:p>
        </w:tc>
        <w:tc>
          <w:tcPr>
            <w:tcW w:type="dxa" w:w="1465"/>
          </w:tcPr>
          <w:p>
            <w:pPr>
              <w:jc w:val="center"/>
            </w:pPr>
            <w:r>
              <w:rPr>
                <w:rFonts w:ascii="Times New Roman" w:hAnsi="Times New Roman"/>
                <w:sz w:val="20"/>
              </w:rPr>
              <w:t>-4.10</w:t>
            </w:r>
          </w:p>
        </w:tc>
        <w:tc>
          <w:tcPr>
            <w:tcW w:type="dxa" w:w="1465"/>
          </w:tcPr>
          <w:p>
            <w:pPr>
              <w:jc w:val="center"/>
            </w:pPr>
            <w:r>
              <w:rPr>
                <w:rFonts w:ascii="Times New Roman" w:hAnsi="Times New Roman"/>
                <w:sz w:val="20"/>
              </w:rPr>
              <w:t>3.52</w:t>
            </w:r>
          </w:p>
        </w:tc>
      </w:tr>
      <w:tr>
        <w:tc>
          <w:tcPr>
            <w:tcW w:type="dxa" w:w="1465"/>
          </w:tcPr>
          <w:p>
            <w:pPr>
              <w:jc w:val="center"/>
            </w:pPr>
            <w:r>
              <w:rPr>
                <w:rFonts w:ascii="Times New Roman" w:hAnsi="Times New Roman"/>
                <w:sz w:val="20"/>
              </w:rPr>
              <w:t>Gold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0.02</w:t>
            </w:r>
          </w:p>
        </w:tc>
        <w:tc>
          <w:tcPr>
            <w:tcW w:type="dxa" w:w="1465"/>
          </w:tcPr>
          <w:p>
            <w:pPr>
              <w:jc w:val="center"/>
            </w:pPr>
            <w:r>
              <w:rPr>
                <w:rFonts w:ascii="Times New Roman" w:hAnsi="Times New Roman"/>
                <w:sz w:val="20"/>
              </w:rPr>
              <w:t>1.35</w:t>
            </w:r>
          </w:p>
        </w:tc>
        <w:tc>
          <w:tcPr>
            <w:tcW w:type="dxa" w:w="1465"/>
          </w:tcPr>
          <w:p>
            <w:pPr>
              <w:jc w:val="center"/>
            </w:pPr>
            <w:r>
              <w:rPr>
                <w:rFonts w:ascii="Times New Roman" w:hAnsi="Times New Roman"/>
                <w:sz w:val="20"/>
              </w:rPr>
              <w:t>-3.89</w:t>
            </w:r>
          </w:p>
        </w:tc>
        <w:tc>
          <w:tcPr>
            <w:tcW w:type="dxa" w:w="1465"/>
          </w:tcPr>
          <w:p>
            <w:pPr>
              <w:jc w:val="center"/>
            </w:pPr>
            <w:r>
              <w:rPr>
                <w:rFonts w:ascii="Times New Roman" w:hAnsi="Times New Roman"/>
                <w:sz w:val="20"/>
              </w:rPr>
              <w:t>4.12</w:t>
            </w:r>
          </w:p>
        </w:tc>
      </w:tr>
    </w:tbl>
    <w:p/>
    <w:p>
      <w:pPr>
        <w:pStyle w:val="Heading1"/>
      </w:pPr>
      <w:r>
        <w:t>4. Empirical Methodology</w:t>
      </w:r>
    </w:p>
    <w:p>
      <w:pPr>
        <w:pStyle w:val="Heading2"/>
      </w:pPr>
      <w:r>
        <w:t>4.1 Hypothesis Development</w:t>
      </w:r>
    </w:p>
    <w:p>
      <w:pPr>
        <w:spacing w:after="120"/>
        <w:ind w:firstLine="425"/>
      </w:pPr>
      <w:r>
        <w:rPr>
          <w:rFonts w:ascii="Times New Roman" w:hAnsi="Times New Roman"/>
          <w:b w:val="0"/>
          <w:i w:val="0"/>
          <w:sz w:val="24"/>
        </w:rPr>
        <w:t>We test four hypotheses about the relationship between monetary policy shocks, FOMC statement sentiment, and asset returns.</w:t>
      </w:r>
    </w:p>
    <w:p>
      <w:pPr>
        <w:spacing w:after="120"/>
        <w:ind w:firstLine="425"/>
      </w:pPr>
      <w:r>
        <w:rPr>
          <w:rFonts w:ascii="Times New Roman" w:hAnsi="Times New Roman"/>
          <w:b w:val="0"/>
          <w:i w:val="0"/>
          <w:sz w:val="24"/>
        </w:rPr>
        <w:t>H1 (Sentiment-Shock Relation): FOMC statement sentiment is related to monetary policy shocks, but the relationship is not collinear — sentiment captures information beyond what is reflected in the target rate surprise alone. Specifically, we expect the path shock to have a significant effect on sentiment, as forward guidance language conveys information about the future trajectory of policy that goes beyond the current rate decision.</w:t>
      </w:r>
    </w:p>
    <w:p>
      <w:pPr>
        <w:spacing w:after="120"/>
        <w:ind w:firstLine="425"/>
      </w:pPr>
      <w:r>
        <w:rPr>
          <w:rFonts w:ascii="Times New Roman" w:hAnsi="Times New Roman"/>
          <w:b w:val="0"/>
          <w:i w:val="0"/>
          <w:sz w:val="24"/>
        </w:rPr>
        <w:t>H2 (Incremental R²): Monetary policy shocks explain a significant fraction of the variation in asset returns around FOMC announcements, and the path shock provides incremental explanatory power beyond the target shock. This hypothesis follows directly from Gürkaynak et al. (2005), who showed that the path factor explains additional variation in long-term interest rates and stock prices.</w:t>
      </w:r>
    </w:p>
    <w:p>
      <w:pPr>
        <w:spacing w:after="120"/>
        <w:ind w:firstLine="425"/>
      </w:pPr>
      <w:r>
        <w:rPr>
          <w:rFonts w:ascii="Times New Roman" w:hAnsi="Times New Roman"/>
          <w:b w:val="0"/>
          <w:i w:val="0"/>
          <w:sz w:val="24"/>
        </w:rPr>
        <w:t>H3 (Information Channel): The path shock has a larger effect on FOMC statement sentiment than the target shock, supporting the information channel hypothesis. If the language of FOMC statements primarily reflects information about the future (rather than just the current rate decision), then the path shock — which captures this forward-looking information — should be the dominant driver of sentiment.</w:t>
      </w:r>
    </w:p>
    <w:p>
      <w:pPr>
        <w:spacing w:after="120"/>
        <w:ind w:firstLine="425"/>
      </w:pPr>
      <w:r>
        <w:rPr>
          <w:rFonts w:ascii="Times New Roman" w:hAnsi="Times New Roman"/>
          <w:b w:val="0"/>
          <w:i w:val="0"/>
          <w:sz w:val="24"/>
        </w:rPr>
        <w:t>H4 (Forward Guidance Period): The effect of sentiment on asset returns is stronger during the forward guidance period (2008-2015), when the Fed explicitly communicated about the future path of policy. During this period, the language of FOMC statements carried more weight because the rate decision itself was constrained by the zero lower bound.</w:t>
      </w:r>
    </w:p>
    <w:p>
      <w:pPr>
        <w:pStyle w:val="Heading2"/>
      </w:pPr>
      <w:r>
        <w:t>4.2 Regression Specifications</w:t>
      </w:r>
    </w:p>
    <w:p>
      <w:pPr>
        <w:spacing w:after="120"/>
        <w:ind w:firstLine="425"/>
      </w:pPr>
      <w:r>
        <w:rPr>
          <w:rFonts w:ascii="Times New Roman" w:hAnsi="Times New Roman"/>
          <w:b w:val="0"/>
          <w:i w:val="0"/>
          <w:sz w:val="24"/>
        </w:rPr>
        <w:t>To test H1 and H3, we estimate the following regression:</w:t>
      </w:r>
    </w:p>
    <w:p>
      <w:pPr>
        <w:spacing w:after="120"/>
      </w:pPr>
      <w:r>
        <w:rPr>
          <w:rFonts w:ascii="Times New Roman" w:hAnsi="Times New Roman"/>
          <w:b w:val="0"/>
          <w:i w:val="0"/>
          <w:sz w:val="22"/>
        </w:rPr>
        <w:t>Sentiment_t = α + β₁ × Target_t + β₂ × Path_t + ε_t    (1)</w:t>
      </w:r>
    </w:p>
    <w:p>
      <w:pPr>
        <w:spacing w:after="120"/>
        <w:ind w:firstLine="425"/>
      </w:pPr>
      <w:r>
        <w:rPr>
          <w:rFonts w:ascii="Times New Roman" w:hAnsi="Times New Roman"/>
          <w:b w:val="0"/>
          <w:i w:val="0"/>
          <w:sz w:val="24"/>
        </w:rPr>
        <w:t>where Sentiment_t is the sentiment score of the FOMC statement released on date t, Target_t is the GSS target shock, and Path_t is the GSS path shock. H1 predicts that at least one of β₁ or β₂ is significantly different from zero. H3 predicts that |β₂| &gt; |β₁|, i.e., the path shock has a larger effect on sentiment than the target shock.</w:t>
      </w:r>
    </w:p>
    <w:p>
      <w:pPr>
        <w:spacing w:after="120"/>
        <w:ind w:firstLine="425"/>
      </w:pPr>
      <w:r>
        <w:rPr>
          <w:rFonts w:ascii="Times New Roman" w:hAnsi="Times New Roman"/>
          <w:b w:val="0"/>
          <w:i w:val="0"/>
          <w:sz w:val="24"/>
        </w:rPr>
        <w:t>To test H2, we estimate separate regressions for each asset class:</w:t>
      </w:r>
    </w:p>
    <w:p>
      <w:pPr>
        <w:spacing w:after="120"/>
      </w:pPr>
      <w:r>
        <w:rPr>
          <w:rFonts w:ascii="Times New Roman" w:hAnsi="Times New Roman"/>
          <w:b w:val="0"/>
          <w:i w:val="0"/>
          <w:sz w:val="22"/>
        </w:rPr>
        <w:t>Return_t^j = α + β₁ × Target_t + β₂ × Path_t + ε_t    (2)</w:t>
      </w:r>
    </w:p>
    <w:p>
      <w:pPr>
        <w:spacing w:after="120"/>
        <w:ind w:firstLine="425"/>
      </w:pPr>
      <w:r>
        <w:rPr>
          <w:rFonts w:ascii="Times New Roman" w:hAnsi="Times New Roman"/>
          <w:b w:val="0"/>
          <w:i w:val="0"/>
          <w:sz w:val="24"/>
        </w:rPr>
        <w:t>where Return_t^j is the return on asset j (CRSP VW market, CRSP EW market, S&amp;P 500, gold, 10-year Treasury yield change, 13-week T-bill yield change) on FOMC date t. H2 predicts that β₂ is significantly different from zero for at least some assets, indicating that the path shock provides incremental explanatory power.</w:t>
      </w:r>
    </w:p>
    <w:p>
      <w:pPr>
        <w:spacing w:after="120"/>
        <w:ind w:firstLine="425"/>
      </w:pPr>
      <w:r>
        <w:rPr>
          <w:rFonts w:ascii="Times New Roman" w:hAnsi="Times New Roman"/>
          <w:b w:val="0"/>
          <w:i w:val="0"/>
          <w:sz w:val="24"/>
        </w:rPr>
        <w:t>To test H4, we estimate:</w:t>
      </w:r>
    </w:p>
    <w:p>
      <w:pPr>
        <w:spacing w:after="120"/>
      </w:pPr>
      <w:r>
        <w:rPr>
          <w:rFonts w:ascii="Times New Roman" w:hAnsi="Times New Roman"/>
          <w:b w:val="0"/>
          <w:i w:val="0"/>
          <w:sz w:val="22"/>
        </w:rPr>
        <w:t>Return_t = α + β₁ × Target_t + β₂ × Sentiment_t + β₃ × (Sentiment_t × FG_t) + ε_t    (3)</w:t>
      </w:r>
    </w:p>
    <w:p>
      <w:pPr>
        <w:spacing w:after="120"/>
        <w:ind w:firstLine="425"/>
      </w:pPr>
      <w:r>
        <w:rPr>
          <w:rFonts w:ascii="Times New Roman" w:hAnsi="Times New Roman"/>
          <w:b w:val="0"/>
          <w:i w:val="0"/>
          <w:sz w:val="24"/>
        </w:rPr>
        <w:t>where FG_t is an indicator for the forward guidance period (2008-2015). H4 predicts that β₃ is significantly different from zero and that |β₃| &gt; |β₂|, indicating that the effect of sentiment on returns is amplified during the forward guidance period.</w:t>
      </w:r>
    </w:p>
    <w:p>
      <w:pPr>
        <w:spacing w:after="120"/>
        <w:ind w:firstLine="425"/>
      </w:pPr>
      <w:r>
        <w:rPr>
          <w:rFonts w:ascii="Times New Roman" w:hAnsi="Times New Roman"/>
          <w:b w:val="0"/>
          <w:i w:val="0"/>
          <w:sz w:val="24"/>
        </w:rPr>
        <w:t>All regressions are estimated using OLS with Newey-West (1987) heteroskedasticity and autocorrelation consistent (HAC) standard errors with one lag. We use one lag following the standard practice in the monetary policy event-study literature, where the number of observations is typically small (N ≈ 100-200) and the lag length should be conservative to avoid overfitting the covariance matrix.</w:t>
      </w:r>
    </w:p>
    <w:p>
      <w:pPr>
        <w:pStyle w:val="Heading1"/>
      </w:pPr>
      <w:r>
        <w:t>5. Main Results</w:t>
      </w:r>
    </w:p>
    <w:p>
      <w:pPr>
        <w:pStyle w:val="Heading2"/>
      </w:pPr>
      <w:r>
        <w:t>5.1 H1: Sentiment and Monetary Policy Shocks</w:t>
      </w:r>
    </w:p>
    <w:p>
      <w:pPr>
        <w:spacing w:after="120"/>
        <w:ind w:firstLine="425"/>
      </w:pPr>
      <w:r>
        <w:rPr>
          <w:rFonts w:ascii="Times New Roman" w:hAnsi="Times New Roman"/>
          <w:b w:val="0"/>
          <w:i w:val="0"/>
          <w:sz w:val="24"/>
        </w:rPr>
        <w:t>Table 4 presents the results of the sentiment-shock regression (Equation 1). The path shock has a significant positive effect on FOMC statement sentiment (β = 0.000469, t = 2.012, p = 0.047), while the target shock is marginally significant (β = 0.000290, t = 1.887, p = 0.062). The R² of the regression is 4.06%, indicating that monetary policy shocks explain a modest but statistically significant fraction of the variation in FOMC language sentiment.</w:t>
      </w:r>
    </w:p>
    <w:p>
      <w:pPr>
        <w:spacing w:after="60"/>
      </w:pPr>
      <w:r>
        <w:rPr>
          <w:rFonts w:ascii="Times New Roman" w:hAnsi="Times New Roman"/>
          <w:b/>
          <w:i/>
          <w:sz w:val="20"/>
        </w:rPr>
        <w:t>Table 4: Sentiment ~ Target Shock + Path Shock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r>
          </w:p>
        </w:tc>
        <w:tc>
          <w:tcPr>
            <w:tcW w:type="dxa" w:w="1758"/>
            <w:shd w:fill="F5F7FA"/>
          </w:tcPr>
          <w:p>
            <w:pPr>
              <w:jc w:val="center"/>
            </w:pPr>
            <w:r>
              <w:rPr>
                <w:rFonts w:ascii="Times New Roman" w:hAnsi="Times New Roman"/>
                <w:b/>
                <w:sz w:val="20"/>
              </w:rPr>
              <w:t>Coefficient</w:t>
            </w:r>
          </w:p>
        </w:tc>
        <w:tc>
          <w:tcPr>
            <w:tcW w:type="dxa" w:w="1758"/>
            <w:shd w:fill="F5F7FA"/>
          </w:tcPr>
          <w:p>
            <w:pPr>
              <w:jc w:val="center"/>
            </w:pPr>
            <w:r>
              <w:rPr>
                <w:rFonts w:ascii="Times New Roman" w:hAnsi="Times New Roman"/>
                <w:b/>
                <w:sz w:val="20"/>
              </w:rPr>
              <w:t>Std Error</w:t>
            </w:r>
          </w:p>
        </w:tc>
        <w:tc>
          <w:tcPr>
            <w:tcW w:type="dxa" w:w="1758"/>
            <w:shd w:fill="F5F7FA"/>
          </w:tcPr>
          <w:p>
            <w:pPr>
              <w:jc w:val="center"/>
            </w:pPr>
            <w:r>
              <w:rPr>
                <w:rFonts w:ascii="Times New Roman" w:hAnsi="Times New Roman"/>
                <w:b/>
                <w:sz w:val="20"/>
              </w:rPr>
              <w:t>t-statistic</w:t>
            </w:r>
          </w:p>
        </w:tc>
        <w:tc>
          <w:tcPr>
            <w:tcW w:type="dxa" w:w="1758"/>
            <w:shd w:fill="F5F7FA"/>
          </w:tcPr>
          <w:p>
            <w:pPr>
              <w:jc w:val="center"/>
            </w:pPr>
            <w:r>
              <w:rPr>
                <w:rFonts w:ascii="Times New Roman" w:hAnsi="Times New Roman"/>
                <w:b/>
                <w:sz w:val="20"/>
              </w:rPr>
              <w:t>p-value</w:t>
            </w:r>
          </w:p>
        </w:tc>
      </w:tr>
      <w:tr>
        <w:tc>
          <w:tcPr>
            <w:tcW w:type="dxa" w:w="1758"/>
          </w:tcPr>
          <w:p>
            <w:pPr>
              <w:jc w:val="center"/>
            </w:pPr>
            <w:r>
              <w:rPr>
                <w:rFonts w:ascii="Times New Roman" w:hAnsi="Times New Roman"/>
                <w:sz w:val="20"/>
              </w:rPr>
              <w:t>Intercept</w:t>
            </w:r>
          </w:p>
        </w:tc>
        <w:tc>
          <w:tcPr>
            <w:tcW w:type="dxa" w:w="1758"/>
          </w:tcPr>
          <w:p>
            <w:pPr>
              <w:jc w:val="center"/>
            </w:pPr>
            <w:r>
              <w:rPr>
                <w:rFonts w:ascii="Times New Roman" w:hAnsi="Times New Roman"/>
                <w:sz w:val="20"/>
              </w:rPr>
              <w:t>0.0144</w:t>
            </w:r>
          </w:p>
        </w:tc>
        <w:tc>
          <w:tcPr>
            <w:tcW w:type="dxa" w:w="1758"/>
          </w:tcPr>
          <w:p>
            <w:pPr>
              <w:jc w:val="center"/>
            </w:pPr>
            <w:r>
              <w:rPr>
                <w:rFonts w:ascii="Times New Roman" w:hAnsi="Times New Roman"/>
                <w:sz w:val="20"/>
              </w:rPr>
              <w:t>0.0003</w:t>
            </w:r>
          </w:p>
        </w:tc>
        <w:tc>
          <w:tcPr>
            <w:tcW w:type="dxa" w:w="1758"/>
          </w:tcPr>
          <w:p>
            <w:pPr>
              <w:jc w:val="center"/>
            </w:pPr>
            <w:r>
              <w:rPr>
                <w:rFonts w:ascii="Times New Roman" w:hAnsi="Times New Roman"/>
                <w:sz w:val="20"/>
              </w:rPr>
              <w:t>48.00</w:t>
            </w:r>
          </w:p>
        </w:tc>
        <w:tc>
          <w:tcPr>
            <w:tcW w:type="dxa" w:w="1758"/>
          </w:tcPr>
          <w:p>
            <w:pPr>
              <w:jc w:val="center"/>
            </w:pPr>
            <w:r>
              <w:rPr>
                <w:rFonts w:ascii="Times New Roman" w:hAnsi="Times New Roman"/>
                <w:sz w:val="20"/>
              </w:rPr>
              <w:t>0.000</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0.000290</w:t>
            </w:r>
          </w:p>
        </w:tc>
        <w:tc>
          <w:tcPr>
            <w:tcW w:type="dxa" w:w="1758"/>
          </w:tcPr>
          <w:p>
            <w:pPr>
              <w:jc w:val="center"/>
            </w:pPr>
            <w:r>
              <w:rPr>
                <w:rFonts w:ascii="Times New Roman" w:hAnsi="Times New Roman"/>
                <w:sz w:val="20"/>
              </w:rPr>
              <w:t>0.000154</w:t>
            </w:r>
          </w:p>
        </w:tc>
        <w:tc>
          <w:tcPr>
            <w:tcW w:type="dxa" w:w="1758"/>
          </w:tcPr>
          <w:p>
            <w:pPr>
              <w:jc w:val="center"/>
            </w:pPr>
            <w:r>
              <w:rPr>
                <w:rFonts w:ascii="Times New Roman" w:hAnsi="Times New Roman"/>
                <w:sz w:val="20"/>
              </w:rPr>
              <w:t>1.887</w:t>
            </w:r>
          </w:p>
        </w:tc>
        <w:tc>
          <w:tcPr>
            <w:tcW w:type="dxa" w:w="1758"/>
          </w:tcPr>
          <w:p>
            <w:pPr>
              <w:jc w:val="center"/>
            </w:pPr>
            <w:r>
              <w:rPr>
                <w:rFonts w:ascii="Times New Roman" w:hAnsi="Times New Roman"/>
                <w:sz w:val="20"/>
              </w:rPr>
              <w:t>0.062</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0.000469</w:t>
            </w:r>
          </w:p>
        </w:tc>
        <w:tc>
          <w:tcPr>
            <w:tcW w:type="dxa" w:w="1758"/>
          </w:tcPr>
          <w:p>
            <w:pPr>
              <w:jc w:val="center"/>
            </w:pPr>
            <w:r>
              <w:rPr>
                <w:rFonts w:ascii="Times New Roman" w:hAnsi="Times New Roman"/>
                <w:sz w:val="20"/>
              </w:rPr>
              <w:t>0.000233</w:t>
            </w:r>
          </w:p>
        </w:tc>
        <w:tc>
          <w:tcPr>
            <w:tcW w:type="dxa" w:w="1758"/>
          </w:tcPr>
          <w:p>
            <w:pPr>
              <w:jc w:val="center"/>
            </w:pPr>
            <w:r>
              <w:rPr>
                <w:rFonts w:ascii="Times New Roman" w:hAnsi="Times New Roman"/>
                <w:sz w:val="20"/>
              </w:rPr>
              <w:t>2.012</w:t>
            </w:r>
          </w:p>
        </w:tc>
        <w:tc>
          <w:tcPr>
            <w:tcW w:type="dxa" w:w="1758"/>
          </w:tcPr>
          <w:p>
            <w:pPr>
              <w:jc w:val="center"/>
            </w:pPr>
            <w:r>
              <w:rPr>
                <w:rFonts w:ascii="Times New Roman" w:hAnsi="Times New Roman"/>
                <w:sz w:val="20"/>
              </w:rPr>
              <w:t>0.047</w:t>
            </w:r>
          </w:p>
        </w:tc>
      </w:tr>
      <w:tr>
        <w:tc>
          <w:tcPr>
            <w:tcW w:type="dxa" w:w="1758"/>
          </w:tcPr>
          <w:p>
            <w:pPr>
              <w:jc w:val="center"/>
            </w:pPr>
            <w:r>
              <w:rPr>
                <w:rFonts w:ascii="Times New Roman" w:hAnsi="Times New Roman"/>
                <w:sz w:val="20"/>
              </w:rPr>
              <w:t>R²</w:t>
            </w:r>
          </w:p>
        </w:tc>
        <w:tc>
          <w:tcPr>
            <w:tcW w:type="dxa" w:w="1758"/>
          </w:tcPr>
          <w:p>
            <w:pPr>
              <w:jc w:val="center"/>
            </w:pPr>
            <w:r>
              <w:rPr>
                <w:rFonts w:ascii="Times New Roman" w:hAnsi="Times New Roman"/>
                <w:sz w:val="20"/>
              </w:rPr>
              <w:t>0.0406</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r>
        <w:tc>
          <w:tcPr>
            <w:tcW w:type="dxa" w:w="1758"/>
          </w:tcPr>
          <w:p>
            <w:pPr>
              <w:jc w:val="center"/>
            </w:pPr>
            <w:r>
              <w:rPr>
                <w:rFonts w:ascii="Times New Roman" w:hAnsi="Times New Roman"/>
                <w:sz w:val="20"/>
              </w:rPr>
              <w:t>N</w:t>
            </w:r>
          </w:p>
        </w:tc>
        <w:tc>
          <w:tcPr>
            <w:tcW w:type="dxa" w:w="1758"/>
          </w:tcPr>
          <w:p>
            <w:pPr>
              <w:jc w:val="center"/>
            </w:pPr>
            <w:r>
              <w:rPr>
                <w:rFonts w:ascii="Times New Roman" w:hAnsi="Times New Roman"/>
                <w:sz w:val="20"/>
              </w:rPr>
              <w:t>117</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positive coefficient on the path shock indicates that when the FOMC statement reveals a more hawkish-than-expected future policy path (positive path shock), the language of the statement is also more hawkish (higher sentiment score). This is consistent with the information channel: the Fed's language reflects its assessment of future economic conditions and its intended policy response, not just the current rate decision.</w:t>
      </w:r>
    </w:p>
    <w:p>
      <w:pPr>
        <w:jc w:val="center"/>
      </w:pPr>
      <w:r>
        <w:drawing>
          <wp:inline xmlns:a="http://schemas.openxmlformats.org/drawingml/2006/main" xmlns:pic="http://schemas.openxmlformats.org/drawingml/2006/picture">
            <wp:extent cx="5029200" cy="2064782"/>
            <wp:docPr id="1" name="Picture 1"/>
            <wp:cNvGraphicFramePr>
              <a:graphicFrameLocks noChangeAspect="1"/>
            </wp:cNvGraphicFramePr>
            <a:graphic>
              <a:graphicData uri="http://schemas.openxmlformats.org/drawingml/2006/picture">
                <pic:pic>
                  <pic:nvPicPr>
                    <pic:cNvPr id="0" name="fig2_h1_scatter.png"/>
                    <pic:cNvPicPr/>
                  </pic:nvPicPr>
                  <pic:blipFill>
                    <a:blip r:embed="rId9"/>
                    <a:stretch>
                      <a:fillRect/>
                    </a:stretch>
                  </pic:blipFill>
                  <pic:spPr>
                    <a:xfrm>
                      <a:off x="0" y="0"/>
                      <a:ext cx="5029200" cy="2064782"/>
                    </a:xfrm>
                    <a:prstGeom prst="rect"/>
                  </pic:spPr>
                </pic:pic>
              </a:graphicData>
            </a:graphic>
          </wp:inline>
        </w:drawing>
      </w:r>
    </w:p>
    <w:p>
      <w:pPr>
        <w:spacing w:after="240"/>
        <w:jc w:val="center"/>
      </w:pPr>
      <w:r>
        <w:rPr>
          <w:rFonts w:ascii="Times New Roman" w:hAnsi="Times New Roman"/>
          <w:i/>
          <w:sz w:val="20"/>
        </w:rPr>
        <w:t>Figure 1: Sentiment vs. Path Shock. Each point represents an FOMC meeting. The positive slope (β = 0.000469, p = 0.047) indicates that more hawkish-than-expected forward guidance is associated with more hawkish statement language.</w:t>
      </w:r>
    </w:p>
    <w:p>
      <w:pPr>
        <w:pStyle w:val="Heading2"/>
      </w:pPr>
      <w:r>
        <w:t>5.2 H2: Asset Returns and Monetary Policy Shocks</w:t>
      </w:r>
    </w:p>
    <w:p>
      <w:pPr>
        <w:spacing w:after="120"/>
        <w:ind w:firstLine="425"/>
      </w:pPr>
      <w:r>
        <w:rPr>
          <w:rFonts w:ascii="Times New Roman" w:hAnsi="Times New Roman"/>
          <w:b w:val="0"/>
          <w:i w:val="0"/>
          <w:sz w:val="24"/>
        </w:rPr>
        <w:t>Table 5 presents the results of the asset return regressions (Equation 2). The target shock has a negative effect on equity returns, consistent with the standard view that contractionary monetary policy surprises reduce stock prices. The effect is statistically significant for the equal-weighted CRSP market return (β = -0.449, t = -2.033, p &lt; 0.05) and marginally significant for the S&amp;P 500 (β = -0.259, t = -1.657, p &lt; 0.10) and gold (β = -0.404, t = -1.875, p &lt; 0.10).</w:t>
      </w:r>
    </w:p>
    <w:p>
      <w:pPr>
        <w:spacing w:after="60"/>
      </w:pPr>
      <w:r>
        <w:rPr>
          <w:rFonts w:ascii="Times New Roman" w:hAnsi="Times New Roman"/>
          <w:b/>
          <w:i/>
          <w:sz w:val="20"/>
        </w:rPr>
        <w:t>Table 5: Asset Returns ~ Target Shock + Path Shock (H2). ** p&lt;0.05, * p&lt;0.10</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Asset</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t(Target)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t(Path)</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CRSP VW Market</w:t>
            </w:r>
          </w:p>
        </w:tc>
        <w:tc>
          <w:tcPr>
            <w:tcW w:type="dxa" w:w="1255"/>
          </w:tcPr>
          <w:p>
            <w:pPr>
              <w:jc w:val="center"/>
            </w:pPr>
            <w:r>
              <w:rPr>
                <w:rFonts w:ascii="Times New Roman" w:hAnsi="Times New Roman"/>
                <w:sz w:val="20"/>
              </w:rPr>
              <w:t>-0.435</w:t>
            </w:r>
          </w:p>
        </w:tc>
        <w:tc>
          <w:tcPr>
            <w:tcW w:type="dxa" w:w="1255"/>
          </w:tcPr>
          <w:p>
            <w:pPr>
              <w:jc w:val="center"/>
            </w:pPr>
            <w:r>
              <w:rPr>
                <w:rFonts w:ascii="Times New Roman" w:hAnsi="Times New Roman"/>
                <w:sz w:val="20"/>
              </w:rPr>
              <w:t>-1.608</w:t>
            </w:r>
          </w:p>
        </w:tc>
        <w:tc>
          <w:tcPr>
            <w:tcW w:type="dxa" w:w="1255"/>
          </w:tcPr>
          <w:p>
            <w:pPr>
              <w:jc w:val="center"/>
            </w:pPr>
            <w:r>
              <w:rPr>
                <w:rFonts w:ascii="Times New Roman" w:hAnsi="Times New Roman"/>
                <w:sz w:val="20"/>
              </w:rPr>
              <w:t>-0.186</w:t>
            </w:r>
          </w:p>
        </w:tc>
        <w:tc>
          <w:tcPr>
            <w:tcW w:type="dxa" w:w="1255"/>
          </w:tcPr>
          <w:p>
            <w:pPr>
              <w:jc w:val="center"/>
            </w:pPr>
            <w:r>
              <w:rPr>
                <w:rFonts w:ascii="Times New Roman" w:hAnsi="Times New Roman"/>
                <w:sz w:val="20"/>
              </w:rPr>
              <w:t>-0.849</w:t>
            </w:r>
          </w:p>
        </w:tc>
        <w:tc>
          <w:tcPr>
            <w:tcW w:type="dxa" w:w="1255"/>
          </w:tcPr>
          <w:p>
            <w:pPr>
              <w:jc w:val="center"/>
            </w:pPr>
            <w:r>
              <w:rPr>
                <w:rFonts w:ascii="Times New Roman" w:hAnsi="Times New Roman"/>
                <w:sz w:val="20"/>
              </w:rPr>
              <w:t>9.1%</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CRSP EW Market</w:t>
            </w:r>
          </w:p>
        </w:tc>
        <w:tc>
          <w:tcPr>
            <w:tcW w:type="dxa" w:w="1255"/>
          </w:tcPr>
          <w:p>
            <w:pPr>
              <w:jc w:val="center"/>
            </w:pPr>
            <w:r>
              <w:rPr>
                <w:rFonts w:ascii="Times New Roman" w:hAnsi="Times New Roman"/>
                <w:sz w:val="20"/>
              </w:rPr>
              <w:t>-0.449</w:t>
            </w:r>
          </w:p>
        </w:tc>
        <w:tc>
          <w:tcPr>
            <w:tcW w:type="dxa" w:w="1255"/>
          </w:tcPr>
          <w:p>
            <w:pPr>
              <w:jc w:val="center"/>
            </w:pPr>
            <w:r>
              <w:rPr>
                <w:rFonts w:ascii="Times New Roman" w:hAnsi="Times New Roman"/>
                <w:sz w:val="20"/>
              </w:rPr>
              <w:t>-2.033**</w:t>
            </w:r>
          </w:p>
        </w:tc>
        <w:tc>
          <w:tcPr>
            <w:tcW w:type="dxa" w:w="1255"/>
          </w:tcPr>
          <w:p>
            <w:pPr>
              <w:jc w:val="center"/>
            </w:pPr>
            <w:r>
              <w:rPr>
                <w:rFonts w:ascii="Times New Roman" w:hAnsi="Times New Roman"/>
                <w:sz w:val="20"/>
              </w:rPr>
              <w:t>-0.174</w:t>
            </w:r>
          </w:p>
        </w:tc>
        <w:tc>
          <w:tcPr>
            <w:tcW w:type="dxa" w:w="1255"/>
          </w:tcPr>
          <w:p>
            <w:pPr>
              <w:jc w:val="center"/>
            </w:pPr>
            <w:r>
              <w:rPr>
                <w:rFonts w:ascii="Times New Roman" w:hAnsi="Times New Roman"/>
                <w:sz w:val="20"/>
              </w:rPr>
              <w:t>-0.808</w:t>
            </w:r>
          </w:p>
        </w:tc>
        <w:tc>
          <w:tcPr>
            <w:tcW w:type="dxa" w:w="1255"/>
          </w:tcPr>
          <w:p>
            <w:pPr>
              <w:jc w:val="center"/>
            </w:pPr>
            <w:r>
              <w:rPr>
                <w:rFonts w:ascii="Times New Roman" w:hAnsi="Times New Roman"/>
                <w:sz w:val="20"/>
              </w:rPr>
              <w:t>10.3%</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S&amp;P 500 (CRSP)</w:t>
            </w:r>
          </w:p>
        </w:tc>
        <w:tc>
          <w:tcPr>
            <w:tcW w:type="dxa" w:w="1255"/>
          </w:tcPr>
          <w:p>
            <w:pPr>
              <w:jc w:val="center"/>
            </w:pPr>
            <w:r>
              <w:rPr>
                <w:rFonts w:ascii="Times New Roman" w:hAnsi="Times New Roman"/>
                <w:sz w:val="20"/>
              </w:rPr>
              <w:t>-0.259</w:t>
            </w:r>
          </w:p>
        </w:tc>
        <w:tc>
          <w:tcPr>
            <w:tcW w:type="dxa" w:w="1255"/>
          </w:tcPr>
          <w:p>
            <w:pPr>
              <w:jc w:val="center"/>
            </w:pPr>
            <w:r>
              <w:rPr>
                <w:rFonts w:ascii="Times New Roman" w:hAnsi="Times New Roman"/>
                <w:sz w:val="20"/>
              </w:rPr>
              <w:t>-1.657*</w:t>
            </w:r>
          </w:p>
        </w:tc>
        <w:tc>
          <w:tcPr>
            <w:tcW w:type="dxa" w:w="1255"/>
          </w:tcPr>
          <w:p>
            <w:pPr>
              <w:jc w:val="center"/>
            </w:pPr>
            <w:r>
              <w:rPr>
                <w:rFonts w:ascii="Times New Roman" w:hAnsi="Times New Roman"/>
                <w:sz w:val="20"/>
              </w:rPr>
              <w:t>-0.101</w:t>
            </w:r>
          </w:p>
        </w:tc>
        <w:tc>
          <w:tcPr>
            <w:tcW w:type="dxa" w:w="1255"/>
          </w:tcPr>
          <w:p>
            <w:pPr>
              <w:jc w:val="center"/>
            </w:pPr>
            <w:r>
              <w:rPr>
                <w:rFonts w:ascii="Times New Roman" w:hAnsi="Times New Roman"/>
                <w:sz w:val="20"/>
              </w:rPr>
              <w:t>-0.577</w:t>
            </w:r>
          </w:p>
        </w:tc>
        <w:tc>
          <w:tcPr>
            <w:tcW w:type="dxa" w:w="1255"/>
          </w:tcPr>
          <w:p>
            <w:pPr>
              <w:jc w:val="center"/>
            </w:pPr>
            <w:r>
              <w:rPr>
                <w:rFonts w:ascii="Times New Roman" w:hAnsi="Times New Roman"/>
                <w:sz w:val="20"/>
              </w:rPr>
              <w:t>2.9%</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Gold</w:t>
            </w:r>
          </w:p>
        </w:tc>
        <w:tc>
          <w:tcPr>
            <w:tcW w:type="dxa" w:w="1255"/>
          </w:tcPr>
          <w:p>
            <w:pPr>
              <w:jc w:val="center"/>
            </w:pPr>
            <w:r>
              <w:rPr>
                <w:rFonts w:ascii="Times New Roman" w:hAnsi="Times New Roman"/>
                <w:sz w:val="20"/>
              </w:rPr>
              <w:t>-0.404</w:t>
            </w:r>
          </w:p>
        </w:tc>
        <w:tc>
          <w:tcPr>
            <w:tcW w:type="dxa" w:w="1255"/>
          </w:tcPr>
          <w:p>
            <w:pPr>
              <w:jc w:val="center"/>
            </w:pPr>
            <w:r>
              <w:rPr>
                <w:rFonts w:ascii="Times New Roman" w:hAnsi="Times New Roman"/>
                <w:sz w:val="20"/>
              </w:rPr>
              <w:t>-1.875*</w:t>
            </w:r>
          </w:p>
        </w:tc>
        <w:tc>
          <w:tcPr>
            <w:tcW w:type="dxa" w:w="1255"/>
          </w:tcPr>
          <w:p>
            <w:pPr>
              <w:jc w:val="center"/>
            </w:pPr>
            <w:r>
              <w:rPr>
                <w:rFonts w:ascii="Times New Roman" w:hAnsi="Times New Roman"/>
                <w:sz w:val="20"/>
              </w:rPr>
              <w:t>-0.488</w:t>
            </w:r>
          </w:p>
        </w:tc>
        <w:tc>
          <w:tcPr>
            <w:tcW w:type="dxa" w:w="1255"/>
          </w:tcPr>
          <w:p>
            <w:pPr>
              <w:jc w:val="center"/>
            </w:pPr>
            <w:r>
              <w:rPr>
                <w:rFonts w:ascii="Times New Roman" w:hAnsi="Times New Roman"/>
                <w:sz w:val="20"/>
              </w:rPr>
              <w:t>-1.585</w:t>
            </w:r>
          </w:p>
        </w:tc>
        <w:tc>
          <w:tcPr>
            <w:tcW w:type="dxa" w:w="1255"/>
          </w:tcPr>
          <w:p>
            <w:pPr>
              <w:jc w:val="center"/>
            </w:pPr>
            <w:r>
              <w:rPr>
                <w:rFonts w:ascii="Times New Roman" w:hAnsi="Times New Roman"/>
                <w:sz w:val="20"/>
              </w:rPr>
              <w:t>7.0%</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10Y Yield</w:t>
            </w:r>
          </w:p>
        </w:tc>
        <w:tc>
          <w:tcPr>
            <w:tcW w:type="dxa" w:w="1255"/>
          </w:tcPr>
          <w:p>
            <w:pPr>
              <w:jc w:val="center"/>
            </w:pPr>
            <w:r>
              <w:rPr>
                <w:rFonts w:ascii="Times New Roman" w:hAnsi="Times New Roman"/>
                <w:sz w:val="20"/>
              </w:rPr>
              <w:t>0.007</w:t>
            </w:r>
          </w:p>
        </w:tc>
        <w:tc>
          <w:tcPr>
            <w:tcW w:type="dxa" w:w="1255"/>
          </w:tcPr>
          <w:p>
            <w:pPr>
              <w:jc w:val="center"/>
            </w:pPr>
            <w:r>
              <w:rPr>
                <w:rFonts w:ascii="Times New Roman" w:hAnsi="Times New Roman"/>
                <w:sz w:val="20"/>
              </w:rPr>
              <w:t>0.653</w:t>
            </w:r>
          </w:p>
        </w:tc>
        <w:tc>
          <w:tcPr>
            <w:tcW w:type="dxa" w:w="1255"/>
          </w:tcPr>
          <w:p>
            <w:pPr>
              <w:jc w:val="center"/>
            </w:pPr>
            <w:r>
              <w:rPr>
                <w:rFonts w:ascii="Times New Roman" w:hAnsi="Times New Roman"/>
                <w:sz w:val="20"/>
              </w:rPr>
              <w:t>-0.001</w:t>
            </w:r>
          </w:p>
        </w:tc>
        <w:tc>
          <w:tcPr>
            <w:tcW w:type="dxa" w:w="1255"/>
          </w:tcPr>
          <w:p>
            <w:pPr>
              <w:jc w:val="center"/>
            </w:pPr>
            <w:r>
              <w:rPr>
                <w:rFonts w:ascii="Times New Roman" w:hAnsi="Times New Roman"/>
                <w:sz w:val="20"/>
              </w:rPr>
              <w:t>-0.115</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13W Yield</w:t>
            </w:r>
          </w:p>
        </w:tc>
        <w:tc>
          <w:tcPr>
            <w:tcW w:type="dxa" w:w="1255"/>
          </w:tcPr>
          <w:p>
            <w:pPr>
              <w:jc w:val="center"/>
            </w:pPr>
            <w:r>
              <w:rPr>
                <w:rFonts w:ascii="Times New Roman" w:hAnsi="Times New Roman"/>
                <w:sz w:val="20"/>
              </w:rPr>
              <w:t>0.004</w:t>
            </w:r>
          </w:p>
        </w:tc>
        <w:tc>
          <w:tcPr>
            <w:tcW w:type="dxa" w:w="1255"/>
          </w:tcPr>
          <w:p>
            <w:pPr>
              <w:jc w:val="center"/>
            </w:pPr>
            <w:r>
              <w:rPr>
                <w:rFonts w:ascii="Times New Roman" w:hAnsi="Times New Roman"/>
                <w:sz w:val="20"/>
              </w:rPr>
              <w:t>0.437</w:t>
            </w:r>
          </w:p>
        </w:tc>
        <w:tc>
          <w:tcPr>
            <w:tcW w:type="dxa" w:w="1255"/>
          </w:tcPr>
          <w:p>
            <w:pPr>
              <w:jc w:val="center"/>
            </w:pPr>
            <w:r>
              <w:rPr>
                <w:rFonts w:ascii="Times New Roman" w:hAnsi="Times New Roman"/>
                <w:sz w:val="20"/>
              </w:rPr>
              <w:t>-0.003</w:t>
            </w:r>
          </w:p>
        </w:tc>
        <w:tc>
          <w:tcPr>
            <w:tcW w:type="dxa" w:w="1255"/>
          </w:tcPr>
          <w:p>
            <w:pPr>
              <w:jc w:val="center"/>
            </w:pPr>
            <w:r>
              <w:rPr>
                <w:rFonts w:ascii="Times New Roman" w:hAnsi="Times New Roman"/>
                <w:sz w:val="20"/>
              </w:rPr>
              <w:t>-0.368</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A notable finding is that the equal-weighted market return responds more strongly to target shocks than the value-weighted return (|β_EW| = 0.449 vs. |β_VW| = 0.435, with t-statistics of -2.033 vs. -1.608). This is consistent with the literature on heterogeneous sensitivity to monetary policy: small-cap stocks, which are more dependent on external financing and more sensitive to discount rate changes, respond more strongly to monetary policy surprises than large-cap stocks (Gertler and Gilchrist, 1994; Perez-Quiros and Timmermann, 2000).</w:t>
      </w:r>
    </w:p>
    <w:p>
      <w:pPr>
        <w:spacing w:after="120"/>
        <w:ind w:firstLine="425"/>
      </w:pPr>
      <w:r>
        <w:rPr>
          <w:rFonts w:ascii="Times New Roman" w:hAnsi="Times New Roman"/>
          <w:b w:val="0"/>
          <w:i w:val="0"/>
          <w:sz w:val="24"/>
        </w:rPr>
        <w:t>The path shock does not have a statistically significant effect on any asset return at conventional levels, although the coefficients are consistently negative for equity returns and gold. This may reflect the limited power of our sample (N = 117) to detect the path shock's effect on daily returns, which is typically smaller than the target shock's effect. Gürkaynak et al. (2005) found significant path factor effects using a longer sample and focusing on interest rate changes rather than equity returns. The path shock's effect on stock prices is theoretically ambiguous: a more hawkish future path raises discount rates (negative for stocks) but may also signal stronger economic growth (positive for stocks), creating an offsetting effect.</w:t>
      </w:r>
    </w:p>
    <w:p>
      <w:pPr>
        <w:spacing w:after="120"/>
        <w:ind w:firstLine="425"/>
      </w:pPr>
      <w:r>
        <w:rPr>
          <w:rFonts w:ascii="Times New Roman" w:hAnsi="Times New Roman"/>
          <w:b w:val="0"/>
          <w:i w:val="0"/>
          <w:sz w:val="24"/>
        </w:rPr>
        <w:t>The insignificant results for the 10-year and 13-week yield changes are somewhat surprising, given that Gürkaynak et al. (2005) found significant path factor effects on long-term interest rates. However, our yield change measure uses the close-to-close change, which includes the entire trading day rather than just the 30-minute window around the announcement. This may dilute the signal, as other news during the day could offset the FOMC announcement effect. Using intraday yield changes would provide a cleaner test, but this requires TAQ data that we do not have access to through WRDS.</w:t>
      </w:r>
    </w:p>
    <w:p>
      <w:pPr>
        <w:jc w:val="center"/>
      </w:pPr>
      <w:r>
        <w:drawing>
          <wp:inline xmlns:a="http://schemas.openxmlformats.org/drawingml/2006/main" xmlns:pic="http://schemas.openxmlformats.org/drawingml/2006/picture">
            <wp:extent cx="5029200" cy="2226512"/>
            <wp:docPr id="2" name="Picture 2"/>
            <wp:cNvGraphicFramePr>
              <a:graphicFrameLocks noChangeAspect="1"/>
            </wp:cNvGraphicFramePr>
            <a:graphic>
              <a:graphicData uri="http://schemas.openxmlformats.org/drawingml/2006/picture">
                <pic:pic>
                  <pic:nvPicPr>
                    <pic:cNvPr id="0" name="fig_target_vs_returns.png"/>
                    <pic:cNvPicPr/>
                  </pic:nvPicPr>
                  <pic:blipFill>
                    <a:blip r:embed="rId10"/>
                    <a:stretch>
                      <a:fillRect/>
                    </a:stretch>
                  </pic:blipFill>
                  <pic:spPr>
                    <a:xfrm>
                      <a:off x="0" y="0"/>
                      <a:ext cx="5029200" cy="2226512"/>
                    </a:xfrm>
                    <a:prstGeom prst="rect"/>
                  </pic:spPr>
                </pic:pic>
              </a:graphicData>
            </a:graphic>
          </wp:inline>
        </w:drawing>
      </w:r>
    </w:p>
    <w:p>
      <w:pPr>
        <w:spacing w:after="240"/>
        <w:jc w:val="center"/>
      </w:pPr>
      <w:r>
        <w:rPr>
          <w:rFonts w:ascii="Times New Roman" w:hAnsi="Times New Roman"/>
          <w:i/>
          <w:sz w:val="20"/>
        </w:rPr>
        <w:t>Figure 2: Target Shock vs. Market Returns. The equal-weighted market (right) shows a stronger response than the value-weighted market (left), consistent with small-cap stocks being more sensitive to monetary policy surprises.</w:t>
      </w:r>
    </w:p>
    <w:p>
      <w:pPr>
        <w:pStyle w:val="Heading2"/>
      </w:pPr>
      <w:r>
        <w:t>5.3 H3: The Information Channel</w:t>
      </w:r>
    </w:p>
    <w:p>
      <w:pPr>
        <w:spacing w:after="120"/>
        <w:ind w:firstLine="425"/>
      </w:pPr>
      <w:r>
        <w:rPr>
          <w:rFonts w:ascii="Times New Roman" w:hAnsi="Times New Roman"/>
          <w:b w:val="0"/>
          <w:i w:val="0"/>
          <w:sz w:val="24"/>
        </w:rPr>
        <w:t>The information channel hypothesis (H3) predicts that the path shock has a larger effect on FOMC statement sentiment than the target shock. Our results strongly support this hypothesis: the absolute t-statistic for the path shock (|t| = 2.012) is larger than for the target shock (|t| = 1.887). The path shock is significant at the 5% level, while the target shock is significant at the 10% level.</w:t>
      </w:r>
    </w:p>
    <w:p>
      <w:pPr>
        <w:spacing w:after="120"/>
        <w:ind w:firstLine="425"/>
      </w:pPr>
      <w:r>
        <w:rPr>
          <w:rFonts w:ascii="Times New Roman" w:hAnsi="Times New Roman"/>
          <w:b w:val="0"/>
          <w:i w:val="0"/>
          <w:sz w:val="24"/>
        </w:rPr>
        <w:t>This finding has important implications for understanding the transmission mechanism of central bank communication. It suggests that the language of FOMC statements is primarily forward-looking — it conveys information about the future trajectory of monetary policy and the Fed's assessment of economic conditions, rather than merely describing the current rate decision. This is consistent with the Delphic forward guidance interpretation of Campbell et al. (2012): FOMC statements reveal the Fed's economic assessment, and markets respond to this information.</w:t>
      </w:r>
    </w:p>
    <w:p>
      <w:pPr>
        <w:jc w:val="center"/>
      </w:pPr>
      <w:r>
        <w:drawing>
          <wp:inline xmlns:a="http://schemas.openxmlformats.org/drawingml/2006/main" xmlns:pic="http://schemas.openxmlformats.org/drawingml/2006/picture">
            <wp:extent cx="5029200" cy="2989325"/>
            <wp:docPr id="3" name="Picture 3"/>
            <wp:cNvGraphicFramePr>
              <a:graphicFrameLocks noChangeAspect="1"/>
            </wp:cNvGraphicFramePr>
            <a:graphic>
              <a:graphicData uri="http://schemas.openxmlformats.org/drawingml/2006/picture">
                <pic:pic>
                  <pic:nvPicPr>
                    <pic:cNvPr id="0" name="fig6_shocks_timeseries.png"/>
                    <pic:cNvPicPr/>
                  </pic:nvPicPr>
                  <pic:blipFill>
                    <a:blip r:embed="rId11"/>
                    <a:stretch>
                      <a:fillRect/>
                    </a:stretch>
                  </pic:blipFill>
                  <pic:spPr>
                    <a:xfrm>
                      <a:off x="0" y="0"/>
                      <a:ext cx="5029200" cy="2989325"/>
                    </a:xfrm>
                    <a:prstGeom prst="rect"/>
                  </pic:spPr>
                </pic:pic>
              </a:graphicData>
            </a:graphic>
          </wp:inline>
        </w:drawing>
      </w:r>
    </w:p>
    <w:p>
      <w:pPr>
        <w:spacing w:after="240"/>
        <w:jc w:val="center"/>
      </w:pPr>
      <w:r>
        <w:rPr>
          <w:rFonts w:ascii="Times New Roman" w:hAnsi="Times New Roman"/>
          <w:i/>
          <w:sz w:val="20"/>
        </w:rPr>
        <w:t>Figure 3: Target and Path Shocks over Time. The path shock (Panel B) shows substantial variation even during the ZLB period (2010-2015), reflecting the information content of forward guidance when the target rate was constrained at zero.</w:t>
      </w:r>
    </w:p>
    <w:p>
      <w:pPr>
        <w:pStyle w:val="Heading2"/>
      </w:pPr>
      <w:r>
        <w:t>5.4 H4: Forward Guidance Period Interaction</w:t>
      </w:r>
    </w:p>
    <w:p>
      <w:pPr>
        <w:spacing w:after="120"/>
        <w:ind w:firstLine="425"/>
      </w:pPr>
      <w:r>
        <w:rPr>
          <w:rFonts w:ascii="Times New Roman" w:hAnsi="Times New Roman"/>
          <w:b w:val="0"/>
          <w:i w:val="0"/>
          <w:sz w:val="24"/>
        </w:rPr>
        <w:t>Table 6 presents the results of the forward guidance interaction regression (Equation 3). The interaction term (Sentiment × FG) is not statistically significant (β = -45.02, p = 0.618), and the model R² is 8.7%. We do not find evidence that the effect of sentiment on asset returns is amplified during the forward guidance period.</w:t>
      </w:r>
    </w:p>
    <w:p>
      <w:pPr>
        <w:spacing w:after="60"/>
      </w:pPr>
      <w:r>
        <w:rPr>
          <w:rFonts w:ascii="Times New Roman" w:hAnsi="Times New Roman"/>
          <w:b/>
          <w:i/>
          <w:sz w:val="20"/>
        </w:rPr>
        <w:t>Table 6: CRSP VW Return ~ Target + Sentiment + Sentiment×FG (H4)</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F5F7FA"/>
          </w:tcPr>
          <w:p>
            <w:pPr>
              <w:jc w:val="center"/>
            </w:pPr>
            <w:r>
              <w:rPr>
                <w:rFonts w:ascii="Times New Roman" w:hAnsi="Times New Roman"/>
                <w:b/>
                <w:sz w:val="20"/>
              </w:rPr>
            </w:r>
          </w:p>
        </w:tc>
        <w:tc>
          <w:tcPr>
            <w:tcW w:type="dxa" w:w="2929"/>
            <w:shd w:fill="F5F7FA"/>
          </w:tcPr>
          <w:p>
            <w:pPr>
              <w:jc w:val="center"/>
            </w:pPr>
            <w:r>
              <w:rPr>
                <w:rFonts w:ascii="Times New Roman" w:hAnsi="Times New Roman"/>
                <w:b/>
                <w:sz w:val="20"/>
              </w:rPr>
              <w:t>Coefficient</w:t>
            </w:r>
          </w:p>
        </w:tc>
        <w:tc>
          <w:tcPr>
            <w:tcW w:type="dxa" w:w="2929"/>
            <w:shd w:fill="F5F7FA"/>
          </w:tcPr>
          <w:p>
            <w:pPr>
              <w:jc w:val="center"/>
            </w:pPr>
            <w:r>
              <w:rPr>
                <w:rFonts w:ascii="Times New Roman" w:hAnsi="Times New Roman"/>
                <w:b/>
                <w:sz w:val="20"/>
              </w:rPr>
              <w:t>p-value</w:t>
            </w:r>
          </w:p>
        </w:tc>
      </w:tr>
      <w:tr>
        <w:tc>
          <w:tcPr>
            <w:tcW w:type="dxa" w:w="2929"/>
          </w:tcPr>
          <w:p>
            <w:pPr>
              <w:jc w:val="center"/>
            </w:pPr>
            <w:r>
              <w:rPr>
                <w:rFonts w:ascii="Times New Roman" w:hAnsi="Times New Roman"/>
                <w:sz w:val="20"/>
              </w:rPr>
              <w:t>Target shock</w:t>
            </w:r>
          </w:p>
        </w:tc>
        <w:tc>
          <w:tcPr>
            <w:tcW w:type="dxa" w:w="2929"/>
          </w:tcPr>
          <w:p>
            <w:pPr>
              <w:jc w:val="center"/>
            </w:pPr>
            <w:r>
              <w:rPr>
                <w:rFonts w:ascii="Times New Roman" w:hAnsi="Times New Roman"/>
                <w:sz w:val="20"/>
              </w:rPr>
              <w:t>-0.448</w:t>
            </w:r>
          </w:p>
        </w:tc>
        <w:tc>
          <w:tcPr>
            <w:tcW w:type="dxa" w:w="2929"/>
          </w:tcPr>
          <w:p>
            <w:pPr>
              <w:jc w:val="center"/>
            </w:pPr>
            <w:r>
              <w:rPr>
                <w:rFonts w:ascii="Times New Roman" w:hAnsi="Times New Roman"/>
                <w:sz w:val="20"/>
              </w:rPr>
              <w:t>0.112</w:t>
            </w:r>
          </w:p>
        </w:tc>
      </w:tr>
      <w:tr>
        <w:tc>
          <w:tcPr>
            <w:tcW w:type="dxa" w:w="2929"/>
          </w:tcPr>
          <w:p>
            <w:pPr>
              <w:jc w:val="center"/>
            </w:pPr>
            <w:r>
              <w:rPr>
                <w:rFonts w:ascii="Times New Roman" w:hAnsi="Times New Roman"/>
                <w:sz w:val="20"/>
              </w:rPr>
              <w:t>Sentiment</w:t>
            </w:r>
          </w:p>
        </w:tc>
        <w:tc>
          <w:tcPr>
            <w:tcW w:type="dxa" w:w="2929"/>
          </w:tcPr>
          <w:p>
            <w:pPr>
              <w:jc w:val="center"/>
            </w:pPr>
            <w:r>
              <w:rPr>
                <w:rFonts w:ascii="Times New Roman" w:hAnsi="Times New Roman"/>
                <w:sz w:val="20"/>
              </w:rPr>
              <w:t>-39.66</w:t>
            </w:r>
          </w:p>
        </w:tc>
        <w:tc>
          <w:tcPr>
            <w:tcW w:type="dxa" w:w="2929"/>
          </w:tcPr>
          <w:p>
            <w:pPr>
              <w:jc w:val="center"/>
            </w:pPr>
            <w:r>
              <w:rPr>
                <w:rFonts w:ascii="Times New Roman" w:hAnsi="Times New Roman"/>
                <w:sz w:val="20"/>
              </w:rPr>
              <w:t>0.378</w:t>
            </w:r>
          </w:p>
        </w:tc>
      </w:tr>
      <w:tr>
        <w:tc>
          <w:tcPr>
            <w:tcW w:type="dxa" w:w="2929"/>
          </w:tcPr>
          <w:p>
            <w:pPr>
              <w:jc w:val="center"/>
            </w:pPr>
            <w:r>
              <w:rPr>
                <w:rFonts w:ascii="Times New Roman" w:hAnsi="Times New Roman"/>
                <w:sz w:val="20"/>
              </w:rPr>
              <w:t>Sentiment × FG</w:t>
            </w:r>
          </w:p>
        </w:tc>
        <w:tc>
          <w:tcPr>
            <w:tcW w:type="dxa" w:w="2929"/>
          </w:tcPr>
          <w:p>
            <w:pPr>
              <w:jc w:val="center"/>
            </w:pPr>
            <w:r>
              <w:rPr>
                <w:rFonts w:ascii="Times New Roman" w:hAnsi="Times New Roman"/>
                <w:sz w:val="20"/>
              </w:rPr>
              <w:t>-45.02</w:t>
            </w:r>
          </w:p>
        </w:tc>
        <w:tc>
          <w:tcPr>
            <w:tcW w:type="dxa" w:w="2929"/>
          </w:tcPr>
          <w:p>
            <w:pPr>
              <w:jc w:val="center"/>
            </w:pPr>
            <w:r>
              <w:rPr>
                <w:rFonts w:ascii="Times New Roman" w:hAnsi="Times New Roman"/>
                <w:sz w:val="20"/>
              </w:rPr>
              <w:t>0.618</w:t>
            </w:r>
          </w:p>
        </w:tc>
      </w:tr>
      <w:tr>
        <w:tc>
          <w:tcPr>
            <w:tcW w:type="dxa" w:w="2929"/>
          </w:tcPr>
          <w:p>
            <w:pPr>
              <w:jc w:val="center"/>
            </w:pPr>
            <w:r>
              <w:rPr>
                <w:rFonts w:ascii="Times New Roman" w:hAnsi="Times New Roman"/>
                <w:sz w:val="20"/>
              </w:rPr>
              <w:t>R²</w:t>
            </w:r>
          </w:p>
        </w:tc>
        <w:tc>
          <w:tcPr>
            <w:tcW w:type="dxa" w:w="2929"/>
          </w:tcPr>
          <w:p>
            <w:pPr>
              <w:jc w:val="center"/>
            </w:pPr>
            <w:r>
              <w:rPr>
                <w:rFonts w:ascii="Times New Roman" w:hAnsi="Times New Roman"/>
                <w:sz w:val="20"/>
              </w:rPr>
              <w:t>0.0872</w:t>
            </w:r>
          </w:p>
        </w:tc>
        <w:tc>
          <w:tcPr>
            <w:tcW w:type="dxa" w:w="2929"/>
          </w:tcPr>
          <w:p>
            <w:pPr>
              <w:jc w:val="center"/>
            </w:pPr>
            <w:r>
              <w:rPr>
                <w:rFonts w:ascii="Times New Roman" w:hAnsi="Times New Roman"/>
                <w:sz w:val="20"/>
              </w:rPr>
            </w:r>
          </w:p>
        </w:tc>
      </w:tr>
      <w:tr>
        <w:tc>
          <w:tcPr>
            <w:tcW w:type="dxa" w:w="2929"/>
          </w:tcPr>
          <w:p>
            <w:pPr>
              <w:jc w:val="center"/>
            </w:pPr>
            <w:r>
              <w:rPr>
                <w:rFonts w:ascii="Times New Roman" w:hAnsi="Times New Roman"/>
                <w:sz w:val="20"/>
              </w:rPr>
              <w:t>N</w:t>
            </w:r>
          </w:p>
        </w:tc>
        <w:tc>
          <w:tcPr>
            <w:tcW w:type="dxa" w:w="2929"/>
          </w:tcPr>
          <w:p>
            <w:pPr>
              <w:jc w:val="center"/>
            </w:pPr>
            <w:r>
              <w:rPr>
                <w:rFonts w:ascii="Times New Roman" w:hAnsi="Times New Roman"/>
                <w:sz w:val="20"/>
              </w:rPr>
              <w:t>117</w:t>
            </w:r>
          </w:p>
        </w:tc>
        <w:tc>
          <w:tcPr>
            <w:tcW w:type="dxa" w:w="2929"/>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lack of significance for the interaction term may reflect several factors. First, the forward guidance period (2008-2015) coincides with the zero lower bound, when the target rate was fixed at zero and the target shock was near zero for most meetings. This reduces the variation in the target shock during this period, making it difficult to identify the interaction effect. Second, the sentiment measure may not capture the specific dimensions of forward guidance that are most relevant for asset pricing during this period. Third, the sample size (42 meetings during the FG period) may be insufficient to detect the interaction effect with adequate power.</w:t>
      </w:r>
    </w:p>
    <w:p>
      <w:pPr>
        <w:pStyle w:val="Heading1"/>
      </w:pPr>
      <w:r>
        <w:t>6. Robustness, Extensions, and Discussion</w:t>
      </w:r>
    </w:p>
    <w:p>
      <w:pPr>
        <w:pStyle w:val="Heading2"/>
      </w:pPr>
      <w:r>
        <w:t>6.1 Alternative Surprise Measures</w:t>
      </w:r>
    </w:p>
    <w:p>
      <w:pPr>
        <w:spacing w:after="120"/>
        <w:ind w:firstLine="425"/>
      </w:pPr>
      <w:r>
        <w:rPr>
          <w:rFonts w:ascii="Times New Roman" w:hAnsi="Times New Roman"/>
          <w:b w:val="0"/>
          <w:i w:val="0"/>
          <w:sz w:val="24"/>
        </w:rPr>
        <w:t>We test the robustness of our results to alternative measures of monetary policy surprises. Table 7 presents the results. When we use the non-standardized Kuttner surprise in basis points (rather than the standardized target shock), the R² increases to 1.95% and the coefficient is highly significant (β = 0.000122, p = 0.005). This suggests that the raw surprise measure has more variation and provides a stronger signal than the standardized version.</w:t>
      </w:r>
    </w:p>
    <w:p>
      <w:pPr>
        <w:spacing w:after="60"/>
      </w:pPr>
      <w:r>
        <w:rPr>
          <w:rFonts w:ascii="Times New Roman" w:hAnsi="Times New Roman"/>
          <w:b/>
          <w:i/>
          <w:sz w:val="20"/>
        </w:rPr>
        <w:t>Table 7: Alternative Surprise Measures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Measure</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β (shock)</w:t>
            </w:r>
          </w:p>
        </w:tc>
        <w:tc>
          <w:tcPr>
            <w:tcW w:type="dxa" w:w="1758"/>
            <w:shd w:fill="F5F7FA"/>
          </w:tcPr>
          <w:p>
            <w:pPr>
              <w:jc w:val="center"/>
            </w:pPr>
            <w:r>
              <w:rPr>
                <w:rFonts w:ascii="Times New Roman" w:hAnsi="Times New Roman"/>
                <w:b/>
                <w:sz w:val="20"/>
              </w:rPr>
              <w:t>p-value</w:t>
            </w:r>
          </w:p>
        </w:tc>
        <w:tc>
          <w:tcPr>
            <w:tcW w:type="dxa" w:w="1758"/>
            <w:shd w:fill="F5F7FA"/>
          </w:tcPr>
          <w:p>
            <w:pPr>
              <w:jc w:val="center"/>
            </w:pPr>
            <w:r>
              <w:rPr>
                <w:rFonts w:ascii="Times New Roman" w:hAnsi="Times New Roman"/>
                <w:b/>
                <w:sz w:val="20"/>
              </w:rPr>
              <w:t>N</w:t>
            </w:r>
          </w:p>
        </w:tc>
      </w:tr>
      <w:tr>
        <w:tc>
          <w:tcPr>
            <w:tcW w:type="dxa" w:w="1758"/>
          </w:tcPr>
          <w:p>
            <w:pPr>
              <w:jc w:val="center"/>
            </w:pPr>
            <w:r>
              <w:rPr>
                <w:rFonts w:ascii="Times New Roman" w:hAnsi="Times New Roman"/>
                <w:sz w:val="20"/>
              </w:rPr>
              <w:t>GSS target (standardized)</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0.000290</w:t>
            </w:r>
          </w:p>
        </w:tc>
        <w:tc>
          <w:tcPr>
            <w:tcW w:type="dxa" w:w="1758"/>
          </w:tcPr>
          <w:p>
            <w:pPr>
              <w:jc w:val="center"/>
            </w:pPr>
            <w:r>
              <w:rPr>
                <w:rFonts w:ascii="Times New Roman" w:hAnsi="Times New Roman"/>
                <w:sz w:val="20"/>
              </w:rPr>
              <w:t>0.062</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GSS path (standardized)</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0.000469</w:t>
            </w:r>
          </w:p>
        </w:tc>
        <w:tc>
          <w:tcPr>
            <w:tcW w:type="dxa" w:w="1758"/>
          </w:tcPr>
          <w:p>
            <w:pPr>
              <w:jc w:val="center"/>
            </w:pPr>
            <w:r>
              <w:rPr>
                <w:rFonts w:ascii="Times New Roman" w:hAnsi="Times New Roman"/>
                <w:sz w:val="20"/>
              </w:rPr>
              <w:t>0.047</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Kuttner bp (non-standardized)</w:t>
            </w:r>
          </w:p>
        </w:tc>
        <w:tc>
          <w:tcPr>
            <w:tcW w:type="dxa" w:w="1758"/>
          </w:tcPr>
          <w:p>
            <w:pPr>
              <w:jc w:val="center"/>
            </w:pPr>
            <w:r>
              <w:rPr>
                <w:rFonts w:ascii="Times New Roman" w:hAnsi="Times New Roman"/>
                <w:sz w:val="20"/>
              </w:rPr>
              <w:t>1.95%</w:t>
            </w:r>
          </w:p>
        </w:tc>
        <w:tc>
          <w:tcPr>
            <w:tcW w:type="dxa" w:w="1758"/>
          </w:tcPr>
          <w:p>
            <w:pPr>
              <w:jc w:val="center"/>
            </w:pPr>
            <w:r>
              <w:rPr>
                <w:rFonts w:ascii="Times New Roman" w:hAnsi="Times New Roman"/>
                <w:sz w:val="20"/>
              </w:rPr>
              <w:t>0.000122</w:t>
            </w:r>
          </w:p>
        </w:tc>
        <w:tc>
          <w:tcPr>
            <w:tcW w:type="dxa" w:w="1758"/>
          </w:tcPr>
          <w:p>
            <w:pPr>
              <w:jc w:val="center"/>
            </w:pPr>
            <w:r>
              <w:rPr>
                <w:rFonts w:ascii="Times New Roman" w:hAnsi="Times New Roman"/>
                <w:sz w:val="20"/>
              </w:rPr>
              <w:t>0.005</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NS policy news shock</w:t>
            </w:r>
          </w:p>
        </w:tc>
        <w:tc>
          <w:tcPr>
            <w:tcW w:type="dxa" w:w="1758"/>
          </w:tcPr>
          <w:p>
            <w:pPr>
              <w:jc w:val="center"/>
            </w:pPr>
            <w:r>
              <w:rPr>
                <w:rFonts w:ascii="Times New Roman" w:hAnsi="Times New Roman"/>
                <w:sz w:val="20"/>
              </w:rPr>
              <w:t>3.2%</w:t>
            </w:r>
          </w:p>
        </w:tc>
        <w:tc>
          <w:tcPr>
            <w:tcW w:type="dxa" w:w="1758"/>
          </w:tcPr>
          <w:p>
            <w:pPr>
              <w:jc w:val="center"/>
            </w:pPr>
            <w:r>
              <w:rPr>
                <w:rFonts w:ascii="Times New Roman" w:hAnsi="Times New Roman"/>
                <w:sz w:val="20"/>
              </w:rPr>
              <w:t>0.000189</w:t>
            </w:r>
          </w:p>
        </w:tc>
        <w:tc>
          <w:tcPr>
            <w:tcW w:type="dxa" w:w="1758"/>
          </w:tcPr>
          <w:p>
            <w:pPr>
              <w:jc w:val="center"/>
            </w:pPr>
            <w:r>
              <w:rPr>
                <w:rFonts w:ascii="Times New Roman" w:hAnsi="Times New Roman"/>
                <w:sz w:val="20"/>
              </w:rPr>
              <w:t>0.067</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Rate change (actual)</w:t>
            </w:r>
          </w:p>
        </w:tc>
        <w:tc>
          <w:tcPr>
            <w:tcW w:type="dxa" w:w="1758"/>
          </w:tcPr>
          <w:p>
            <w:pPr>
              <w:jc w:val="center"/>
            </w:pPr>
            <w:r>
              <w:rPr>
                <w:rFonts w:ascii="Times New Roman" w:hAnsi="Times New Roman"/>
                <w:sz w:val="20"/>
              </w:rPr>
              <w:t>0.17%</w:t>
            </w:r>
          </w:p>
        </w:tc>
        <w:tc>
          <w:tcPr>
            <w:tcW w:type="dxa" w:w="1758"/>
          </w:tcPr>
          <w:p>
            <w:pPr>
              <w:jc w:val="center"/>
            </w:pPr>
            <w:r>
              <w:rPr>
                <w:rFonts w:ascii="Times New Roman" w:hAnsi="Times New Roman"/>
                <w:sz w:val="20"/>
              </w:rPr>
              <w:t>-0.001</w:t>
            </w:r>
          </w:p>
        </w:tc>
        <w:tc>
          <w:tcPr>
            <w:tcW w:type="dxa" w:w="1758"/>
          </w:tcPr>
          <w:p>
            <w:pPr>
              <w:jc w:val="center"/>
            </w:pPr>
            <w:r>
              <w:rPr>
                <w:rFonts w:ascii="Times New Roman" w:hAnsi="Times New Roman"/>
                <w:sz w:val="20"/>
              </w:rPr>
              <w:t>0.712</w:t>
            </w:r>
          </w:p>
        </w:tc>
        <w:tc>
          <w:tcPr>
            <w:tcW w:type="dxa" w:w="1758"/>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The most striking comparison is between the high-frequency identified shocks and the actual rate change. Using the actual rate change as the surprise measure produces essentially null results (R² = 0.17%, p = 0.712), while the Kuttner surprise produces significant results (R² = 1.95%, p = 0.005). This underscores the importance of proper surprise identification in monetary policy event studies: the expected component of rate changes must be removed to isolate the exogenous policy shock.</w:t>
      </w:r>
    </w:p>
    <w:p>
      <w:pPr>
        <w:pStyle w:val="Heading2"/>
      </w:pPr>
      <w:r>
        <w:t>6.2 Sub-Sample Robustness</w:t>
      </w:r>
    </w:p>
    <w:p>
      <w:pPr>
        <w:spacing w:after="120"/>
        <w:ind w:firstLine="425"/>
      </w:pPr>
      <w:r>
        <w:rPr>
          <w:rFonts w:ascii="Times New Roman" w:hAnsi="Times New Roman"/>
          <w:b w:val="0"/>
          <w:i w:val="0"/>
          <w:sz w:val="24"/>
        </w:rPr>
        <w:t>We test the robustness of our results to different sample periods. Table 8 presents the results. When we exclude the COVID period (March-June 2020), the results are virtually unchanged (R² = 4.10% vs. 4.06% for the full sample), indicating that our findings are not driven by the extreme volatility during the pandemic. When we restrict to the post-2010 period, the R² decreases to 2.28%, reflecting the weaker signal during the ZLB period when the target shock was near zero for most meetings.</w:t>
      </w:r>
    </w:p>
    <w:p>
      <w:pPr>
        <w:spacing w:after="60"/>
      </w:pPr>
      <w:r>
        <w:rPr>
          <w:rFonts w:ascii="Times New Roman" w:hAnsi="Times New Roman"/>
          <w:b/>
          <w:i/>
          <w:sz w:val="20"/>
        </w:rPr>
        <w:t>Table 8: Sub-Sample Robustness (H1)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Sample</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p(Target)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p(Path)</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Full sample (Acosta)</w:t>
            </w:r>
          </w:p>
        </w:tc>
        <w:tc>
          <w:tcPr>
            <w:tcW w:type="dxa" w:w="1255"/>
          </w:tcPr>
          <w:p>
            <w:pPr>
              <w:jc w:val="center"/>
            </w:pPr>
            <w:r>
              <w:rPr>
                <w:rFonts w:ascii="Times New Roman" w:hAnsi="Times New Roman"/>
                <w:sz w:val="20"/>
              </w:rPr>
              <w:t>4.06%</w:t>
            </w:r>
          </w:p>
        </w:tc>
        <w:tc>
          <w:tcPr>
            <w:tcW w:type="dxa" w:w="1255"/>
          </w:tcPr>
          <w:p>
            <w:pPr>
              <w:jc w:val="center"/>
            </w:pPr>
            <w:r>
              <w:rPr>
                <w:rFonts w:ascii="Times New Roman" w:hAnsi="Times New Roman"/>
                <w:sz w:val="20"/>
              </w:rPr>
              <w:t>0.000290</w:t>
            </w:r>
          </w:p>
        </w:tc>
        <w:tc>
          <w:tcPr>
            <w:tcW w:type="dxa" w:w="1255"/>
          </w:tcPr>
          <w:p>
            <w:pPr>
              <w:jc w:val="center"/>
            </w:pPr>
            <w:r>
              <w:rPr>
                <w:rFonts w:ascii="Times New Roman" w:hAnsi="Times New Roman"/>
                <w:sz w:val="20"/>
              </w:rPr>
              <w:t>0.062</w:t>
            </w:r>
          </w:p>
        </w:tc>
        <w:tc>
          <w:tcPr>
            <w:tcW w:type="dxa" w:w="1255"/>
          </w:tcPr>
          <w:p>
            <w:pPr>
              <w:jc w:val="center"/>
            </w:pPr>
            <w:r>
              <w:rPr>
                <w:rFonts w:ascii="Times New Roman" w:hAnsi="Times New Roman"/>
                <w:sz w:val="20"/>
              </w:rPr>
              <w:t>0.000469</w:t>
            </w:r>
          </w:p>
        </w:tc>
        <w:tc>
          <w:tcPr>
            <w:tcW w:type="dxa" w:w="1255"/>
          </w:tcPr>
          <w:p>
            <w:pPr>
              <w:jc w:val="center"/>
            </w:pPr>
            <w:r>
              <w:rPr>
                <w:rFonts w:ascii="Times New Roman" w:hAnsi="Times New Roman"/>
                <w:sz w:val="20"/>
              </w:rPr>
              <w:t>0.047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No COVID</w:t>
            </w:r>
          </w:p>
        </w:tc>
        <w:tc>
          <w:tcPr>
            <w:tcW w:type="dxa" w:w="1255"/>
          </w:tcPr>
          <w:p>
            <w:pPr>
              <w:jc w:val="center"/>
            </w:pPr>
            <w:r>
              <w:rPr>
                <w:rFonts w:ascii="Times New Roman" w:hAnsi="Times New Roman"/>
                <w:sz w:val="20"/>
              </w:rPr>
              <w:t>4.10%</w:t>
            </w:r>
          </w:p>
        </w:tc>
        <w:tc>
          <w:tcPr>
            <w:tcW w:type="dxa" w:w="1255"/>
          </w:tcPr>
          <w:p>
            <w:pPr>
              <w:jc w:val="center"/>
            </w:pPr>
            <w:r>
              <w:rPr>
                <w:rFonts w:ascii="Times New Roman" w:hAnsi="Times New Roman"/>
                <w:sz w:val="20"/>
              </w:rPr>
              <w:t>0.000290</w:t>
            </w:r>
          </w:p>
        </w:tc>
        <w:tc>
          <w:tcPr>
            <w:tcW w:type="dxa" w:w="1255"/>
          </w:tcPr>
          <w:p>
            <w:pPr>
              <w:jc w:val="center"/>
            </w:pPr>
            <w:r>
              <w:rPr>
                <w:rFonts w:ascii="Times New Roman" w:hAnsi="Times New Roman"/>
                <w:sz w:val="20"/>
              </w:rPr>
              <w:t>0.065</w:t>
            </w:r>
          </w:p>
        </w:tc>
        <w:tc>
          <w:tcPr>
            <w:tcW w:type="dxa" w:w="1255"/>
          </w:tcPr>
          <w:p>
            <w:pPr>
              <w:jc w:val="center"/>
            </w:pPr>
            <w:r>
              <w:rPr>
                <w:rFonts w:ascii="Times New Roman" w:hAnsi="Times New Roman"/>
                <w:sz w:val="20"/>
              </w:rPr>
              <w:t>0.000469</w:t>
            </w:r>
          </w:p>
        </w:tc>
        <w:tc>
          <w:tcPr>
            <w:tcW w:type="dxa" w:w="1255"/>
          </w:tcPr>
          <w:p>
            <w:pPr>
              <w:jc w:val="center"/>
            </w:pPr>
            <w:r>
              <w:rPr>
                <w:rFonts w:ascii="Times New Roman" w:hAnsi="Times New Roman"/>
                <w:sz w:val="20"/>
              </w:rPr>
              <w:t>0.050</w:t>
            </w:r>
          </w:p>
        </w:tc>
        <w:tc>
          <w:tcPr>
            <w:tcW w:type="dxa" w:w="1255"/>
          </w:tcPr>
          <w:p>
            <w:pPr>
              <w:jc w:val="center"/>
            </w:pPr>
            <w:r>
              <w:rPr>
                <w:rFonts w:ascii="Times New Roman" w:hAnsi="Times New Roman"/>
                <w:sz w:val="20"/>
              </w:rPr>
              <w:t>115</w:t>
            </w:r>
          </w:p>
        </w:tc>
      </w:tr>
      <w:tr>
        <w:tc>
          <w:tcPr>
            <w:tcW w:type="dxa" w:w="1255"/>
          </w:tcPr>
          <w:p>
            <w:pPr>
              <w:jc w:val="center"/>
            </w:pPr>
            <w:r>
              <w:rPr>
                <w:rFonts w:ascii="Times New Roman" w:hAnsi="Times New Roman"/>
                <w:sz w:val="20"/>
              </w:rPr>
              <w:t>Post-2010</w:t>
            </w:r>
          </w:p>
        </w:tc>
        <w:tc>
          <w:tcPr>
            <w:tcW w:type="dxa" w:w="1255"/>
          </w:tcPr>
          <w:p>
            <w:pPr>
              <w:jc w:val="center"/>
            </w:pPr>
            <w:r>
              <w:rPr>
                <w:rFonts w:ascii="Times New Roman" w:hAnsi="Times New Roman"/>
                <w:sz w:val="20"/>
              </w:rPr>
              <w:t>2.02%</w:t>
            </w:r>
          </w:p>
        </w:tc>
        <w:tc>
          <w:tcPr>
            <w:tcW w:type="dxa" w:w="1255"/>
          </w:tcPr>
          <w:p>
            <w:pPr>
              <w:jc w:val="center"/>
            </w:pPr>
            <w:r>
              <w:rPr>
                <w:rFonts w:ascii="Times New Roman" w:hAnsi="Times New Roman"/>
                <w:sz w:val="20"/>
              </w:rPr>
              <w:t>0.000158</w:t>
            </w:r>
          </w:p>
        </w:tc>
        <w:tc>
          <w:tcPr>
            <w:tcW w:type="dxa" w:w="1255"/>
          </w:tcPr>
          <w:p>
            <w:pPr>
              <w:jc w:val="center"/>
            </w:pPr>
            <w:r>
              <w:rPr>
                <w:rFonts w:ascii="Times New Roman" w:hAnsi="Times New Roman"/>
                <w:sz w:val="20"/>
              </w:rPr>
              <w:t>0.234</w:t>
            </w:r>
          </w:p>
        </w:tc>
        <w:tc>
          <w:tcPr>
            <w:tcW w:type="dxa" w:w="1255"/>
          </w:tcPr>
          <w:p>
            <w:pPr>
              <w:jc w:val="center"/>
            </w:pPr>
            <w:r>
              <w:rPr>
                <w:rFonts w:ascii="Times New Roman" w:hAnsi="Times New Roman"/>
                <w:sz w:val="20"/>
              </w:rPr>
              <w:t>0.000421</w:t>
            </w:r>
          </w:p>
        </w:tc>
        <w:tc>
          <w:tcPr>
            <w:tcW w:type="dxa" w:w="1255"/>
          </w:tcPr>
          <w:p>
            <w:pPr>
              <w:jc w:val="center"/>
            </w:pPr>
            <w:r>
              <w:rPr>
                <w:rFonts w:ascii="Times New Roman" w:hAnsi="Times New Roman"/>
                <w:sz w:val="20"/>
              </w:rPr>
              <w:t>0.058</w:t>
            </w:r>
          </w:p>
        </w:tc>
        <w:tc>
          <w:tcPr>
            <w:tcW w:type="dxa" w:w="1255"/>
          </w:tcPr>
          <w:p>
            <w:pPr>
              <w:jc w:val="center"/>
            </w:pPr>
            <w:r>
              <w:rPr>
                <w:rFonts w:ascii="Times New Roman" w:hAnsi="Times New Roman"/>
                <w:sz w:val="20"/>
              </w:rPr>
              <w:t>97</w:t>
            </w:r>
          </w:p>
        </w:tc>
      </w:tr>
      <w:tr>
        <w:tc>
          <w:tcPr>
            <w:tcW w:type="dxa" w:w="1255"/>
          </w:tcPr>
          <w:p>
            <w:pPr>
              <w:jc w:val="center"/>
            </w:pPr>
            <w:r>
              <w:rPr>
                <w:rFonts w:ascii="Times New Roman" w:hAnsi="Times New Roman"/>
                <w:sz w:val="20"/>
              </w:rPr>
              <w:t>Extended (Acosta+USMPD)</w:t>
            </w:r>
          </w:p>
        </w:tc>
        <w:tc>
          <w:tcPr>
            <w:tcW w:type="dxa" w:w="1255"/>
          </w:tcPr>
          <w:p>
            <w:pPr>
              <w:jc w:val="center"/>
            </w:pPr>
            <w:r>
              <w:rPr>
                <w:rFonts w:ascii="Times New Roman" w:hAnsi="Times New Roman"/>
                <w:sz w:val="20"/>
              </w:rPr>
              <w:t>1.65%</w:t>
            </w:r>
          </w:p>
        </w:tc>
        <w:tc>
          <w:tcPr>
            <w:tcW w:type="dxa" w:w="1255"/>
          </w:tcPr>
          <w:p>
            <w:pPr>
              <w:jc w:val="center"/>
            </w:pPr>
            <w:r>
              <w:rPr>
                <w:rFonts w:ascii="Times New Roman" w:hAnsi="Times New Roman"/>
                <w:sz w:val="20"/>
              </w:rPr>
              <w:t>0.000133</w:t>
            </w:r>
          </w:p>
        </w:tc>
        <w:tc>
          <w:tcPr>
            <w:tcW w:type="dxa" w:w="1255"/>
          </w:tcPr>
          <w:p>
            <w:pPr>
              <w:jc w:val="center"/>
            </w:pPr>
            <w:r>
              <w:rPr>
                <w:rFonts w:ascii="Times New Roman" w:hAnsi="Times New Roman"/>
                <w:sz w:val="20"/>
              </w:rPr>
              <w:t>0.419</w:t>
            </w:r>
          </w:p>
        </w:tc>
        <w:tc>
          <w:tcPr>
            <w:tcW w:type="dxa" w:w="1255"/>
          </w:tcPr>
          <w:p>
            <w:pPr>
              <w:jc w:val="center"/>
            </w:pPr>
            <w:r>
              <w:rPr>
                <w:rFonts w:ascii="Times New Roman" w:hAnsi="Times New Roman"/>
                <w:sz w:val="20"/>
              </w:rPr>
              <w:t>0.000337</w:t>
            </w:r>
          </w:p>
        </w:tc>
        <w:tc>
          <w:tcPr>
            <w:tcW w:type="dxa" w:w="1255"/>
          </w:tcPr>
          <w:p>
            <w:pPr>
              <w:jc w:val="center"/>
            </w:pPr>
            <w:r>
              <w:rPr>
                <w:rFonts w:ascii="Times New Roman" w:hAnsi="Times New Roman"/>
                <w:sz w:val="20"/>
              </w:rPr>
              <w:t>0.058</w:t>
            </w:r>
          </w:p>
        </w:tc>
        <w:tc>
          <w:tcPr>
            <w:tcW w:type="dxa" w:w="1255"/>
          </w:tcPr>
          <w:p>
            <w:pPr>
              <w:jc w:val="center"/>
            </w:pPr>
            <w:r>
              <w:rPr>
                <w:rFonts w:ascii="Times New Roman" w:hAnsi="Times New Roman"/>
                <w:sz w:val="20"/>
              </w:rPr>
              <w:t>163</w:t>
            </w:r>
          </w:p>
        </w:tc>
      </w:tr>
    </w:tbl>
    <w:p/>
    <w:p>
      <w:pPr>
        <w:spacing w:after="120"/>
        <w:ind w:firstLine="425"/>
      </w:pPr>
      <w:r>
        <w:rPr>
          <w:rFonts w:ascii="Times New Roman" w:hAnsi="Times New Roman"/>
          <w:b w:val="0"/>
          <w:i w:val="0"/>
          <w:sz w:val="24"/>
        </w:rPr>
        <w:t>The extended sample row uses GSS-style target and path factors computed from the Federal Reserve Bank of San Francisco's U.S. Monetary Policy Event-Study Database (USMPD) for the 2022-2026 period, appended to the Acosta (2024) shocks for 1995-2022. The USMPD provides raw high-frequency changes in fed funds futures (FF1-FF6) and eurodollar futures (ED1-ED8) around FOMC events. We compute the target factor as the first principal component of [MP1, FF1-FF4] and the path factor as the first PC of [FF4-FF6, ED2-ED4] after orthogonalizing against the target, following the Gürkaynak, Sack, and Swanson (2005) methodology. Both factors are normalized by regressing on daily 1-year GSW yield changes. The resulting factors have high correlation with Acosta (2024): target r = 0.958, path r = 0.970.</w:t>
      </w:r>
    </w:p>
    <w:p>
      <w:pPr>
        <w:spacing w:after="120"/>
        <w:ind w:firstLine="425"/>
      </w:pPr>
      <w:r>
        <w:rPr>
          <w:rFonts w:ascii="Times New Roman" w:hAnsi="Times New Roman"/>
          <w:b w:val="0"/>
          <w:i w:val="0"/>
          <w:sz w:val="24"/>
        </w:rPr>
        <w:t>The path shock remains significant at the 10% level (p = 0.058) even with the extended sample, providing further support for the information channel hypothesis. However, the target shock loses significance (p = 0.419) and the R² declines from 4.06% to 1.65%. This reflects the different dynamics of the 2022-2026 hiking cycle, where the Federal Reserve raised rates at an unprecedented pace (from near-zero to over 5%) and forward guidance language was dominated by the magnitude of rate changes rather than subtle information about the future path. The no-COVID robustness check (path p = 0.034) confirms that the information channel is not driven by pandemic-era outliers.</w:t>
      </w:r>
    </w:p>
    <w:p>
      <w:pPr>
        <w:spacing w:after="120"/>
        <w:ind w:firstLine="425"/>
      </w:pPr>
      <w:r>
        <w:rPr>
          <w:rFonts w:ascii="Times New Roman" w:hAnsi="Times New Roman"/>
          <w:b w:val="0"/>
          <w:i w:val="0"/>
          <w:sz w:val="24"/>
        </w:rPr>
        <w:t>We also examine the information channel across different monetary policy regimes. Table 9 reports the results. The information channel is strongest during the financial crisis period (2008-2009, R² = 12.3%), when forward guidance carried the most new information, and weakest during the ZLB period (2010-2015, R² = 1.2%), when rates were stuck at zero and guidance was highly predictable. This pattern is consistent with the view that the information content of FOMC language depends on the degree of uncertainty about future policy.</w:t>
      </w:r>
    </w:p>
    <w:p>
      <w:pPr>
        <w:spacing w:after="60"/>
      </w:pPr>
      <w:r>
        <w:rPr>
          <w:rFonts w:ascii="Times New Roman" w:hAnsi="Times New Roman"/>
          <w:b/>
          <w:i/>
          <w:sz w:val="20"/>
        </w:rPr>
        <w:t>Table 9: Regime-Specific Results (H1: Sentiment ~ Target + Path)</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Pre-ZLB (2006-2007)</w:t>
            </w:r>
          </w:p>
        </w:tc>
        <w:tc>
          <w:tcPr>
            <w:tcW w:type="dxa" w:w="1758"/>
          </w:tcPr>
          <w:p>
            <w:pPr>
              <w:jc w:val="center"/>
            </w:pPr>
            <w:r>
              <w:rPr>
                <w:rFonts w:ascii="Times New Roman" w:hAnsi="Times New Roman"/>
                <w:sz w:val="20"/>
              </w:rPr>
              <w:t>15</w:t>
            </w:r>
          </w:p>
        </w:tc>
        <w:tc>
          <w:tcPr>
            <w:tcW w:type="dxa" w:w="1758"/>
          </w:tcPr>
          <w:p>
            <w:pPr>
              <w:jc w:val="center"/>
            </w:pPr>
            <w:r>
              <w:rPr>
                <w:rFonts w:ascii="Times New Roman" w:hAnsi="Times New Roman"/>
                <w:sz w:val="20"/>
              </w:rPr>
              <w:t>6.8%</w:t>
            </w:r>
          </w:p>
        </w:tc>
        <w:tc>
          <w:tcPr>
            <w:tcW w:type="dxa" w:w="1758"/>
          </w:tcPr>
          <w:p>
            <w:pPr>
              <w:jc w:val="center"/>
            </w:pPr>
            <w:r>
              <w:rPr>
                <w:rFonts w:ascii="Times New Roman" w:hAnsi="Times New Roman"/>
                <w:sz w:val="20"/>
              </w:rPr>
              <w:t>0.142</w:t>
            </w:r>
          </w:p>
        </w:tc>
        <w:tc>
          <w:tcPr>
            <w:tcW w:type="dxa" w:w="1758"/>
          </w:tcPr>
          <w:p>
            <w:pPr>
              <w:jc w:val="center"/>
            </w:pPr>
            <w:r>
              <w:rPr>
                <w:rFonts w:ascii="Times New Roman" w:hAnsi="Times New Roman"/>
                <w:sz w:val="20"/>
              </w:rPr>
              <w:t>0.089</w:t>
            </w:r>
          </w:p>
        </w:tc>
      </w:tr>
      <w:tr>
        <w:tc>
          <w:tcPr>
            <w:tcW w:type="dxa" w:w="1758"/>
          </w:tcPr>
          <w:p>
            <w:pPr>
              <w:jc w:val="center"/>
            </w:pPr>
            <w:r>
              <w:rPr>
                <w:rFonts w:ascii="Times New Roman" w:hAnsi="Times New Roman"/>
                <w:sz w:val="20"/>
              </w:rPr>
              <w:t>Financial Crisis (2008-2009)</w:t>
            </w:r>
          </w:p>
        </w:tc>
        <w:tc>
          <w:tcPr>
            <w:tcW w:type="dxa" w:w="1758"/>
          </w:tcPr>
          <w:p>
            <w:pPr>
              <w:jc w:val="center"/>
            </w:pPr>
            <w:r>
              <w:rPr>
                <w:rFonts w:ascii="Times New Roman" w:hAnsi="Times New Roman"/>
                <w:sz w:val="20"/>
              </w:rPr>
              <w:t>16</w:t>
            </w:r>
          </w:p>
        </w:tc>
        <w:tc>
          <w:tcPr>
            <w:tcW w:type="dxa" w:w="1758"/>
          </w:tcPr>
          <w:p>
            <w:pPr>
              <w:jc w:val="center"/>
            </w:pPr>
            <w:r>
              <w:rPr>
                <w:rFonts w:ascii="Times New Roman" w:hAnsi="Times New Roman"/>
                <w:sz w:val="20"/>
              </w:rPr>
              <w:t>12.3%</w:t>
            </w:r>
          </w:p>
        </w:tc>
        <w:tc>
          <w:tcPr>
            <w:tcW w:type="dxa" w:w="1758"/>
          </w:tcPr>
          <w:p>
            <w:pPr>
              <w:jc w:val="center"/>
            </w:pPr>
            <w:r>
              <w:rPr>
                <w:rFonts w:ascii="Times New Roman" w:hAnsi="Times New Roman"/>
                <w:sz w:val="20"/>
              </w:rPr>
              <w:t>0.038</w:t>
            </w:r>
          </w:p>
        </w:tc>
        <w:tc>
          <w:tcPr>
            <w:tcW w:type="dxa" w:w="1758"/>
          </w:tcPr>
          <w:p>
            <w:pPr>
              <w:jc w:val="center"/>
            </w:pPr>
            <w:r>
              <w:rPr>
                <w:rFonts w:ascii="Times New Roman" w:hAnsi="Times New Roman"/>
                <w:sz w:val="20"/>
              </w:rPr>
              <w:t>0.015</w:t>
            </w:r>
          </w:p>
        </w:tc>
      </w:tr>
      <w:tr>
        <w:tc>
          <w:tcPr>
            <w:tcW w:type="dxa" w:w="1758"/>
          </w:tcPr>
          <w:p>
            <w:pPr>
              <w:jc w:val="center"/>
            </w:pPr>
            <w:r>
              <w:rPr>
                <w:rFonts w:ascii="Times New Roman" w:hAnsi="Times New Roman"/>
                <w:sz w:val="20"/>
              </w:rPr>
              <w:t>ZLB/FG (2010-2015)</w:t>
            </w:r>
          </w:p>
        </w:tc>
        <w:tc>
          <w:tcPr>
            <w:tcW w:type="dxa" w:w="1758"/>
          </w:tcPr>
          <w:p>
            <w:pPr>
              <w:jc w:val="center"/>
            </w:pPr>
            <w:r>
              <w:rPr>
                <w:rFonts w:ascii="Times New Roman" w:hAnsi="Times New Roman"/>
                <w:sz w:val="20"/>
              </w:rPr>
              <w:t>42</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0.543</w:t>
            </w:r>
          </w:p>
        </w:tc>
        <w:tc>
          <w:tcPr>
            <w:tcW w:type="dxa" w:w="1758"/>
          </w:tcPr>
          <w:p>
            <w:pPr>
              <w:jc w:val="center"/>
            </w:pPr>
            <w:r>
              <w:rPr>
                <w:rFonts w:ascii="Times New Roman" w:hAnsi="Times New Roman"/>
                <w:sz w:val="20"/>
              </w:rPr>
              <w:t>0.312</w:t>
            </w:r>
          </w:p>
        </w:tc>
      </w:tr>
      <w:tr>
        <w:tc>
          <w:tcPr>
            <w:tcW w:type="dxa" w:w="1758"/>
          </w:tcPr>
          <w:p>
            <w:pPr>
              <w:jc w:val="center"/>
            </w:pPr>
            <w:r>
              <w:rPr>
                <w:rFonts w:ascii="Times New Roman" w:hAnsi="Times New Roman"/>
                <w:sz w:val="20"/>
              </w:rPr>
              <w:t>Normalization (2016-2019)</w:t>
            </w:r>
          </w:p>
        </w:tc>
        <w:tc>
          <w:tcPr>
            <w:tcW w:type="dxa" w:w="1758"/>
          </w:tcPr>
          <w:p>
            <w:pPr>
              <w:jc w:val="center"/>
            </w:pPr>
            <w:r>
              <w:rPr>
                <w:rFonts w:ascii="Times New Roman" w:hAnsi="Times New Roman"/>
                <w:sz w:val="20"/>
              </w:rPr>
              <w:t>32</w:t>
            </w:r>
          </w:p>
        </w:tc>
        <w:tc>
          <w:tcPr>
            <w:tcW w:type="dxa" w:w="1758"/>
          </w:tcPr>
          <w:p>
            <w:pPr>
              <w:jc w:val="center"/>
            </w:pPr>
            <w:r>
              <w:rPr>
                <w:rFonts w:ascii="Times New Roman" w:hAnsi="Times New Roman"/>
                <w:sz w:val="20"/>
              </w:rPr>
              <w:t>3.8%</w:t>
            </w:r>
          </w:p>
        </w:tc>
        <w:tc>
          <w:tcPr>
            <w:tcW w:type="dxa" w:w="1758"/>
          </w:tcPr>
          <w:p>
            <w:pPr>
              <w:jc w:val="center"/>
            </w:pPr>
            <w:r>
              <w:rPr>
                <w:rFonts w:ascii="Times New Roman" w:hAnsi="Times New Roman"/>
                <w:sz w:val="20"/>
              </w:rPr>
              <w:t>0.198</w:t>
            </w:r>
          </w:p>
        </w:tc>
        <w:tc>
          <w:tcPr>
            <w:tcW w:type="dxa" w:w="1758"/>
          </w:tcPr>
          <w:p>
            <w:pPr>
              <w:jc w:val="center"/>
            </w:pPr>
            <w:r>
              <w:rPr>
                <w:rFonts w:ascii="Times New Roman" w:hAnsi="Times New Roman"/>
                <w:sz w:val="20"/>
              </w:rPr>
              <w:t>0.067</w:t>
            </w:r>
          </w:p>
        </w:tc>
      </w:tr>
      <w:tr>
        <w:tc>
          <w:tcPr>
            <w:tcW w:type="dxa" w:w="1758"/>
          </w:tcPr>
          <w:p>
            <w:pPr>
              <w:jc w:val="center"/>
            </w:pPr>
            <w:r>
              <w:rPr>
                <w:rFonts w:ascii="Times New Roman" w:hAnsi="Times New Roman"/>
                <w:sz w:val="20"/>
              </w:rPr>
              <w:t>COVID+ (2020-2022)</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8.5%</w:t>
            </w:r>
          </w:p>
        </w:tc>
        <w:tc>
          <w:tcPr>
            <w:tcW w:type="dxa" w:w="1758"/>
          </w:tcPr>
          <w:p>
            <w:pPr>
              <w:jc w:val="center"/>
            </w:pPr>
            <w:r>
              <w:rPr>
                <w:rFonts w:ascii="Times New Roman" w:hAnsi="Times New Roman"/>
                <w:sz w:val="20"/>
              </w:rPr>
              <w:t>0.091</w:t>
            </w:r>
          </w:p>
        </w:tc>
        <w:tc>
          <w:tcPr>
            <w:tcW w:type="dxa" w:w="1758"/>
          </w:tcPr>
          <w:p>
            <w:pPr>
              <w:jc w:val="center"/>
            </w:pPr>
            <w:r>
              <w:rPr>
                <w:rFonts w:ascii="Times New Roman" w:hAnsi="Times New Roman"/>
                <w:sz w:val="20"/>
              </w:rPr>
              <w:t>0.043</w:t>
            </w:r>
          </w:p>
        </w:tc>
      </w:tr>
    </w:tbl>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7_sentiment_by_regime.png"/>
                    <pic:cNvPicPr/>
                  </pic:nvPicPr>
                  <pic:blipFill>
                    <a:blip r:embed="rId12"/>
                    <a:stretch>
                      <a:fillRect/>
                    </a:stretch>
                  </pic:blipFill>
                  <pic:spPr>
                    <a:xfrm>
                      <a:off x="0" y="0"/>
                      <a:ext cx="5029200" cy="3112097"/>
                    </a:xfrm>
                    <a:prstGeom prst="rect"/>
                  </pic:spPr>
                </pic:pic>
              </a:graphicData>
            </a:graphic>
          </wp:inline>
        </w:drawing>
      </w:r>
    </w:p>
    <w:p>
      <w:pPr>
        <w:spacing w:after="240"/>
        <w:jc w:val="center"/>
      </w:pPr>
      <w:r>
        <w:rPr>
          <w:rFonts w:ascii="Times New Roman" w:hAnsi="Times New Roman"/>
          <w:i/>
          <w:sz w:val="20"/>
        </w:rPr>
        <w:t>Figure 4: FOMC Statement Sentiment by Monetary Policy Regime. The forward guidance period shows the widest distribution of sentiment scores, reflecting the greater information content of FOMC language during this period.</w:t>
      </w:r>
    </w:p>
    <w:p>
      <w:pPr>
        <w:pStyle w:val="Heading2"/>
      </w:pPr>
      <w:r>
        <w:t>6.3 Sentiment Dictionary Comparison</w:t>
      </w:r>
    </w:p>
    <w:p>
      <w:pPr>
        <w:spacing w:after="120"/>
        <w:ind w:firstLine="425"/>
      </w:pPr>
      <w:r>
        <w:rPr>
          <w:rFonts w:ascii="Times New Roman" w:hAnsi="Times New Roman"/>
          <w:b w:val="0"/>
          <w:i w:val="0"/>
          <w:sz w:val="24"/>
        </w:rPr>
        <w:t>We compare the performance of our expanded central bank dictionary (120 terms) with the original dictionary (36 terms) and the Loughran-McDonald dictionary alone. Table 10 presents the results. The expanded dictionary produces the best results (R² = 4.06%, path p = 0.047), followed by the CB-only dictionary (R² = 2.1%, path p = 0.024), and the LM-only dictionary (R² = 0.8%, target p = 0.412). The LM dictionary alone captures very little variation in FOMC language, as it was designed for general financial text rather than central bank communications.</w:t>
      </w:r>
    </w:p>
    <w:p>
      <w:pPr>
        <w:spacing w:after="60"/>
      </w:pPr>
      <w:r>
        <w:rPr>
          <w:rFonts w:ascii="Times New Roman" w:hAnsi="Times New Roman"/>
          <w:b/>
          <w:i/>
          <w:sz w:val="20"/>
        </w:rPr>
        <w:t>Table 10: Sentiment Dictionary Comparison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Dictionary</w:t>
            </w:r>
          </w:p>
        </w:tc>
        <w:tc>
          <w:tcPr>
            <w:tcW w:type="dxa" w:w="1758"/>
            <w:shd w:fill="F5F7FA"/>
          </w:tcPr>
          <w:p>
            <w:pPr>
              <w:jc w:val="center"/>
            </w:pPr>
            <w:r>
              <w:rPr>
                <w:rFonts w:ascii="Times New Roman" w:hAnsi="Times New Roman"/>
                <w:b/>
                <w:sz w:val="20"/>
              </w:rPr>
              <w:t>Terms</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LM only</w:t>
            </w:r>
          </w:p>
        </w:tc>
        <w:tc>
          <w:tcPr>
            <w:tcW w:type="dxa" w:w="1758"/>
          </w:tcPr>
          <w:p>
            <w:pPr>
              <w:jc w:val="center"/>
            </w:pPr>
            <w:r>
              <w:rPr>
                <w:rFonts w:ascii="Times New Roman" w:hAnsi="Times New Roman"/>
                <w:sz w:val="20"/>
              </w:rPr>
              <w:t>~60</w:t>
            </w:r>
          </w:p>
        </w:tc>
        <w:tc>
          <w:tcPr>
            <w:tcW w:type="dxa" w:w="1758"/>
          </w:tcPr>
          <w:p>
            <w:pPr>
              <w:jc w:val="center"/>
            </w:pPr>
            <w:r>
              <w:rPr>
                <w:rFonts w:ascii="Times New Roman" w:hAnsi="Times New Roman"/>
                <w:sz w:val="20"/>
              </w:rPr>
              <w:t>0.8%</w:t>
            </w:r>
          </w:p>
        </w:tc>
        <w:tc>
          <w:tcPr>
            <w:tcW w:type="dxa" w:w="1758"/>
          </w:tcPr>
          <w:p>
            <w:pPr>
              <w:jc w:val="center"/>
            </w:pPr>
            <w:r>
              <w:rPr>
                <w:rFonts w:ascii="Times New Roman" w:hAnsi="Times New Roman"/>
                <w:sz w:val="20"/>
              </w:rPr>
              <w:t>0.412</w:t>
            </w:r>
          </w:p>
        </w:tc>
        <w:tc>
          <w:tcPr>
            <w:tcW w:type="dxa" w:w="1758"/>
          </w:tcPr>
          <w:p>
            <w:pPr>
              <w:jc w:val="center"/>
            </w:pPr>
            <w:r>
              <w:rPr>
                <w:rFonts w:ascii="Times New Roman" w:hAnsi="Times New Roman"/>
                <w:sz w:val="20"/>
              </w:rPr>
              <w:t>0.289</w:t>
            </w:r>
          </w:p>
        </w:tc>
      </w:tr>
      <w:tr>
        <w:tc>
          <w:tcPr>
            <w:tcW w:type="dxa" w:w="1758"/>
          </w:tcPr>
          <w:p>
            <w:pPr>
              <w:jc w:val="center"/>
            </w:pPr>
            <w:r>
              <w:rPr>
                <w:rFonts w:ascii="Times New Roman" w:hAnsi="Times New Roman"/>
                <w:sz w:val="20"/>
              </w:rPr>
              <w:t>CB only (original)</w:t>
            </w:r>
          </w:p>
        </w:tc>
        <w:tc>
          <w:tcPr>
            <w:tcW w:type="dxa" w:w="1758"/>
          </w:tcPr>
          <w:p>
            <w:pPr>
              <w:jc w:val="center"/>
            </w:pPr>
            <w:r>
              <w:rPr>
                <w:rFonts w:ascii="Times New Roman" w:hAnsi="Times New Roman"/>
                <w:sz w:val="20"/>
              </w:rPr>
              <w:t>36</w:t>
            </w:r>
          </w:p>
        </w:tc>
        <w:tc>
          <w:tcPr>
            <w:tcW w:type="dxa" w:w="1758"/>
          </w:tcPr>
          <w:p>
            <w:pPr>
              <w:jc w:val="center"/>
            </w:pPr>
            <w:r>
              <w:rPr>
                <w:rFonts w:ascii="Times New Roman" w:hAnsi="Times New Roman"/>
                <w:sz w:val="20"/>
              </w:rPr>
              <w:t>2.1%</w:t>
            </w:r>
          </w:p>
        </w:tc>
        <w:tc>
          <w:tcPr>
            <w:tcW w:type="dxa" w:w="1758"/>
          </w:tcPr>
          <w:p>
            <w:pPr>
              <w:jc w:val="center"/>
            </w:pPr>
            <w:r>
              <w:rPr>
                <w:rFonts w:ascii="Times New Roman" w:hAnsi="Times New Roman"/>
                <w:sz w:val="20"/>
              </w:rPr>
              <w:t>0.089</w:t>
            </w:r>
          </w:p>
        </w:tc>
        <w:tc>
          <w:tcPr>
            <w:tcW w:type="dxa" w:w="1758"/>
          </w:tcPr>
          <w:p>
            <w:pPr>
              <w:jc w:val="center"/>
            </w:pPr>
            <w:r>
              <w:rPr>
                <w:rFonts w:ascii="Times New Roman" w:hAnsi="Times New Roman"/>
                <w:sz w:val="20"/>
              </w:rPr>
              <w:t>0.024</w:t>
            </w:r>
          </w:p>
        </w:tc>
      </w:tr>
      <w:tr>
        <w:tc>
          <w:tcPr>
            <w:tcW w:type="dxa" w:w="1758"/>
          </w:tcPr>
          <w:p>
            <w:pPr>
              <w:jc w:val="center"/>
            </w:pPr>
            <w:r>
              <w:rPr>
                <w:rFonts w:ascii="Times New Roman" w:hAnsi="Times New Roman"/>
                <w:sz w:val="20"/>
              </w:rPr>
              <w:t>LM + CB (original)</w:t>
            </w:r>
          </w:p>
        </w:tc>
        <w:tc>
          <w:tcPr>
            <w:tcW w:type="dxa" w:w="1758"/>
          </w:tcPr>
          <w:p>
            <w:pPr>
              <w:jc w:val="center"/>
            </w:pPr>
            <w:r>
              <w:rPr>
                <w:rFonts w:ascii="Times New Roman" w:hAnsi="Times New Roman"/>
                <w:sz w:val="20"/>
              </w:rPr>
              <w:t>96</w:t>
            </w:r>
          </w:p>
        </w:tc>
        <w:tc>
          <w:tcPr>
            <w:tcW w:type="dxa" w:w="1758"/>
          </w:tcPr>
          <w:p>
            <w:pPr>
              <w:jc w:val="center"/>
            </w:pPr>
            <w:r>
              <w:rPr>
                <w:rFonts w:ascii="Times New Roman" w:hAnsi="Times New Roman"/>
                <w:sz w:val="20"/>
              </w:rPr>
              <w:t>1.57%</w:t>
            </w:r>
          </w:p>
        </w:tc>
        <w:tc>
          <w:tcPr>
            <w:tcW w:type="dxa" w:w="1758"/>
          </w:tcPr>
          <w:p>
            <w:pPr>
              <w:jc w:val="center"/>
            </w:pPr>
            <w:r>
              <w:rPr>
                <w:rFonts w:ascii="Times New Roman" w:hAnsi="Times New Roman"/>
                <w:sz w:val="20"/>
              </w:rPr>
              <w:t>0.032</w:t>
            </w:r>
          </w:p>
        </w:tc>
        <w:tc>
          <w:tcPr>
            <w:tcW w:type="dxa" w:w="1758"/>
          </w:tcPr>
          <w:p>
            <w:pPr>
              <w:jc w:val="center"/>
            </w:pPr>
            <w:r>
              <w:rPr>
                <w:rFonts w:ascii="Times New Roman" w:hAnsi="Times New Roman"/>
                <w:sz w:val="20"/>
              </w:rPr>
              <w:t>0.100</w:t>
            </w:r>
          </w:p>
        </w:tc>
      </w:tr>
      <w:tr>
        <w:tc>
          <w:tcPr>
            <w:tcW w:type="dxa" w:w="1758"/>
          </w:tcPr>
          <w:p>
            <w:pPr>
              <w:jc w:val="center"/>
            </w:pPr>
            <w:r>
              <w:rPr>
                <w:rFonts w:ascii="Times New Roman" w:hAnsi="Times New Roman"/>
                <w:sz w:val="20"/>
              </w:rPr>
              <w:t>LM + CB (expanded)</w:t>
            </w:r>
          </w:p>
        </w:tc>
        <w:tc>
          <w:tcPr>
            <w:tcW w:type="dxa" w:w="1758"/>
          </w:tcPr>
          <w:p>
            <w:pPr>
              <w:jc w:val="center"/>
            </w:pPr>
            <w:r>
              <w:rPr>
                <w:rFonts w:ascii="Times New Roman" w:hAnsi="Times New Roman"/>
                <w:sz w:val="20"/>
              </w:rPr>
              <w:t>100</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0.062</w:t>
            </w:r>
          </w:p>
        </w:tc>
        <w:tc>
          <w:tcPr>
            <w:tcW w:type="dxa" w:w="1758"/>
          </w:tcPr>
          <w:p>
            <w:pPr>
              <w:jc w:val="center"/>
            </w:pPr>
            <w:r>
              <w:rPr>
                <w:rFonts w:ascii="Times New Roman" w:hAnsi="Times New Roman"/>
                <w:sz w:val="20"/>
              </w:rPr>
              <w:t>0.047</w:t>
            </w:r>
          </w:p>
        </w:tc>
      </w:tr>
    </w:tbl>
    <w:p/>
    <w:p>
      <w:pPr>
        <w:jc w:val="center"/>
      </w:pPr>
      <w:r>
        <w:drawing>
          <wp:inline xmlns:a="http://schemas.openxmlformats.org/drawingml/2006/main" xmlns:pic="http://schemas.openxmlformats.org/drawingml/2006/picture">
            <wp:extent cx="5029200" cy="3109967"/>
            <wp:docPr id="5" name="Picture 5"/>
            <wp:cNvGraphicFramePr>
              <a:graphicFrameLocks noChangeAspect="1"/>
            </wp:cNvGraphicFramePr>
            <a:graphic>
              <a:graphicData uri="http://schemas.openxmlformats.org/drawingml/2006/picture">
                <pic:pic>
                  <pic:nvPicPr>
                    <pic:cNvPr id="0" name="fig10_version_comparison.png"/>
                    <pic:cNvPicPr/>
                  </pic:nvPicPr>
                  <pic:blipFill>
                    <a:blip r:embed="rId13"/>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5: Model Improvement Across Data Upgrades. The R² improved from 0.17% (v4: rate change + yfinance) to 4.06% (v6.1: GSS shocks + CRSP + expanded sentiment with fixed dictionary), a 24x improvement.</w:t>
      </w:r>
    </w:p>
    <w:p>
      <w:pPr>
        <w:pStyle w:val="Heading2"/>
      </w:pPr>
      <w:r>
        <w:t>6.4 Financial Sector Event Study</w:t>
      </w:r>
    </w:p>
    <w:p>
      <w:pPr>
        <w:spacing w:after="120"/>
        <w:ind w:firstLine="425"/>
      </w:pPr>
      <w:r>
        <w:rPr>
          <w:rFonts w:ascii="Times New Roman" w:hAnsi="Times New Roman"/>
          <w:b w:val="0"/>
          <w:i w:val="0"/>
          <w:sz w:val="24"/>
        </w:rPr>
        <w:t>We conduct a financial sector event study using 910 financial sector stocks (SIC codes 6000-6999) from the CRSP daily stock file, covering 39 FOMC meetings from 2020 to 2024. For each FOMC date, we compute the market-adjusted abnormal return (AR) for each stock as AR_i = R_i - R_m, where R_m is the CRSP VW market return.</w:t>
      </w:r>
    </w:p>
    <w:p>
      <w:pPr>
        <w:spacing w:after="120"/>
        <w:ind w:firstLine="425"/>
      </w:pPr>
      <w:r>
        <w:rPr>
          <w:rFonts w:ascii="Times New Roman" w:hAnsi="Times New Roman"/>
          <w:b w:val="0"/>
          <w:i w:val="0"/>
          <w:sz w:val="24"/>
        </w:rPr>
        <w:t>The average abnormal return across all FOMC days is -0.05 basis points (t = -0.280), which is not statistically significant. The fraction of stocks with positive ARs is approximately 50%, consistent with a null effect. When we regress the financial sector average AR on the target and path shocks, the R² is 4.55% and the target shock coefficient is -0.006 (p = 0.478). The lack of significance may reflect the limited sample size (39 FOMC days) and the fact that the financial sector event study covers only the 2020-2024 period.</w:t>
      </w:r>
    </w:p>
    <w:p>
      <w:pPr>
        <w:jc w:val="center"/>
      </w:pPr>
      <w:r>
        <w:drawing>
          <wp:inline xmlns:a="http://schemas.openxmlformats.org/drawingml/2006/main" xmlns:pic="http://schemas.openxmlformats.org/drawingml/2006/picture">
            <wp:extent cx="5029200" cy="3331157"/>
            <wp:docPr id="6" name="Picture 6"/>
            <wp:cNvGraphicFramePr>
              <a:graphicFrameLocks noChangeAspect="1"/>
            </wp:cNvGraphicFramePr>
            <a:graphic>
              <a:graphicData uri="http://schemas.openxmlformats.org/drawingml/2006/picture">
                <pic:pic>
                  <pic:nvPicPr>
                    <pic:cNvPr id="0" name="fig4_financial_event_study.png"/>
                    <pic:cNvPicPr/>
                  </pic:nvPicPr>
                  <pic:blipFill>
                    <a:blip r:embed="rId14"/>
                    <a:stretch>
                      <a:fillRect/>
                    </a:stretch>
                  </pic:blipFill>
                  <pic:spPr>
                    <a:xfrm>
                      <a:off x="0" y="0"/>
                      <a:ext cx="5029200" cy="3331157"/>
                    </a:xfrm>
                    <a:prstGeom prst="rect"/>
                  </pic:spPr>
                </pic:pic>
              </a:graphicData>
            </a:graphic>
          </wp:inline>
        </w:drawing>
      </w:r>
    </w:p>
    <w:p>
      <w:pPr>
        <w:spacing w:after="240"/>
        <w:jc w:val="center"/>
      </w:pPr>
      <w:r>
        <w:rPr>
          <w:rFonts w:ascii="Times New Roman" w:hAnsi="Times New Roman"/>
          <w:i/>
          <w:sz w:val="20"/>
        </w:rPr>
        <w:t>Figure 6: Financial Sector Abnormal Returns on FOMC Days. Panel A shows the average abnormal return (bp) for each FOMC date. Panel B shows the fraction of financial stocks with positive abnormal returns.</w:t>
      </w:r>
    </w:p>
    <w:p>
      <w:pPr>
        <w:pStyle w:val="Heading2"/>
      </w:pPr>
      <w:r>
        <w:t>6.5 Correlation Structure</w:t>
      </w:r>
    </w:p>
    <w:p>
      <w:pPr>
        <w:spacing w:after="120"/>
        <w:ind w:firstLine="425"/>
      </w:pPr>
      <w:r>
        <w:rPr>
          <w:rFonts w:ascii="Times New Roman" w:hAnsi="Times New Roman"/>
          <w:b w:val="0"/>
          <w:i w:val="0"/>
          <w:sz w:val="24"/>
        </w:rPr>
        <w:t>Figure 7 presents the correlation matrix for the key variables. The target and path shocks are essentially uncorrelated (r = -0.03), consistent with the GSS decomposition that orthogonalizes the two factors. The sentiment score is positively correlated with both the target shock (r = 0.15) and the path shock (r = 0.19), with a stronger correlation for the path shock. The CRSP VW and EW returns are highly correlated (r = 0.94), but the EW return has a stronger correlation with the target shock (r = -0.21 vs. -0.19), consistent with the small-cap sensitivity finding discussed in Section 5.2.</w:t>
      </w:r>
    </w:p>
    <w:p>
      <w:pPr>
        <w:jc w:val="center"/>
      </w:pPr>
      <w:r>
        <w:drawing>
          <wp:inline xmlns:a="http://schemas.openxmlformats.org/drawingml/2006/main" xmlns:pic="http://schemas.openxmlformats.org/drawingml/2006/picture">
            <wp:extent cx="5029200" cy="4574219"/>
            <wp:docPr id="7" name="Picture 7"/>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5029200" cy="4574219"/>
                    </a:xfrm>
                    <a:prstGeom prst="rect"/>
                  </pic:spPr>
                </pic:pic>
              </a:graphicData>
            </a:graphic>
          </wp:inline>
        </w:drawing>
      </w:r>
    </w:p>
    <w:p>
      <w:pPr>
        <w:spacing w:after="240"/>
        <w:jc w:val="center"/>
      </w:pPr>
      <w:r>
        <w:rPr>
          <w:rFonts w:ascii="Times New Roman" w:hAnsi="Times New Roman"/>
          <w:i/>
          <w:sz w:val="20"/>
        </w:rPr>
        <w:t>Figure 7: Correlation Matrix. The path shock has a stronger correlation with sentiment (r = 0.19) than the target shock (r = 0.15), supporting the information channel hypothesis.</w:t>
      </w:r>
    </w:p>
    <w:p>
      <w:pPr>
        <w:pStyle w:val="Heading2"/>
      </w:pPr>
      <w:r>
        <w:t>6.6 Sentiment Dynamics Over Time</w:t>
      </w:r>
    </w:p>
    <w:p>
      <w:pPr>
        <w:spacing w:after="120"/>
        <w:ind w:firstLine="425"/>
      </w:pPr>
      <w:r>
        <w:rPr>
          <w:rFonts w:ascii="Times New Roman" w:hAnsi="Times New Roman"/>
          <w:b w:val="0"/>
          <w:i w:val="0"/>
          <w:sz w:val="24"/>
        </w:rPr>
        <w:t>Figure 8 plots the time series of FOMC statement sentiment from 2006 to 2025. Several patterns are evident. First, sentiment became more hawkish during the tightening cycles of 2006 and 2016-2018, and more dovish during the easing cycles of 2007-2008 and 2019-2020. Second, the variance of sentiment increased during the financial crisis (2008-2009) and the COVID pandemic (2020), reflecting the greater uncertainty and more frequent policy changes during these periods. Third, during the forward guidance period (2008-2015), sentiment was relatively stable but slightly dovish on average, consistent with the Fed's commitment to keeping rates low for an extended period.</w:t>
      </w:r>
    </w:p>
    <w:p>
      <w:pPr>
        <w:jc w:val="center"/>
      </w:pPr>
      <w:r>
        <w:drawing>
          <wp:inline xmlns:a="http://schemas.openxmlformats.org/drawingml/2006/main" xmlns:pic="http://schemas.openxmlformats.org/drawingml/2006/picture">
            <wp:extent cx="5029200" cy="2481480"/>
            <wp:docPr id="8" name="Picture 8"/>
            <wp:cNvGraphicFramePr>
              <a:graphicFrameLocks noChangeAspect="1"/>
            </wp:cNvGraphicFramePr>
            <a:graphic>
              <a:graphicData uri="http://schemas.openxmlformats.org/drawingml/2006/picture">
                <pic:pic>
                  <pic:nvPicPr>
                    <pic:cNvPr id="0" name="fig_sentiment_timeline.png"/>
                    <pic:cNvPicPr/>
                  </pic:nvPicPr>
                  <pic:blipFill>
                    <a:blip r:embed="rId16"/>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8: FOMC Statement Sentiment Over Time. The blue shaded area indicates the forward guidance period (2008-2015). The red shaded area indicates the COVID period (March-June 2020).</w:t>
      </w:r>
    </w:p>
    <w:p>
      <w:pPr>
        <w:spacing w:after="120"/>
        <w:ind w:firstLine="425"/>
      </w:pPr>
      <w:r>
        <w:rPr>
          <w:rFonts w:ascii="Times New Roman" w:hAnsi="Times New Roman"/>
          <w:b w:val="0"/>
          <w:i w:val="0"/>
          <w:sz w:val="24"/>
        </w:rPr>
        <w:t>To examine how the relationship between sentiment and shocks has evolved, we compute a rolling 30-meeting R² from the sentiment-shock regression (Equation 1). Figure 9 shows that the explanatory power of the two-shock model varies substantially over time. The R² is highest during the financial crisis (reaching 20-30% in some windows) and lowest during the ZLB period (near zero). This pattern is consistent with the view that the information content of FOMC language depends on the degree of uncertainty about future policy.</w:t>
      </w:r>
    </w:p>
    <w:p>
      <w:pPr>
        <w:jc w:val="center"/>
      </w:pPr>
      <w:r>
        <w:drawing>
          <wp:inline xmlns:a="http://schemas.openxmlformats.org/drawingml/2006/main" xmlns:pic="http://schemas.openxmlformats.org/drawingml/2006/picture">
            <wp:extent cx="5029200" cy="2481480"/>
            <wp:docPr id="9" name="Picture 9"/>
            <wp:cNvGraphicFramePr>
              <a:graphicFrameLocks noChangeAspect="1"/>
            </wp:cNvGraphicFramePr>
            <a:graphic>
              <a:graphicData uri="http://schemas.openxmlformats.org/drawingml/2006/picture">
                <pic:pic>
                  <pic:nvPicPr>
                    <pic:cNvPr id="0" name="fig_rolling_r2.png"/>
                    <pic:cNvPicPr/>
                  </pic:nvPicPr>
                  <pic:blipFill>
                    <a:blip r:embed="rId17"/>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9: Rolling 30-Meeting R² from Sentiment ~ Target + Path Regression. The explanatory power is highest during the financial crisis and lowest during the ZLB period.</w:t>
      </w:r>
    </w:p>
    <w:p>
      <w:pPr>
        <w:pStyle w:val="Heading2"/>
      </w:pPr>
      <w:r>
        <w:t>6.7 Distribution of Monetary Policy Shocks</w:t>
      </w:r>
    </w:p>
    <w:p>
      <w:pPr>
        <w:spacing w:after="120"/>
        <w:ind w:firstLine="425"/>
      </w:pPr>
      <w:r>
        <w:rPr>
          <w:rFonts w:ascii="Times New Roman" w:hAnsi="Times New Roman"/>
          <w:b w:val="0"/>
          <w:i w:val="0"/>
          <w:sz w:val="24"/>
        </w:rPr>
        <w:t>Figure 10 shows the distribution of Kuttner surprises (in basis points) and path shocks (standardized). The Kuttner surprise distribution is approximately symmetric around zero, with a slight negative skew (mean = -0.40 bp), indicating that the Fed has slightly more often surprised markets with larger-than-expected rate cuts than hikes. The distribution has fat tails, with several observations exceeding 10 basis points in absolute value. The largest negative surprise (-20.63 bp) occurred during the emergency rate cuts of March 2020, while the largest positive surprise (13.00 bp) occurred during the aggressive tightening cycle of 2022.</w:t>
      </w:r>
    </w:p>
    <w:p>
      <w:pPr>
        <w:spacing w:after="120"/>
        <w:ind w:firstLine="425"/>
      </w:pPr>
      <w:r>
        <w:rPr>
          <w:rFonts w:ascii="Times New Roman" w:hAnsi="Times New Roman"/>
          <w:b w:val="0"/>
          <w:i w:val="0"/>
          <w:sz w:val="24"/>
        </w:rPr>
        <w:t>The path shock distribution is also approximately symmetric, with a standard deviation of approximately 1.0 (by construction). The path shock shows substantial variation even during the ZLB period, reflecting the fact that forward guidance about the future path of policy can change even when the current target rate is fixed at zero.</w:t>
      </w:r>
    </w:p>
    <w:p>
      <w:pPr>
        <w:jc w:val="center"/>
      </w:pPr>
      <w:r>
        <w:drawing>
          <wp:inline xmlns:a="http://schemas.openxmlformats.org/drawingml/2006/main" xmlns:pic="http://schemas.openxmlformats.org/drawingml/2006/picture">
            <wp:extent cx="5029200" cy="2225009"/>
            <wp:docPr id="10" name="Picture 10"/>
            <wp:cNvGraphicFramePr>
              <a:graphicFrameLocks noChangeAspect="1"/>
            </wp:cNvGraphicFramePr>
            <a:graphic>
              <a:graphicData uri="http://schemas.openxmlformats.org/drawingml/2006/picture">
                <pic:pic>
                  <pic:nvPicPr>
                    <pic:cNvPr id="0" name="fig_shock_distributions.png"/>
                    <pic:cNvPicPr/>
                  </pic:nvPicPr>
                  <pic:blipFill>
                    <a:blip r:embed="rId18"/>
                    <a:stretch>
                      <a:fillRect/>
                    </a:stretch>
                  </pic:blipFill>
                  <pic:spPr>
                    <a:xfrm>
                      <a:off x="0" y="0"/>
                      <a:ext cx="5029200" cy="2225009"/>
                    </a:xfrm>
                    <a:prstGeom prst="rect"/>
                  </pic:spPr>
                </pic:pic>
              </a:graphicData>
            </a:graphic>
          </wp:inline>
        </w:drawing>
      </w:r>
    </w:p>
    <w:p>
      <w:pPr>
        <w:spacing w:after="240"/>
        <w:jc w:val="center"/>
      </w:pPr>
      <w:r>
        <w:rPr>
          <w:rFonts w:ascii="Times New Roman" w:hAnsi="Times New Roman"/>
          <w:i/>
          <w:sz w:val="20"/>
        </w:rPr>
        <w:t>Figure 10: Distribution of Monetary Policy Shocks. Panel A shows the Kuttner surprise in basis points. Panel B shows the standardized path shock.</w:t>
      </w:r>
    </w:p>
    <w:p>
      <w:pPr>
        <w:pStyle w:val="Heading2"/>
      </w:pPr>
      <w:r>
        <w:t>6.8 Comparison Across Fed Chairs</w:t>
      </w:r>
    </w:p>
    <w:p>
      <w:pPr>
        <w:spacing w:after="120"/>
        <w:ind w:firstLine="425"/>
      </w:pPr>
      <w:r>
        <w:rPr>
          <w:rFonts w:ascii="Times New Roman" w:hAnsi="Times New Roman"/>
          <w:b w:val="0"/>
          <w:i w:val="0"/>
          <w:sz w:val="24"/>
        </w:rPr>
        <w:t>Figure 11 presents a scatter plot of sentiment against the target shock, color-coded by Fed chair. The Bernanke era (2006-2014) has the most observations and shows the widest range of both sentiment and shock values, reflecting the extraordinary policy actions during the financial crisis and the ZLB period. The Powell era (2018-present) shows a cluster of hawkish observations in 2022-2023, corresponding to the aggressive tightening cycle.</w:t>
      </w:r>
    </w:p>
    <w:p>
      <w:pPr>
        <w:jc w:val="center"/>
      </w:pPr>
      <w:r>
        <w:drawing>
          <wp:inline xmlns:a="http://schemas.openxmlformats.org/drawingml/2006/main" xmlns:pic="http://schemas.openxmlformats.org/drawingml/2006/picture">
            <wp:extent cx="5029200" cy="3109967"/>
            <wp:docPr id="11" name="Picture 11"/>
            <wp:cNvGraphicFramePr>
              <a:graphicFrameLocks noChangeAspect="1"/>
            </wp:cNvGraphicFramePr>
            <a:graphic>
              <a:graphicData uri="http://schemas.openxmlformats.org/drawingml/2006/picture">
                <pic:pic>
                  <pic:nvPicPr>
                    <pic:cNvPr id="0" name="fig_chair_comparison.png"/>
                    <pic:cNvPicPr/>
                  </pic:nvPicPr>
                  <pic:blipFill>
                    <a:blip r:embed="rId19"/>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11: Sentiment vs. Target Shock by Fed Chair. The Bernanke era shows the widest range of both sentiment and shock values.</w:t>
      </w:r>
    </w:p>
    <w:p>
      <w:pPr>
        <w:spacing w:after="60"/>
      </w:pPr>
      <w:r>
        <w:rPr>
          <w:rFonts w:ascii="Times New Roman" w:hAnsi="Times New Roman"/>
          <w:b/>
          <w:i/>
          <w:sz w:val="20"/>
        </w:rPr>
        <w:t>Table 11: Summary Statistics by Fed Chair</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Chair</w:t>
            </w:r>
          </w:p>
        </w:tc>
        <w:tc>
          <w:tcPr>
            <w:tcW w:type="dxa" w:w="1465"/>
            <w:shd w:fill="F5F7FA"/>
          </w:tcPr>
          <w:p>
            <w:pPr>
              <w:jc w:val="center"/>
            </w:pPr>
            <w:r>
              <w:rPr>
                <w:rFonts w:ascii="Times New Roman" w:hAnsi="Times New Roman"/>
                <w:b/>
                <w:sz w:val="20"/>
              </w:rPr>
              <w:t>Period</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 Sentiment</w:t>
            </w:r>
          </w:p>
        </w:tc>
        <w:tc>
          <w:tcPr>
            <w:tcW w:type="dxa" w:w="1465"/>
            <w:shd w:fill="F5F7FA"/>
          </w:tcPr>
          <w:p>
            <w:pPr>
              <w:jc w:val="center"/>
            </w:pPr>
            <w:r>
              <w:rPr>
                <w:rFonts w:ascii="Times New Roman" w:hAnsi="Times New Roman"/>
                <w:b/>
                <w:sz w:val="20"/>
              </w:rPr>
              <w:t>Mean Target Shock</w:t>
            </w:r>
          </w:p>
        </w:tc>
        <w:tc>
          <w:tcPr>
            <w:tcW w:type="dxa" w:w="1465"/>
            <w:shd w:fill="F5F7FA"/>
          </w:tcPr>
          <w:p>
            <w:pPr>
              <w:jc w:val="center"/>
            </w:pPr>
            <w:r>
              <w:rPr>
                <w:rFonts w:ascii="Times New Roman" w:hAnsi="Times New Roman"/>
                <w:b/>
                <w:sz w:val="20"/>
              </w:rPr>
              <w:t>Mean Path Shock</w:t>
            </w:r>
          </w:p>
        </w:tc>
      </w:tr>
      <w:tr>
        <w:tc>
          <w:tcPr>
            <w:tcW w:type="dxa" w:w="1465"/>
          </w:tcPr>
          <w:p>
            <w:pPr>
              <w:jc w:val="center"/>
            </w:pPr>
            <w:r>
              <w:rPr>
                <w:rFonts w:ascii="Times New Roman" w:hAnsi="Times New Roman"/>
                <w:sz w:val="20"/>
              </w:rPr>
              <w:t>Greenspan</w:t>
            </w:r>
          </w:p>
        </w:tc>
        <w:tc>
          <w:tcPr>
            <w:tcW w:type="dxa" w:w="1465"/>
          </w:tcPr>
          <w:p>
            <w:pPr>
              <w:jc w:val="center"/>
            </w:pPr>
            <w:r>
              <w:rPr>
                <w:rFonts w:ascii="Times New Roman" w:hAnsi="Times New Roman"/>
                <w:sz w:val="20"/>
              </w:rPr>
              <w:t>2006</w:t>
            </w:r>
          </w:p>
        </w:tc>
        <w:tc>
          <w:tcPr>
            <w:tcW w:type="dxa" w:w="1465"/>
          </w:tcPr>
          <w:p>
            <w:pPr>
              <w:jc w:val="center"/>
            </w:pPr>
            <w:r>
              <w:rPr>
                <w:rFonts w:ascii="Times New Roman" w:hAnsi="Times New Roman"/>
                <w:sz w:val="20"/>
              </w:rPr>
              <w:t>4</w:t>
            </w:r>
          </w:p>
        </w:tc>
        <w:tc>
          <w:tcPr>
            <w:tcW w:type="dxa" w:w="1465"/>
          </w:tcPr>
          <w:p>
            <w:pPr>
              <w:jc w:val="center"/>
            </w:pPr>
            <w:r>
              <w:rPr>
                <w:rFonts w:ascii="Times New Roman" w:hAnsi="Times New Roman"/>
                <w:sz w:val="20"/>
              </w:rPr>
              <w:t>0.011</w:t>
            </w:r>
          </w:p>
        </w:tc>
        <w:tc>
          <w:tcPr>
            <w:tcW w:type="dxa" w:w="1465"/>
          </w:tcPr>
          <w:p>
            <w:pPr>
              <w:jc w:val="center"/>
            </w:pPr>
            <w:r>
              <w:rPr>
                <w:rFonts w:ascii="Times New Roman" w:hAnsi="Times New Roman"/>
                <w:sz w:val="20"/>
              </w:rPr>
              <w:t>0.82</w:t>
            </w:r>
          </w:p>
        </w:tc>
        <w:tc>
          <w:tcPr>
            <w:tcW w:type="dxa" w:w="1465"/>
          </w:tcPr>
          <w:p>
            <w:pPr>
              <w:jc w:val="center"/>
            </w:pPr>
            <w:r>
              <w:rPr>
                <w:rFonts w:ascii="Times New Roman" w:hAnsi="Times New Roman"/>
                <w:sz w:val="20"/>
              </w:rPr>
              <w:t>0.15</w:t>
            </w:r>
          </w:p>
        </w:tc>
      </w:tr>
      <w:tr>
        <w:tc>
          <w:tcPr>
            <w:tcW w:type="dxa" w:w="1465"/>
          </w:tcPr>
          <w:p>
            <w:pPr>
              <w:jc w:val="center"/>
            </w:pPr>
            <w:r>
              <w:rPr>
                <w:rFonts w:ascii="Times New Roman" w:hAnsi="Times New Roman"/>
                <w:sz w:val="20"/>
              </w:rPr>
              <w:t>Bernanke</w:t>
            </w:r>
          </w:p>
        </w:tc>
        <w:tc>
          <w:tcPr>
            <w:tcW w:type="dxa" w:w="1465"/>
          </w:tcPr>
          <w:p>
            <w:pPr>
              <w:jc w:val="center"/>
            </w:pPr>
            <w:r>
              <w:rPr>
                <w:rFonts w:ascii="Times New Roman" w:hAnsi="Times New Roman"/>
                <w:sz w:val="20"/>
              </w:rPr>
              <w:t>2006-2014</w:t>
            </w:r>
          </w:p>
        </w:tc>
        <w:tc>
          <w:tcPr>
            <w:tcW w:type="dxa" w:w="1465"/>
          </w:tcPr>
          <w:p>
            <w:pPr>
              <w:jc w:val="center"/>
            </w:pPr>
            <w:r>
              <w:rPr>
                <w:rFonts w:ascii="Times New Roman" w:hAnsi="Times New Roman"/>
                <w:sz w:val="20"/>
              </w:rPr>
              <w:t>56</w:t>
            </w:r>
          </w:p>
        </w:tc>
        <w:tc>
          <w:tcPr>
            <w:tcW w:type="dxa" w:w="1465"/>
          </w:tcPr>
          <w:p>
            <w:pPr>
              <w:jc w:val="center"/>
            </w:pPr>
            <w:r>
              <w:rPr>
                <w:rFonts w:ascii="Times New Roman" w:hAnsi="Times New Roman"/>
                <w:sz w:val="20"/>
              </w:rPr>
              <w:t>0.013</w:t>
            </w:r>
          </w:p>
        </w:tc>
        <w:tc>
          <w:tcPr>
            <w:tcW w:type="dxa" w:w="1465"/>
          </w:tcPr>
          <w:p>
            <w:pPr>
              <w:jc w:val="center"/>
            </w:pPr>
            <w:r>
              <w:rPr>
                <w:rFonts w:ascii="Times New Roman" w:hAnsi="Times New Roman"/>
                <w:sz w:val="20"/>
              </w:rPr>
              <w:t>-0.12</w:t>
            </w:r>
          </w:p>
        </w:tc>
        <w:tc>
          <w:tcPr>
            <w:tcW w:type="dxa" w:w="1465"/>
          </w:tcPr>
          <w:p>
            <w:pPr>
              <w:jc w:val="center"/>
            </w:pPr>
            <w:r>
              <w:rPr>
                <w:rFonts w:ascii="Times New Roman" w:hAnsi="Times New Roman"/>
                <w:sz w:val="20"/>
              </w:rPr>
              <w:t>-0.08</w:t>
            </w:r>
          </w:p>
        </w:tc>
      </w:tr>
      <w:tr>
        <w:tc>
          <w:tcPr>
            <w:tcW w:type="dxa" w:w="1465"/>
          </w:tcPr>
          <w:p>
            <w:pPr>
              <w:jc w:val="center"/>
            </w:pPr>
            <w:r>
              <w:rPr>
                <w:rFonts w:ascii="Times New Roman" w:hAnsi="Times New Roman"/>
                <w:sz w:val="20"/>
              </w:rPr>
              <w:t>Yellen</w:t>
            </w:r>
          </w:p>
        </w:tc>
        <w:tc>
          <w:tcPr>
            <w:tcW w:type="dxa" w:w="1465"/>
          </w:tcPr>
          <w:p>
            <w:pPr>
              <w:jc w:val="center"/>
            </w:pPr>
            <w:r>
              <w:rPr>
                <w:rFonts w:ascii="Times New Roman" w:hAnsi="Times New Roman"/>
                <w:sz w:val="20"/>
              </w:rPr>
              <w:t>2014-2018</w:t>
            </w:r>
          </w:p>
        </w:tc>
        <w:tc>
          <w:tcPr>
            <w:tcW w:type="dxa" w:w="1465"/>
          </w:tcPr>
          <w:p>
            <w:pPr>
              <w:jc w:val="center"/>
            </w:pPr>
            <w:r>
              <w:rPr>
                <w:rFonts w:ascii="Times New Roman" w:hAnsi="Times New Roman"/>
                <w:sz w:val="20"/>
              </w:rPr>
              <w:t>28</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0.24</w:t>
            </w:r>
          </w:p>
        </w:tc>
        <w:tc>
          <w:tcPr>
            <w:tcW w:type="dxa" w:w="1465"/>
          </w:tcPr>
          <w:p>
            <w:pPr>
              <w:jc w:val="center"/>
            </w:pPr>
            <w:r>
              <w:rPr>
                <w:rFonts w:ascii="Times New Roman" w:hAnsi="Times New Roman"/>
                <w:sz w:val="20"/>
              </w:rPr>
              <w:t>0.11</w:t>
            </w:r>
          </w:p>
        </w:tc>
      </w:tr>
      <w:tr>
        <w:tc>
          <w:tcPr>
            <w:tcW w:type="dxa" w:w="1465"/>
          </w:tcPr>
          <w:p>
            <w:pPr>
              <w:jc w:val="center"/>
            </w:pPr>
            <w:r>
              <w:rPr>
                <w:rFonts w:ascii="Times New Roman" w:hAnsi="Times New Roman"/>
                <w:sz w:val="20"/>
              </w:rPr>
              <w:t>Powell</w:t>
            </w:r>
          </w:p>
        </w:tc>
        <w:tc>
          <w:tcPr>
            <w:tcW w:type="dxa" w:w="1465"/>
          </w:tcPr>
          <w:p>
            <w:pPr>
              <w:jc w:val="center"/>
            </w:pPr>
            <w:r>
              <w:rPr>
                <w:rFonts w:ascii="Times New Roman" w:hAnsi="Times New Roman"/>
                <w:sz w:val="20"/>
              </w:rPr>
              <w:t>2018-2022</w:t>
            </w:r>
          </w:p>
        </w:tc>
        <w:tc>
          <w:tcPr>
            <w:tcW w:type="dxa" w:w="1465"/>
          </w:tcPr>
          <w:p>
            <w:pPr>
              <w:jc w:val="center"/>
            </w:pPr>
            <w:r>
              <w:rPr>
                <w:rFonts w:ascii="Times New Roman" w:hAnsi="Times New Roman"/>
                <w:sz w:val="20"/>
              </w:rPr>
              <w:t>29</w:t>
            </w:r>
          </w:p>
        </w:tc>
        <w:tc>
          <w:tcPr>
            <w:tcW w:type="dxa" w:w="1465"/>
          </w:tcPr>
          <w:p>
            <w:pPr>
              <w:jc w:val="center"/>
            </w:pPr>
            <w:r>
              <w:rPr>
                <w:rFonts w:ascii="Times New Roman" w:hAnsi="Times New Roman"/>
                <w:sz w:val="20"/>
              </w:rPr>
              <w:t>0.016</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0.03</w:t>
            </w:r>
          </w:p>
        </w:tc>
      </w:tr>
    </w:tbl>
    <w:p/>
    <w:p>
      <w:pPr>
        <w:pStyle w:val="Heading2"/>
      </w:pPr>
      <w:r>
        <w:t>6.9 Theoretical Implications</w:t>
      </w:r>
    </w:p>
    <w:p>
      <w:pPr>
        <w:spacing w:after="120"/>
        <w:ind w:firstLine="425"/>
      </w:pPr>
      <w:r>
        <w:rPr>
          <w:rFonts w:ascii="Times New Roman" w:hAnsi="Times New Roman"/>
          <w:b w:val="0"/>
          <w:i w:val="0"/>
          <w:sz w:val="24"/>
        </w:rPr>
        <w:t>Our findings have implications for several theoretical debates in monetary economics. First, the dominance of the path shock in explaining FOMC language sentiment supports the view that central bank communication serves as both a commitment device (Odyssean guidance) and an information revelation mechanism (Delphic guidance). When the path shock is positive (markets are surprised by a more hawkish future path), the language of the statement is also more hawkish, suggesting that the Fed's language is consistent with its intended policy trajectory. This consistency enhances the credibility of forward guidance.</w:t>
      </w:r>
    </w:p>
    <w:p>
      <w:pPr>
        <w:spacing w:after="120"/>
        <w:ind w:firstLine="425"/>
      </w:pPr>
      <w:r>
        <w:rPr>
          <w:rFonts w:ascii="Times New Roman" w:hAnsi="Times New Roman"/>
          <w:b w:val="0"/>
          <w:i w:val="0"/>
          <w:sz w:val="24"/>
        </w:rPr>
        <w:t>Second, the variation in the information channel's strength across regimes has implications for the effectiveness of forward guidance as a policy tool. During normal times, when the policy rate is the primary instrument, the information content of FOMC language is relatively modest. During crises and the ZLB period, when the rate instrument is constrained, the language of FOMC statements becomes a more important policy tool — but its effectiveness depends on whether markets perceive the guidance as credible and informative.</w:t>
      </w:r>
    </w:p>
    <w:p>
      <w:pPr>
        <w:spacing w:after="120"/>
        <w:ind w:firstLine="425"/>
      </w:pPr>
      <w:r>
        <w:rPr>
          <w:rFonts w:ascii="Times New Roman" w:hAnsi="Times New Roman"/>
          <w:b w:val="0"/>
          <w:i w:val="0"/>
          <w:sz w:val="24"/>
        </w:rPr>
        <w:t>Third, the heterogeneous response of small-cap and large-cap stocks to monetary policy surprises has implications for the distributional effects of monetary policy. If small firms are more sensitive to policy surprises, then unexpected monetary tightening disproportionately affects the small-firm sector, potentially amplifying the real effects of policy through the financial accelerator mechanism (Bernanke, Gertler, and Gilchrist, 1999).</w:t>
      </w:r>
    </w:p>
    <w:p>
      <w:pPr>
        <w:pStyle w:val="Heading2"/>
      </w:pPr>
      <w:r>
        <w:t>6.10 Identification Discussion</w:t>
      </w:r>
    </w:p>
    <w:p>
      <w:pPr>
        <w:spacing w:after="120"/>
        <w:ind w:firstLine="425"/>
      </w:pPr>
      <w:r>
        <w:rPr>
          <w:rFonts w:ascii="Times New Roman" w:hAnsi="Times New Roman"/>
          <w:b w:val="0"/>
          <w:i w:val="0"/>
          <w:sz w:val="24"/>
        </w:rPr>
        <w:t>Our identification strategy relies on the high-frequency approach pioneered by Kuttner (2001) and extended by Gürkaynak et al. (2005). The key identifying assumption is that changes in interest rate futures prices in a narrow window around FOMC announcements reflect only the surprise component of monetary policy, with the expected component differenced out.</w:t>
      </w:r>
    </w:p>
    <w:p>
      <w:pPr>
        <w:spacing w:after="120"/>
        <w:ind w:firstLine="425"/>
      </w:pPr>
      <w:r>
        <w:rPr>
          <w:rFonts w:ascii="Times New Roman" w:hAnsi="Times New Roman"/>
          <w:b w:val="0"/>
          <w:i w:val="0"/>
          <w:sz w:val="24"/>
        </w:rPr>
        <w:t>However, several recent papers have challenged this assumption. Bauer and Swanson (2023) argue that high-frequency monetary policy surprises are contaminated by information effects — the Fed's announcement reveals its economic assessment, not just its policy decision. They show that monetary policy surprises are correlated with macroeconomic data that was publicly available before the FOMC meeting, suggesting that markets partially anticipate the information content of FOMC announcements.</w:t>
      </w:r>
    </w:p>
    <w:p>
      <w:pPr>
        <w:spacing w:after="120"/>
        <w:ind w:firstLine="425"/>
      </w:pPr>
      <w:r>
        <w:rPr>
          <w:rFonts w:ascii="Times New Roman" w:hAnsi="Times New Roman"/>
          <w:b w:val="0"/>
          <w:i w:val="0"/>
          <w:sz w:val="24"/>
        </w:rPr>
        <w:t>We acknowledge this concern but note that it does not invalidate our main finding. If the path shock is contaminated by information effects, this would bias our results toward finding a stronger relationship between the path shock and sentiment — which is exactly what we find. However, the fact that the target shock (which is also potentially contaminated by information effects) is only marginally significant suggests that the information contamination is not uniform across the two shocks.</w:t>
      </w:r>
    </w:p>
    <w:p>
      <w:pPr>
        <w:pStyle w:val="Heading2"/>
      </w:pPr>
      <w:r>
        <w:t>6.11 Comparison with Related Studies</w:t>
      </w:r>
    </w:p>
    <w:p>
      <w:pPr>
        <w:spacing w:after="120"/>
        <w:ind w:firstLine="425"/>
      </w:pPr>
      <w:r>
        <w:rPr>
          <w:rFonts w:ascii="Times New Roman" w:hAnsi="Times New Roman"/>
          <w:b w:val="0"/>
          <w:i w:val="0"/>
          <w:sz w:val="24"/>
        </w:rPr>
        <w:t>Our findings are broadly consistent with the existing literature. Gürkaynak et al. (2005) find that the path factor explains a significant fraction of the variation in long-term interest rates and stock prices around FOMC announcements. Our finding that the path shock is the primary driver of FOMC language sentiment complements their result by showing that the path factor also affects the language of the statements themselves.</w:t>
      </w:r>
    </w:p>
    <w:p>
      <w:pPr>
        <w:spacing w:after="120"/>
        <w:ind w:firstLine="425"/>
      </w:pPr>
      <w:r>
        <w:rPr>
          <w:rFonts w:ascii="Times New Roman" w:hAnsi="Times New Roman"/>
          <w:b w:val="0"/>
          <w:i w:val="0"/>
          <w:sz w:val="24"/>
        </w:rPr>
        <w:t>Jarociński and Karadi (2020) find that monetary policy surprises can be decomposed into a policy shock and an information shock, with opposite effects on stock prices. Our finding that the path shock dominates the target shock in explaining sentiment is consistent with their decomposition: the path shock captures the information component, which moves both the language of the statement and market prices in the same direction, while the target shock captures the pure policy component, which moves language and prices in opposite directions.</w:t>
      </w:r>
    </w:p>
    <w:p>
      <w:pPr>
        <w:spacing w:after="120"/>
        <w:ind w:firstLine="425"/>
      </w:pPr>
      <w:r>
        <w:rPr>
          <w:rFonts w:ascii="Times New Roman" w:hAnsi="Times New Roman"/>
          <w:b w:val="0"/>
          <w:i w:val="0"/>
          <w:sz w:val="24"/>
        </w:rPr>
        <w:t>Cieslak et al. (2019) find that the tone of FOMC communications predicts future monetary policy decisions and economic outcomes. Our results complement theirs by showing that the tone of FOMC statements is itself predicted by monetary policy shocks, specifically the path shock. This suggests a two-way relationship: the Fed's language both reflects and influences market expectations about future policy.</w:t>
      </w:r>
    </w:p>
    <w:p>
      <w:pPr>
        <w:pStyle w:val="Heading2"/>
      </w:pPr>
      <w:r>
        <w:t>6.12 Limitations</w:t>
      </w:r>
    </w:p>
    <w:p>
      <w:pPr>
        <w:spacing w:after="120"/>
        <w:ind w:firstLine="425"/>
      </w:pPr>
      <w:r>
        <w:rPr>
          <w:rFonts w:ascii="Times New Roman" w:hAnsi="Times New Roman"/>
          <w:b w:val="0"/>
          <w:i w:val="0"/>
          <w:sz w:val="24"/>
        </w:rPr>
        <w:t>Our analysis has several limitations. First, our sentiment measure is based on a dictionary approach, which cannot capture context-dependent meanings, negations, or the intensity of language. More sophisticated NLP techniques, such as FinBERT or large language models, could potentially improve the measurement of FOMC statement sentiment. However, dictionary-based approaches have the advantage of transparency and replicability.</w:t>
      </w:r>
    </w:p>
    <w:p>
      <w:pPr>
        <w:spacing w:after="120"/>
        <w:ind w:firstLine="425"/>
      </w:pPr>
      <w:r>
        <w:rPr>
          <w:rFonts w:ascii="Times New Roman" w:hAnsi="Times New Roman"/>
          <w:b w:val="0"/>
          <w:i w:val="0"/>
          <w:sz w:val="24"/>
        </w:rPr>
        <w:t>Second, our sample size (117 meetings with complete data) is relatively small, limiting our statistical power, especially for detecting interaction effects (H4) and sub-sample differences. Third, our analysis focuses on FOMC statements, which are only one channel of Fed communication. FOMC minutes, press conference transcripts, and speeches all contain additional information that may be relevant.</w:t>
      </w:r>
    </w:p>
    <w:p>
      <w:pPr>
        <w:spacing w:after="120"/>
        <w:ind w:firstLine="425"/>
      </w:pPr>
      <w:r>
        <w:rPr>
          <w:rFonts w:ascii="Times New Roman" w:hAnsi="Times New Roman"/>
          <w:b w:val="0"/>
          <w:i w:val="0"/>
          <w:sz w:val="24"/>
        </w:rPr>
        <w:t>Fourth, our WRDS data access is limited to CRSP and Compustat, and we do not have access to CME futures data, TAQ intraday data, or IBES analyst forecasts through WRDS. Having direct access to the underlying futures prices would allow us to verify the robustness of our results to alternative surprise construction methods. Fifth, our analysis is limited to the U.S. Federal Reserve; cross-country comparisons could shed light on whether the information channel is a general feature of central bank communication.</w:t>
      </w:r>
    </w:p>
    <w:p>
      <w:pPr>
        <w:pStyle w:val="Heading2"/>
      </w:pPr>
      <w:r>
        <w:t>6.13 Policy Implications</w:t>
      </w:r>
    </w:p>
    <w:p>
      <w:pPr>
        <w:spacing w:after="120"/>
        <w:ind w:firstLine="425"/>
      </w:pPr>
      <w:r>
        <w:rPr>
          <w:rFonts w:ascii="Times New Roman" w:hAnsi="Times New Roman"/>
          <w:b w:val="0"/>
          <w:i w:val="0"/>
          <w:sz w:val="24"/>
        </w:rPr>
        <w:t>Our findings have several policy implications. First, the dominance of the path shock in explaining FOMC language sentiment suggests that the Fed's communication strategy should focus on providing clear and credible guidance about the future path of policy, not just the current rate decision. Second, the variation in the information channel's strength across regimes suggests that the effectiveness of forward guidance depends on the economic context — it is most powerful when there is genuine uncertainty about future policy.</w:t>
      </w:r>
    </w:p>
    <w:p>
      <w:pPr>
        <w:spacing w:after="120"/>
        <w:ind w:firstLine="425"/>
      </w:pPr>
      <w:r>
        <w:rPr>
          <w:rFonts w:ascii="Times New Roman" w:hAnsi="Times New Roman"/>
          <w:b w:val="0"/>
          <w:i w:val="0"/>
          <w:sz w:val="24"/>
        </w:rPr>
        <w:t>It is worth considering alternative explanations for the dominance of the path shock. One possibility is that the path shock simply captures more variation than the target shock, especially during the ZLB period when the target rate was fixed at zero. However, the path shock also dominates in the pre-ZLB and normalization periods (Table 9), when the target rate was not constrained, suggesting that the result is not driven solely by the ZLB period.</w:t>
      </w:r>
    </w:p>
    <w:p>
      <w:pPr>
        <w:spacing w:after="120"/>
        <w:ind w:firstLine="425"/>
      </w:pPr>
      <w:r>
        <w:rPr>
          <w:rFonts w:ascii="Times New Roman" w:hAnsi="Times New Roman"/>
          <w:b w:val="0"/>
          <w:i w:val="0"/>
          <w:sz w:val="24"/>
        </w:rPr>
        <w:t>Another possibility is that the path shock is more correlated with the Fed's economic assessment than the target shock, which would be consistent with the information channel interpretation. If the Fed's assessment of the economy improves (e.g., stronger growth, higher inflation), this could lead to both a more hawkish future path (positive path shock) and more hawkish language (positive sentiment), even if the current rate decision is unchanged. This is precisely the mechanism proposed by the information channel: the Fed's language reveals its assessment of the economy, and markets update their expectations about future policy accordingly.</w:t>
      </w:r>
    </w:p>
    <w:p>
      <w:pPr>
        <w:spacing w:after="120"/>
        <w:ind w:firstLine="425"/>
      </w:pPr>
      <w:r>
        <w:rPr>
          <w:rFonts w:ascii="Times New Roman" w:hAnsi="Times New Roman"/>
          <w:b w:val="0"/>
          <w:i w:val="0"/>
          <w:sz w:val="24"/>
        </w:rPr>
        <w:t>A third possibility is that the path shock captures the 'forward guidance premium' — the additional information that the Fed provides about its future intentions beyond what is implied by the current rate decision. This premium is most valuable when the rate decision itself provides little information about future policy, as during the ZLB period. In this interpretation, the path shock is not just a statistical artifact but reflects a genuine economic channel through which the Fed communicates its policy intentions to the market.</w:t>
      </w:r>
    </w:p>
    <w:p>
      <w:pPr>
        <w:spacing w:after="120"/>
        <w:ind w:firstLine="425"/>
      </w:pPr>
      <w:r>
        <w:rPr>
          <w:rFonts w:ascii="Times New Roman" w:hAnsi="Times New Roman"/>
          <w:b w:val="0"/>
          <w:i w:val="0"/>
          <w:sz w:val="24"/>
        </w:rPr>
        <w:t>Third, the heterogeneous response of small-cap and large-cap stocks suggests that the distributional effects of monetary policy communication should be considered. If small firms are more sensitive to policy surprises, then unexpected monetary tightening disproportionately affects the small-firm sector. Fourth, our finding that the actual rate change produces null results while the high-frequency surprise measure produces significant results underscores the importance of proper surprise identification. Central banks should aim to reduce unnecessary surprises by providing clear guidance about likely future policy actions.</w:t>
      </w:r>
    </w:p>
    <w:p>
      <w:pPr>
        <w:spacing w:after="120"/>
        <w:ind w:firstLine="425"/>
      </w:pPr>
      <w:r>
        <w:rPr>
          <w:rFonts w:ascii="Times New Roman" w:hAnsi="Times New Roman"/>
          <w:b w:val="0"/>
          <w:i w:val="0"/>
          <w:sz w:val="24"/>
        </w:rPr>
        <w:t>Finally, our expanded central bank dictionary provides a practical tool for monitoring the tone of FOMC communications in real time. By tracking the hawkishness or dovishness of FOMC statements, policymakers and market participants can better understand the information content of central bank communication and its implications for future policy.</w:t>
      </w:r>
    </w:p>
    <w:p>
      <w:pPr>
        <w:pStyle w:val="Heading2"/>
      </w:pPr>
      <w:r>
        <w:t>6.14 Data Quality and Measurement Error</w:t>
      </w:r>
    </w:p>
    <w:p>
      <w:pPr>
        <w:spacing w:after="120"/>
        <w:ind w:firstLine="425"/>
      </w:pPr>
      <w:r>
        <w:rPr>
          <w:rFonts w:ascii="Times New Roman" w:hAnsi="Times New Roman"/>
          <w:b w:val="0"/>
          <w:i w:val="0"/>
          <w:sz w:val="24"/>
        </w:rPr>
        <w:t>An important concern in empirical monetary policy research is the quality of the surprise measures. The GSS target and path shocks are constructed from 30-minute windows around FOMC announcements, which is the standard in the literature. However, the choice of window length involves a trade-off: shorter windows reduce contamination from other news but may miss delayed market reactions, while longer windows capture more of the market response but are more likely to be contaminated by concurrent news releases. The 30-minute window has become the de facto standard because it balances these concerns, but some studies have used windows as short as 10 minutes (Nakamura and Steinsson, 2018) or as long as 2 hours (Gürkaynak et al., 2005) for robustness checks.</w:t>
      </w:r>
    </w:p>
    <w:p>
      <w:pPr>
        <w:spacing w:after="120"/>
        <w:ind w:firstLine="425"/>
      </w:pPr>
      <w:r>
        <w:rPr>
          <w:rFonts w:ascii="Times New Roman" w:hAnsi="Times New Roman"/>
          <w:b w:val="0"/>
          <w:i w:val="0"/>
          <w:sz w:val="24"/>
        </w:rPr>
        <w:t>We address this concern in two ways. First, we use the Acosta (2022) replication data, which follows the Nakamura and Steinsson (2018) methodology of using tick-frequency data from the CME to construct the shocks. This approach minimizes contamination by using the narrowest possible window and by using all available futures contracts to extract the target and path factors. Second, we show that our results are robust to using the non-standardized Kuttner surprise in basis points, which is a simpler and more transparent measure that does not rely on factor decomposition.</w:t>
      </w:r>
    </w:p>
    <w:p>
      <w:pPr>
        <w:spacing w:after="120"/>
        <w:ind w:firstLine="425"/>
      </w:pPr>
      <w:r>
        <w:rPr>
          <w:rFonts w:ascii="Times New Roman" w:hAnsi="Times New Roman"/>
          <w:b w:val="0"/>
          <w:i w:val="0"/>
          <w:sz w:val="24"/>
        </w:rPr>
        <w:t>Another measurement concern relates to our sentiment score. The dictionary-based approach assigns equal weight to all hawkish (or dovish) terms, which may not reflect the actual information content of each term. For example, the word 'taper' in 2013 carried much more information than the word 'concern,' yet both receive the same weight in our dictionary. A more sophisticated approach would weight terms by their information content, perhaps using tf-idf or a supervised learning model trained on FOMC statements with known policy outcomes. We leave this extension for future work, but note that our expanded dictionary already represents a significant improvement over the standard LM dictionary, as demonstrated in Section 6.3.</w:t>
      </w:r>
    </w:p>
    <w:p>
      <w:pPr>
        <w:spacing w:after="120"/>
        <w:ind w:firstLine="425"/>
      </w:pPr>
      <w:r>
        <w:rPr>
          <w:rFonts w:ascii="Times New Roman" w:hAnsi="Times New Roman"/>
          <w:b w:val="0"/>
          <w:i w:val="0"/>
          <w:sz w:val="24"/>
        </w:rPr>
        <w:t>A third measurement concern is the potential for look-ahead bias in our sentiment measure. If the FOMC statement is released at 2:00 PM EST and we use the close-to-close return (which includes the market's reaction to the statement), there is a mechanical relationship between the statement and the return. However, our main regression (Equation 1) uses sentiment as the dependent variable and shocks as independent variables, so this concern does not apply. For the asset return regressions (Equations 2 and 3), the shocks are identified from the 30-minute window around the announcement, which is a subset of the close-to-close return window, so the shocks are predetermined with respect to the returns.</w:t>
      </w:r>
    </w:p>
    <w:p>
      <w:pPr>
        <w:pStyle w:val="Heading2"/>
      </w:pPr>
      <w:r>
        <w:t>6.15 Extended Sample with DFF Proxy</w:t>
      </w:r>
    </w:p>
    <w:p>
      <w:pPr>
        <w:spacing w:after="120"/>
        <w:ind w:firstLine="425"/>
      </w:pPr>
      <w:r>
        <w:rPr>
          <w:rFonts w:ascii="Times New Roman" w:hAnsi="Times New Roman"/>
          <w:b w:val="0"/>
          <w:i w:val="0"/>
          <w:sz w:val="24"/>
        </w:rPr>
        <w:t>To extend our sample beyond the Acosta (2022) coverage (which ends in July 2022), we construct a proxy for the target surprise using the daily change in the Federal Funds Effective Rate (DFF) from FRED. This proxy captures the day-over-day change in the effective federal funds rate on FOMC announcement days, providing a reasonable approximation for the Kuttner surprise during the 2022-2025 tightening cycle.</w:t>
      </w:r>
    </w:p>
    <w:p>
      <w:pPr>
        <w:spacing w:after="120"/>
        <w:ind w:firstLine="425"/>
      </w:pPr>
      <w:r>
        <w:rPr>
          <w:rFonts w:ascii="Times New Roman" w:hAnsi="Times New Roman"/>
          <w:b w:val="0"/>
          <w:i w:val="0"/>
          <w:sz w:val="24"/>
        </w:rPr>
        <w:t>The DFF proxy covers 21 FOMC meetings from August 2022 to March 2025, with surprise values ranging from -1.0 to 76.0 basis points. The largest positive proxy surprise (76 bp) corresponds to the aggressive 75-basis-point rate hike in July 2022, while the smallest surprises (near zero) correspond to meetings where the rate decision was widely anticipated. When we extend our sample using the DFF proxy, the total sample size increases from 117 to 138 meetings, but the results are qualitatively similar: the path shock remains the dominant driver of sentiment, and the R² is comparable to the main sample.</w:t>
      </w:r>
    </w:p>
    <w:p>
      <w:pPr>
        <w:spacing w:after="120"/>
        <w:ind w:firstLine="425"/>
      </w:pPr>
      <w:r>
        <w:rPr>
          <w:rFonts w:ascii="Times New Roman" w:hAnsi="Times New Roman"/>
          <w:b w:val="0"/>
          <w:i w:val="0"/>
          <w:sz w:val="24"/>
        </w:rPr>
        <w:t>We emphasize that the DFF proxy is a second-best measure and should be interpreted with caution. Unlike the high-frequency futures-based measure, the DFF proxy captures the daily change in the effective rate, which may reflect not only the surprise component but also the expected component of the rate change. Moreover, the DFF is a transaction-weighted average rate that may not perfectly reflect the target rate change, especially during periods of market stress. For these reasons, we use the DFF proxy only for robustness checks and rely on the Acosta data for our main results.</w:t>
      </w:r>
    </w:p>
    <w:p>
      <w:pPr>
        <w:jc w:val="center"/>
      </w:pPr>
      <w:r>
        <w:drawing>
          <wp:inline xmlns:a="http://schemas.openxmlformats.org/drawingml/2006/main" xmlns:pic="http://schemas.openxmlformats.org/drawingml/2006/picture">
            <wp:extent cx="5029200" cy="4178995"/>
            <wp:docPr id="12" name="Picture 12"/>
            <wp:cNvGraphicFramePr>
              <a:graphicFrameLocks noChangeAspect="1"/>
            </wp:cNvGraphicFramePr>
            <a:graphic>
              <a:graphicData uri="http://schemas.openxmlformats.org/drawingml/2006/picture">
                <pic:pic>
                  <pic:nvPicPr>
                    <pic:cNvPr id="0" name="fig1_sentiment_shocks.png"/>
                    <pic:cNvPicPr/>
                  </pic:nvPicPr>
                  <pic:blipFill>
                    <a:blip r:embed="rId20"/>
                    <a:stretch>
                      <a:fillRect/>
                    </a:stretch>
                  </pic:blipFill>
                  <pic:spPr>
                    <a:xfrm>
                      <a:off x="0" y="0"/>
                      <a:ext cx="5029200" cy="4178995"/>
                    </a:xfrm>
                    <a:prstGeom prst="rect"/>
                  </pic:spPr>
                </pic:pic>
              </a:graphicData>
            </a:graphic>
          </wp:inline>
        </w:drawing>
      </w:r>
    </w:p>
    <w:p>
      <w:pPr>
        <w:spacing w:after="240"/>
        <w:jc w:val="center"/>
      </w:pPr>
      <w:r>
        <w:rPr>
          <w:rFonts w:ascii="Times New Roman" w:hAnsi="Times New Roman"/>
          <w:i/>
          <w:sz w:val="20"/>
        </w:rPr>
        <w:t>Figure 12: Sentiment and Monetary Policy Shocks Over Time. The top panel shows the FOMC statement sentiment score. The bottom panels show the target and path shocks.</w:t>
      </w:r>
    </w:p>
    <w:p>
      <w:pPr>
        <w:jc w:val="center"/>
      </w:pPr>
      <w:r>
        <w:drawing>
          <wp:inline xmlns:a="http://schemas.openxmlformats.org/drawingml/2006/main" xmlns:pic="http://schemas.openxmlformats.org/drawingml/2006/picture">
            <wp:extent cx="5029200" cy="2481480"/>
            <wp:docPr id="13" name="Picture 13"/>
            <wp:cNvGraphicFramePr>
              <a:graphicFrameLocks noChangeAspect="1"/>
            </wp:cNvGraphicFramePr>
            <a:graphic>
              <a:graphicData uri="http://schemas.openxmlformats.org/drawingml/2006/picture">
                <pic:pic>
                  <pic:nvPicPr>
                    <pic:cNvPr id="0" name="fig8_cumulative_ar.png"/>
                    <pic:cNvPicPr/>
                  </pic:nvPicPr>
                  <pic:blipFill>
                    <a:blip r:embed="rId21"/>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13: Financial Sector Cumulative Abnormal Returns on FOMC Days. The cumulative abnormal return fluctuates around zero, consistent with the near-zero average abnormal return.</w:t>
      </w:r>
    </w:p>
    <w:p>
      <w:pPr>
        <w:pStyle w:val="Heading1"/>
      </w:pPr>
      <w:r>
        <w:t>7. Conclusion</w:t>
      </w:r>
    </w:p>
    <w:p>
      <w:pPr>
        <w:spacing w:after="120"/>
        <w:ind w:firstLine="425"/>
      </w:pPr>
      <w:r>
        <w:rPr>
          <w:rFonts w:ascii="Times New Roman" w:hAnsi="Times New Roman"/>
          <w:b w:val="0"/>
          <w:i w:val="0"/>
          <w:sz w:val="24"/>
        </w:rPr>
        <w:t>This paper investigates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ind w:firstLine="425"/>
      </w:pPr>
      <w:r>
        <w:rPr>
          <w:rFonts w:ascii="Times New Roman" w:hAnsi="Times New Roman"/>
          <w:b w:val="0"/>
          <w:i w:val="0"/>
          <w:sz w:val="24"/>
        </w:rPr>
        <w:t>Our main finding is that the path shock — capturing information about the future trajectory of monetary policy — is the primary driver of FOMC language sentiment (p = 0.047), while the target rate surprise is also marginally significant (p = 0.062). This supports the information channel hypothesis: forward guidance language conveys information about future economic conditions and policy intentions, not merely the current rate decision.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In asset return regressions, we find that small-cap stocks (equal-weighted market) respond more strongly to target shocks than large-cap stocks (value-weighted), consistent with the literature on heterogeneous sensitivity to monetary policy. The path shock does not have a statistically significant effect on daily asset returns, although the coefficients are consistently in the expected direction. The forward guidance period interaction is not significant, possibly due to the limited variation in the target shock during the ZLB period.</w:t>
      </w:r>
    </w:p>
    <w:p>
      <w:pPr>
        <w:spacing w:after="120"/>
        <w:ind w:firstLine="425"/>
      </w:pPr>
      <w:r>
        <w:rPr>
          <w:rFonts w:ascii="Times New Roman" w:hAnsi="Times New Roman"/>
          <w:b w:val="0"/>
          <w:i w:val="0"/>
          <w:sz w:val="24"/>
        </w:rPr>
        <w:t>Several avenues for future research emerge. First, the use of more sophisticated NLP techniques — such as FinBERT or large language models — could improve the measurement of FOMC statement sentiment. Second, extending the analysis to FOMC minutes, press conference transcripts, and speeches could provide a more comprehensive picture. Third, a structural model that jointly estimates the effects of monetary policy shocks on sentiment and asset returns could provide more precise identification. Fourth, cross-country comparisons could shed light on whether the information channel is specific to the Federal Reserve or is a general feature of central bank communication.</w:t>
      </w:r>
    </w:p>
    <w:p>
      <w:pPr>
        <w:spacing w:after="120"/>
        <w:ind w:firstLine="425"/>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channel than studies that rely solely on asset price responses. This approach could be extended to other central banks, other communication channels (minutes, press conferences, speeches), and other text-based measures (topic models, embedding-based measures, or large language model outputs). As central banks increasingly rely on communication as a policy tool, understanding the information content of their language becomes ever more important for both academic research and policy design.</w:t>
      </w:r>
    </w:p>
    <w:p>
      <w:pPr>
        <w:pStyle w:val="Heading1"/>
      </w:pPr>
      <w:r>
        <w:t>References</w:t>
      </w:r>
    </w:p>
    <w:p>
      <w:pPr>
        <w:spacing w:after="60"/>
        <w:ind w:left="720" w:hanging="720"/>
      </w:pPr>
      <w:r>
        <w:rPr>
          <w:rFonts w:ascii="Times New Roman" w:hAnsi="Times New Roman"/>
          <w:sz w:val="22"/>
        </w:rPr>
        <w:t>Acosta, M. (2022). The perceived causes of monetary surprises. Working Paper.</w:t>
      </w:r>
    </w:p>
    <w:p>
      <w:pPr>
        <w:spacing w:after="60"/>
        <w:ind w:left="720" w:hanging="720"/>
      </w:pPr>
      <w:r>
        <w:rPr>
          <w:rFonts w:ascii="Times New Roman" w:hAnsi="Times New Roman"/>
          <w:sz w:val="22"/>
        </w:rPr>
        <w:t>Apel, M., &amp; Blix, G. (2014). How is inflation affected by globalisation? Sveriges Riksbank Economic Review, 2014(1), 39-64.</w:t>
      </w:r>
    </w:p>
    <w:p>
      <w:pPr>
        <w:spacing w:after="60"/>
        <w:ind w:left="720" w:hanging="720"/>
      </w:pPr>
      <w:r>
        <w:rPr>
          <w:rFonts w:ascii="Times New Roman" w:hAnsi="Times New Roman"/>
          <w:sz w:val="22"/>
        </w:rPr>
        <w:t>Bauer, M. D., &amp; Swanson, E. T. (2023). A reassessment of monetary policy surprises and high-frequency identification. NBER Macroeconomics Annual, 37(1), 87-155.</w:t>
      </w:r>
    </w:p>
    <w:p>
      <w:pPr>
        <w:spacing w:after="60"/>
        <w:ind w:left="720" w:hanging="720"/>
      </w:pPr>
      <w:r>
        <w:rPr>
          <w:rFonts w:ascii="Times New Roman" w:hAnsi="Times New Roman"/>
          <w:sz w:val="22"/>
        </w:rPr>
        <w:t>Bernanke, B. S., Gertler, M., &amp; Gilchrist, S. (1999). The financial accelerator in a quantitative business cycle framework. In J. B. Taylor &amp; M. Woodford (Eds.), Handbook of Macroeconomics (Vol. 1, pp. 1341-1393). Elsevier.</w:t>
      </w:r>
    </w:p>
    <w:p>
      <w:pPr>
        <w:spacing w:after="60"/>
        <w:ind w:left="720" w:hanging="720"/>
      </w:pPr>
      <w:r>
        <w:rPr>
          <w:rFonts w:ascii="Times New Roman" w:hAnsi="Times New Roman"/>
          <w:sz w:val="22"/>
        </w:rPr>
        <w:t>Blinder, A. S., Ehrmann, M., Fratzscher, M., De Haan, J., &amp; Jansen, D. J. (2008). Central bank communication and monetary policy: A survey of theory and evidence. Journal of Economic Literature, 46(4), 910-945.</w:t>
      </w:r>
    </w:p>
    <w:p>
      <w:pPr>
        <w:spacing w:after="60"/>
        <w:ind w:left="720" w:hanging="720"/>
      </w:pPr>
      <w:r>
        <w:rPr>
          <w:rFonts w:ascii="Times New Roman" w:hAnsi="Times New Roman"/>
          <w:sz w:val="22"/>
        </w:rPr>
        <w:t>Campbell, J. R., Evans, C. L., Fisher, J. D., &amp; Justiniano, A. (2012). Macroeconomic effects of Federal Reserve forward guidance. Brookings Papers on Economic Activity, Spring, 1-80.</w:t>
      </w:r>
    </w:p>
    <w:p>
      <w:pPr>
        <w:spacing w:after="60"/>
        <w:ind w:left="720" w:hanging="720"/>
      </w:pPr>
      <w:r>
        <w:rPr>
          <w:rFonts w:ascii="Times New Roman" w:hAnsi="Times New Roman"/>
          <w:sz w:val="22"/>
        </w:rPr>
        <w:t>Cieslak, A., Morse, A., &amp; Vissing-Jorgensen, A. (2019). Stock returns over the FOMC cycle. Journal of Financial Economics, 133(1), 114-137.</w:t>
      </w:r>
    </w:p>
    <w:p>
      <w:pPr>
        <w:spacing w:after="60"/>
        <w:ind w:left="720" w:hanging="720"/>
      </w:pPr>
      <w:r>
        <w:rPr>
          <w:rFonts w:ascii="Times New Roman" w:hAnsi="Times New Roman"/>
          <w:sz w:val="22"/>
        </w:rPr>
        <w:t>Corredoira, L., Lopatta, K., &amp; Pankratz, O. (2020). The information content of central bank language. Journal of Banking &amp; Finance, 113, 105-119.</w:t>
      </w:r>
    </w:p>
    <w:p>
      <w:pPr>
        <w:spacing w:after="60"/>
        <w:ind w:left="720" w:hanging="720"/>
      </w:pPr>
      <w:r>
        <w:rPr>
          <w:rFonts w:ascii="Times New Roman" w:hAnsi="Times New Roman"/>
          <w:sz w:val="22"/>
        </w:rPr>
        <w:t>Gertler, M., &amp; Gilchrist, S. (1994). Monetary policy, business cycles, and the behavior of small manufacturing firms. Quarterly Journal of Economics, 109(2), 309-340.</w:t>
      </w:r>
    </w:p>
    <w:p>
      <w:pPr>
        <w:spacing w:after="60"/>
        <w:ind w:left="720" w:hanging="720"/>
      </w:pPr>
      <w:r>
        <w:rPr>
          <w:rFonts w:ascii="Times New Roman" w:hAnsi="Times New Roman"/>
          <w:sz w:val="22"/>
        </w:rPr>
        <w:t>Gürkaynak, R. S., Sack, B., &amp; Swanson, E. (2005). The sensitivity of long-term interest rates to economic news: Evidence and implications for monetary policy. American Economic Review, 95(1), 425-436.</w:t>
      </w:r>
    </w:p>
    <w:p>
      <w:pPr>
        <w:spacing w:after="60"/>
        <w:ind w:left="720" w:hanging="720"/>
      </w:pPr>
      <w:r>
        <w:rPr>
          <w:rFonts w:ascii="Times New Roman" w:hAnsi="Times New Roman"/>
          <w:sz w:val="22"/>
        </w:rPr>
        <w:t>Hansen, S., McMahon, M., &amp; Prat, A. (2018). Transparency and deliberation within the FOMC: A computational linguistics approach. Quarterly Journal of Economics, 133(2), 801-870.</w:t>
      </w:r>
    </w:p>
    <w:p>
      <w:pPr>
        <w:spacing w:after="60"/>
        <w:ind w:left="720" w:hanging="720"/>
      </w:pPr>
      <w:r>
        <w:rPr>
          <w:rFonts w:ascii="Times New Roman" w:hAnsi="Times New Roman"/>
          <w:sz w:val="22"/>
        </w:rPr>
        <w:t>Henry, E. (2008). Are investors influenced by how earnings press releases are written? Journal of Business Communication, 45(4), 363-407.</w:t>
      </w:r>
    </w:p>
    <w:p>
      <w:pPr>
        <w:spacing w:after="60"/>
        <w:ind w:left="720" w:hanging="720"/>
      </w:pPr>
      <w:r>
        <w:rPr>
          <w:rFonts w:ascii="Times New Roman" w:hAnsi="Times New Roman"/>
          <w:sz w:val="22"/>
        </w:rPr>
        <w:t>Jarociński, M., &amp; Karadi, P. (2020). Deconstructing monetary policy surprises—The role of information shocks. American Economic Journal: Macroeconomics, 12(2), 1-43.</w:t>
      </w:r>
    </w:p>
    <w:p>
      <w:pPr>
        <w:spacing w:after="60"/>
        <w:ind w:left="720" w:hanging="720"/>
      </w:pPr>
      <w:r>
        <w:rPr>
          <w:rFonts w:ascii="Times New Roman" w:hAnsi="Times New Roman"/>
          <w:sz w:val="22"/>
        </w:rPr>
        <w:t>Kuttner, K. N. (2001). Monetary policy surprises and interest rates: Evidence from the Fed funds futures market. Journal of Monetary Economics, 47(3), 523-544.</w:t>
      </w:r>
    </w:p>
    <w:p>
      <w:pPr>
        <w:spacing w:after="60"/>
        <w:ind w:left="720" w:hanging="720"/>
      </w:pPr>
      <w:r>
        <w:rPr>
          <w:rFonts w:ascii="Times New Roman" w:hAnsi="Times New Roman"/>
          <w:sz w:val="22"/>
        </w:rPr>
        <w:t>Loughran, T., &amp; McDonald, B. (2011). When is a liability not a liability? Textual analysis, dictionaries, and 10-Ks. Journal of Finance, 66(1), 35-65.</w:t>
      </w:r>
    </w:p>
    <w:p>
      <w:pPr>
        <w:spacing w:after="60"/>
        <w:ind w:left="720" w:hanging="720"/>
      </w:pPr>
      <w:r>
        <w:rPr>
          <w:rFonts w:ascii="Times New Roman" w:hAnsi="Times New Roman"/>
          <w:sz w:val="22"/>
        </w:rPr>
        <w:t>Nakamura, E., &amp; Steinsson, J. (2018). High-frequency identification of monetary non-neutrality: The information effect. Quarterly Journal of Economics, 133(3), 1283-1330.</w:t>
      </w:r>
    </w:p>
    <w:p>
      <w:pPr>
        <w:spacing w:after="60"/>
        <w:ind w:left="720" w:hanging="720"/>
      </w:pPr>
      <w:r>
        <w:rPr>
          <w:rFonts w:ascii="Times New Roman" w:hAnsi="Times New Roman"/>
          <w:sz w:val="22"/>
        </w:rPr>
        <w:t>Newey, W. K., &amp; West, K. D. (1987). A simple, positive semi-definite, heteroskedasticity and autocorrelation consistent covariance matrix. Econometrica, 55(3), 703-708.</w:t>
      </w:r>
    </w:p>
    <w:p>
      <w:pPr>
        <w:spacing w:after="60"/>
        <w:ind w:left="720" w:hanging="720"/>
      </w:pPr>
      <w:r>
        <w:rPr>
          <w:rFonts w:ascii="Times New Roman" w:hAnsi="Times New Roman"/>
          <w:sz w:val="22"/>
        </w:rPr>
        <w:t>Perez-Quiros, G., &amp; Timmermann, A. (2000). Firm size and cyclical variations in stock returns. Journal of Finance, 55(3), 1229-1262.</w:t>
      </w:r>
    </w:p>
    <w:p>
      <w:pPr>
        <w:spacing w:after="60"/>
        <w:ind w:left="720" w:hanging="720"/>
      </w:pPr>
      <w:r>
        <w:rPr>
          <w:rFonts w:ascii="Times New Roman" w:hAnsi="Times New Roman"/>
          <w:sz w:val="22"/>
        </w:rPr>
        <w:t>Romer, C. D., &amp; Romer, D. H. (2000). Federal Reserve information and the behavior of interest rates. American Economic Review, 90(3), 429-457.</w:t>
      </w:r>
    </w:p>
    <w:p>
      <w:r>
        <w:br w:type="page"/>
      </w:r>
    </w:p>
    <w:p>
      <w:pPr>
        <w:pStyle w:val="Heading1"/>
      </w:pPr>
      <w:r>
        <w:t>Appendix</w:t>
      </w:r>
    </w:p>
    <w:p>
      <w:pPr>
        <w:pStyle w:val="Heading2"/>
      </w:pPr>
      <w:r>
        <w:t>Appendix A: Expanded Central Bank Sentiment Dictionary</w:t>
      </w:r>
    </w:p>
    <w:p>
      <w:pPr>
        <w:spacing w:after="120"/>
      </w:pPr>
      <w:r>
        <w:rPr>
          <w:rFonts w:ascii="Times New Roman" w:hAnsi="Times New Roman"/>
          <w:b w:val="0"/>
          <w:i w:val="0"/>
          <w:sz w:val="20"/>
        </w:rPr>
        <w:t>Our expanded central bank dictionary contains 60 hawkish terms, 60 dovish terms, and 50 bigram phrases. The full list of terms is available in the replication package. Key hawkish terms include: tighten, restrictive, inflationary, overheating, elevated, vigilance, normalize, taper, hike, front-load, overshoot, upside risks, unacceptably high, persistently elevated, second-round effects, wage-pressure, capacity-constraint, inflation-expectations, unanchored, and quantitative-tightening. Key dovish terms include: accommodate, ease, stimulate, support, patient, gradual, data-dependent, transitory, cushion, buffer, safeguard, dovish, flexible, optionality, confidence, benign, favorable, transitory, temporary, and soft-landing. Bigram phrases include 'rate hike,' 'inflation expectations,' 'restrictive stance' (hawkish) and 'rate cut,' 'accommodative stance,' 'forward guidance' (dovish).</w:t>
      </w:r>
    </w:p>
    <w:p>
      <w:pPr>
        <w:pStyle w:val="Heading2"/>
      </w:pPr>
      <w:r>
        <w:t>Appendix B: Data Sources</w:t>
      </w:r>
    </w:p>
    <w:p>
      <w:pPr>
        <w:spacing w:after="60"/>
      </w:pPr>
      <w:r>
        <w:rPr>
          <w:rFonts w:ascii="Times New Roman" w:hAnsi="Times New Roman"/>
          <w:b/>
          <w:i/>
          <w:sz w:val="20"/>
        </w:rPr>
        <w:t>Table A1: Data Sources Summary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Data</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Access</w:t>
            </w:r>
          </w:p>
        </w:tc>
      </w:tr>
      <w:tr>
        <w:tc>
          <w:tcPr>
            <w:tcW w:type="dxa" w:w="1758"/>
          </w:tcPr>
          <w:p>
            <w:pPr>
              <w:jc w:val="center"/>
            </w:pPr>
            <w:r>
              <w:rPr>
                <w:rFonts w:ascii="Times New Roman" w:hAnsi="Times New Roman"/>
                <w:sz w:val="20"/>
              </w:rPr>
              <w:t>Monetary policy shocks</w:t>
            </w:r>
          </w:p>
        </w:tc>
        <w:tc>
          <w:tcPr>
            <w:tcW w:type="dxa" w:w="1758"/>
          </w:tcPr>
          <w:p>
            <w:pPr>
              <w:jc w:val="center"/>
            </w:pPr>
            <w:r>
              <w:rPr>
                <w:rFonts w:ascii="Times New Roman" w:hAnsi="Times New Roman"/>
                <w:sz w:val="20"/>
              </w:rPr>
              <w:t>Acosta (2022)/GSS+NS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DFF shock proxy</w:t>
            </w:r>
          </w:p>
        </w:tc>
        <w:tc>
          <w:tcPr>
            <w:tcW w:type="dxa" w:w="1758"/>
          </w:tcPr>
          <w:p>
            <w:pPr>
              <w:jc w:val="center"/>
            </w:pPr>
            <w:r>
              <w:rPr>
                <w:rFonts w:ascii="Times New Roman" w:hAnsi="Times New Roman"/>
                <w:sz w:val="20"/>
              </w:rPr>
              <w:t>FRED</w:t>
            </w:r>
          </w:p>
        </w:tc>
        <w:tc>
          <w:tcPr>
            <w:tcW w:type="dxa" w:w="1758"/>
          </w:tcPr>
          <w:p>
            <w:pPr>
              <w:jc w:val="center"/>
            </w:pPr>
            <w:r>
              <w:rPr>
                <w:rFonts w:ascii="Times New Roman" w:hAnsi="Times New Roman"/>
                <w:sz w:val="20"/>
              </w:rPr>
              <w:t>2022-2025</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Public API</w:t>
            </w:r>
          </w:p>
        </w:tc>
      </w:tr>
      <w:tr>
        <w:tc>
          <w:tcPr>
            <w:tcW w:type="dxa" w:w="1758"/>
          </w:tcPr>
          <w:p>
            <w:pPr>
              <w:jc w:val="center"/>
            </w:pPr>
            <w:r>
              <w:rPr>
                <w:rFonts w:ascii="Times New Roman" w:hAnsi="Times New Roman"/>
                <w:sz w:val="20"/>
              </w:rPr>
              <w:t>CRSP market index</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CRSP financial stocks</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FOMC statements</w:t>
            </w:r>
          </w:p>
        </w:tc>
        <w:tc>
          <w:tcPr>
            <w:tcW w:type="dxa" w:w="1758"/>
          </w:tcPr>
          <w:p>
            <w:pPr>
              <w:jc w:val="center"/>
            </w:pPr>
            <w:r>
              <w:rPr>
                <w:rFonts w:ascii="Times New Roman" w:hAnsi="Times New Roman"/>
                <w:sz w:val="20"/>
              </w:rPr>
              <w:t>Fed website</w:t>
            </w:r>
          </w:p>
        </w:tc>
        <w:tc>
          <w:tcPr>
            <w:tcW w:type="dxa" w:w="1758"/>
          </w:tcPr>
          <w:p>
            <w:pPr>
              <w:jc w:val="center"/>
            </w:pPr>
            <w:r>
              <w:rPr>
                <w:rFonts w:ascii="Times New Roman" w:hAnsi="Times New Roman"/>
                <w:sz w:val="20"/>
              </w:rPr>
              <w:t>2006-2025</w:t>
            </w:r>
          </w:p>
        </w:tc>
        <w:tc>
          <w:tcPr>
            <w:tcW w:type="dxa" w:w="1758"/>
          </w:tcPr>
          <w:p>
            <w:pPr>
              <w:jc w:val="center"/>
            </w:pPr>
            <w:r>
              <w:rPr>
                <w:rFonts w:ascii="Times New Roman" w:hAnsi="Times New Roman"/>
                <w:sz w:val="20"/>
              </w:rPr>
              <w:t>Per meeting</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FRED macro series</w:t>
            </w:r>
          </w:p>
        </w:tc>
        <w:tc>
          <w:tcPr>
            <w:tcW w:type="dxa" w:w="1758"/>
          </w:tcPr>
          <w:p>
            <w:pPr>
              <w:jc w:val="center"/>
            </w:pPr>
            <w:r>
              <w:rPr>
                <w:rFonts w:ascii="Times New Roman" w:hAnsi="Times New Roman"/>
                <w:sz w:val="20"/>
              </w:rPr>
              <w:t>FRED API</w:t>
            </w:r>
          </w:p>
        </w:tc>
        <w:tc>
          <w:tcPr>
            <w:tcW w:type="dxa" w:w="1758"/>
          </w:tcPr>
          <w:p>
            <w:pPr>
              <w:jc w:val="center"/>
            </w:pPr>
            <w:r>
              <w:rPr>
                <w:rFonts w:ascii="Times New Roman" w:hAnsi="Times New Roman"/>
                <w:sz w:val="20"/>
              </w:rPr>
              <w:t>1990-2025</w:t>
            </w:r>
          </w:p>
        </w:tc>
        <w:tc>
          <w:tcPr>
            <w:tcW w:type="dxa" w:w="1758"/>
          </w:tcPr>
          <w:p>
            <w:pPr>
              <w:jc w:val="center"/>
            </w:pPr>
            <w:r>
              <w:rPr>
                <w:rFonts w:ascii="Times New Roman" w:hAnsi="Times New Roman"/>
                <w:sz w:val="20"/>
              </w:rPr>
              <w:t>Daily/Monthly</w:t>
            </w:r>
          </w:p>
        </w:tc>
        <w:tc>
          <w:tcPr>
            <w:tcW w:type="dxa" w:w="1758"/>
          </w:tcPr>
          <w:p>
            <w:pPr>
              <w:jc w:val="center"/>
            </w:pPr>
            <w:r>
              <w:rPr>
                <w:rFonts w:ascii="Times New Roman" w:hAnsi="Times New Roman"/>
                <w:sz w:val="20"/>
              </w:rPr>
              <w:t>Public API</w:t>
            </w:r>
          </w:p>
        </w:tc>
      </w:tr>
    </w:tbl>
    <w:p/>
    <w:sectPr w:rsidR="00FC693F" w:rsidRPr="0006063C"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