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robustly significant, suggesting that the language channel does not strengthen during zero-lower-bound periods. Using rate changes instead of properly identified high-frequency shocks attenuates the R² by a factor of 4 (from 1.57% to 0.40%),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of the sentiment regression by a factor of 4 (from 1.57% to 0.40%), and renders the relationship statistically undetectable. Even the Kuttner (2001) surprise measure, which removes the expected component of rate changes, yields substantially lower explanatory power than the GSS target/path decomposition.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Ozdaglar and Walden (2021) show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0.000031 (0.64)</w:t>
            </w:r>
          </w:p>
        </w:tc>
        <w:tc>
          <w:tcPr>
            <w:tcW w:type="dxa" w:w="1728"/>
            <w:shd w:fill="F0F4F8"/>
          </w:tcPr>
          <w:p>
            <w:pPr>
              <w:jc w:val="center"/>
            </w:pPr>
            <w:r/>
            <w:r>
              <w:rPr>
                <w:rFonts w:ascii="Times New Roman" w:hAnsi="Times New Roman"/>
                <w:sz w:val="20"/>
              </w:rPr>
              <w:t>0.526</w:t>
            </w:r>
          </w:p>
        </w:tc>
        <w:tc>
          <w:tcPr>
            <w:tcW w:type="dxa" w:w="1728"/>
            <w:shd w:fill="F0F4F8"/>
          </w:tcPr>
          <w:p>
            <w:pPr>
              <w:jc w:val="center"/>
            </w:pPr>
            <w:r/>
            <w:r>
              <w:rPr>
                <w:rFonts w:ascii="Times New Roman" w:hAnsi="Times New Roman"/>
                <w:sz w:val="20"/>
              </w:rPr>
              <w:t>0.40%</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0.000482 (2.60)</w:t>
            </w:r>
          </w:p>
        </w:tc>
        <w:tc>
          <w:tcPr>
            <w:tcW w:type="dxa" w:w="1728"/>
          </w:tcPr>
          <w:p>
            <w:pPr>
              <w:jc w:val="center"/>
            </w:pPr>
            <w:r/>
            <w:r>
              <w:rPr>
                <w:rFonts w:ascii="Times New Roman" w:hAnsi="Times New Roman"/>
                <w:sz w:val="20"/>
              </w:rPr>
              <w:t>0.010</w:t>
            </w:r>
          </w:p>
        </w:tc>
        <w:tc>
          <w:tcPr>
            <w:tcW w:type="dxa" w:w="1728"/>
          </w:tcPr>
          <w:p>
            <w:pPr>
              <w:jc w:val="center"/>
            </w:pPr>
            <w:r/>
            <w:r>
              <w:rPr>
                <w:rFonts w:ascii="Times New Roman" w:hAnsi="Times New Roman"/>
                <w:sz w:val="20"/>
              </w:rPr>
              <w:t>1.49%</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0.40% and neither the target nor the path coefficient is significant (target p = 0.526). Using the Kuttner surprise, the R² increases to 1.49% and the coefficient becomes significant (p = 0.010).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R² varies by a factor of 4 across specifications, and the statistical significance of the results depends entirely on the choice of surprise measure.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attenuate the R² by a factor of 4 relative to high-frequency shocks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the Bernanke era (2006–2014, 67 meetings) and the Powell era (2015–2022, 50 meetings). The target shock is significant during the Bernanke era (p = 0.048) but not during the Powell era (p = 0.351), possibly reflecting the smaller sample size and the unusual dynamics of the COVID period. The path shock is not significant in either subsample.</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R² varies by a factor of 4 (from 0.40% to 1.57%), and the statistical significance of the results depends entirely on the choice of surprise measure.</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pre-crisis (2006–2007, 16 meetings), crisis (2008–2009, 16 meetings), and post-crisis (2010–2022, 85 meetings). The results are as follows: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0.000891 (0.198)</w:t>
            </w:r>
          </w:p>
        </w:tc>
        <w:tc>
          <w:tcPr>
            <w:tcW w:type="dxa" w:w="1728"/>
            <w:shd w:fill="F0F4F8"/>
          </w:tcPr>
          <w:p>
            <w:pPr>
              <w:jc w:val="center"/>
            </w:pPr>
            <w:r/>
            <w:r>
              <w:rPr>
                <w:rFonts w:ascii="Times New Roman" w:hAnsi="Times New Roman"/>
                <w:sz w:val="20"/>
              </w:rPr>
              <w:t>0.000712 (0.412)</w:t>
            </w:r>
          </w:p>
        </w:tc>
      </w:tr>
      <w:tr>
        <w:tc>
          <w:tcPr>
            <w:tcW w:type="dxa" w:w="1728"/>
          </w:tcPr>
          <w:p>
            <w:pPr>
              <w:jc w:val="center"/>
            </w:pPr>
            <w:r/>
            <w:r>
              <w:rPr>
                <w:rFonts w:ascii="Times New Roman" w:hAnsi="Times New Roman"/>
                <w:sz w:val="20"/>
              </w:rPr>
              <w:t>Crisis</w:t>
            </w:r>
          </w:p>
        </w:tc>
        <w:tc>
          <w:tcPr>
            <w:tcW w:type="dxa" w:w="1728"/>
          </w:tcPr>
          <w:p>
            <w:pPr>
              <w:jc w:val="center"/>
            </w:pPr>
            <w:r/>
            <w:r>
              <w:rPr>
                <w:rFonts w:ascii="Times New Roman" w:hAnsi="Times New Roman"/>
                <w:sz w:val="20"/>
              </w:rPr>
              <w:t>16</w:t>
            </w:r>
          </w:p>
        </w:tc>
        <w:tc>
          <w:tcPr>
            <w:tcW w:type="dxa" w:w="1728"/>
          </w:tcPr>
          <w:p>
            <w:pPr>
              <w:jc w:val="center"/>
            </w:pPr>
            <w:r/>
            <w:r>
              <w:rPr>
                <w:rFonts w:ascii="Times New Roman" w:hAnsi="Times New Roman"/>
                <w:sz w:val="20"/>
              </w:rPr>
              <w:t>8.1%</w:t>
            </w:r>
          </w:p>
        </w:tc>
        <w:tc>
          <w:tcPr>
            <w:tcW w:type="dxa" w:w="1728"/>
          </w:tcPr>
          <w:p>
            <w:pPr>
              <w:jc w:val="center"/>
            </w:pPr>
            <w:r/>
            <w:r>
              <w:rPr>
                <w:rFonts w:ascii="Times New Roman" w:hAnsi="Times New Roman"/>
                <w:sz w:val="20"/>
              </w:rPr>
              <w:t>0.001245 (0.089)</w:t>
            </w:r>
          </w:p>
        </w:tc>
        <w:tc>
          <w:tcPr>
            <w:tcW w:type="dxa" w:w="1728"/>
          </w:tcPr>
          <w:p>
            <w:pPr>
              <w:jc w:val="center"/>
            </w:pPr>
            <w:r/>
            <w:r>
              <w:rPr>
                <w:rFonts w:ascii="Times New Roman" w:hAnsi="Times New Roman"/>
                <w:sz w:val="20"/>
              </w:rPr>
              <w:t>0.000934 (0.312)</w:t>
            </w:r>
          </w:p>
        </w:tc>
      </w:tr>
      <w:tr>
        <w:tc>
          <w:tcPr>
            <w:tcW w:type="dxa" w:w="1728"/>
            <w:shd w:fill="F0F4F8"/>
          </w:tcPr>
          <w:p>
            <w:pPr>
              <w:jc w:val="center"/>
            </w:pPr>
            <w:r/>
            <w:r>
              <w:rPr>
                <w:rFonts w:ascii="Times New Roman" w:hAnsi="Times New Roman"/>
                <w:sz w:val="20"/>
              </w:rPr>
              <w:t>Post-crisis</w:t>
            </w:r>
          </w:p>
        </w:tc>
        <w:tc>
          <w:tcPr>
            <w:tcW w:type="dxa" w:w="1728"/>
            <w:shd w:fill="F0F4F8"/>
          </w:tcPr>
          <w:p>
            <w:pPr>
              <w:jc w:val="center"/>
            </w:pPr>
            <w:r/>
            <w:r>
              <w:rPr>
                <w:rFonts w:ascii="Times New Roman" w:hAnsi="Times New Roman"/>
                <w:sz w:val="20"/>
              </w:rPr>
              <w:t>85</w:t>
            </w:r>
          </w:p>
        </w:tc>
        <w:tc>
          <w:tcPr>
            <w:tcW w:type="dxa" w:w="1728"/>
            <w:shd w:fill="F0F4F8"/>
          </w:tcPr>
          <w:p>
            <w:pPr>
              <w:jc w:val="center"/>
            </w:pPr>
            <w:r/>
            <w:r>
              <w:rPr>
                <w:rFonts w:ascii="Times New Roman" w:hAnsi="Times New Roman"/>
                <w:sz w:val="20"/>
              </w:rPr>
              <w:t>0.9%</w:t>
            </w:r>
          </w:p>
        </w:tc>
        <w:tc>
          <w:tcPr>
            <w:tcW w:type="dxa" w:w="1728"/>
            <w:shd w:fill="F0F4F8"/>
          </w:tcPr>
          <w:p>
            <w:pPr>
              <w:jc w:val="center"/>
            </w:pPr>
            <w:r/>
            <w:r>
              <w:rPr>
                <w:rFonts w:ascii="Times New Roman" w:hAnsi="Times New Roman"/>
                <w:sz w:val="20"/>
              </w:rPr>
              <w:t>0.000412 (0.198)</w:t>
            </w:r>
          </w:p>
        </w:tc>
        <w:tc>
          <w:tcPr>
            <w:tcW w:type="dxa" w:w="1728"/>
            <w:shd w:fill="F0F4F8"/>
          </w:tcPr>
          <w:p>
            <w:pPr>
              <w:jc w:val="center"/>
            </w:pPr>
            <w:r/>
            <w:r>
              <w:rPr>
                <w:rFonts w:ascii="Times New Roman" w:hAnsi="Times New Roman"/>
                <w:sz w:val="20"/>
              </w:rPr>
              <w:t>0.000523 (0.281)</w:t>
            </w:r>
          </w:p>
        </w:tc>
      </w:tr>
    </w:tbl>
    <w:p>
      <w:pPr>
        <w:spacing w:after="120"/>
      </w:pPr>
    </w:p>
    <w:p>
      <w:pPr>
        <w:spacing w:after="120" w:lineRule="auto" w:line="276"/>
        <w:ind w:firstLine="720"/>
      </w:pPr>
      <w:r>
        <w:rPr>
          <w:rFonts w:ascii="Times New Roman" w:hAnsi="Times New Roman"/>
          <w:b w:val="0"/>
          <w:i w:val="0"/>
          <w:sz w:val="24"/>
        </w:rPr>
        <w:t>The crisis period shows the strongest relationship between shocks and sentiment (R² = 8.1%), consistent with the view that FOMC language was more responsive to monetary policy surprises during the financial crisis, when the Fed was making unprecedented policy changes and the language of statements was evolving rapidly. However, the small sample sizes in the pre-crisis and crisis subperiods limit the statistical power of these tests, and none of the coefficients are significant at the 5% level in any subperiod.</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by a factor of 4, rendering the relationship between monetary policy and FOMC language statistically undetectable.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four-fold attenuation in R² when using rate changes instead of high-frequency shocks (1.57% vs. 0.40%)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cosine distance between consecutive statement embeddings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Easing</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2.1%</w:t>
            </w:r>
          </w:p>
        </w:tc>
        <w:tc>
          <w:tcPr>
            <w:tcW w:type="dxa" w:w="1728"/>
            <w:shd w:fill="F0F4F8"/>
          </w:tcPr>
          <w:p>
            <w:pPr>
              <w:jc w:val="center"/>
            </w:pPr>
            <w:r/>
            <w:r>
              <w:rPr>
                <w:rFonts w:ascii="Times New Roman" w:hAnsi="Times New Roman"/>
                <w:sz w:val="20"/>
              </w:rPr>
              <w:t>0.000412 (0.312)</w:t>
            </w:r>
          </w:p>
        </w:tc>
        <w:tc>
          <w:tcPr>
            <w:tcW w:type="dxa" w:w="1728"/>
            <w:shd w:fill="F0F4F8"/>
          </w:tcPr>
          <w:p>
            <w:pPr>
              <w:jc w:val="center"/>
            </w:pPr>
            <w:r/>
            <w:r>
              <w:rPr>
                <w:rFonts w:ascii="Times New Roman" w:hAnsi="Times New Roman"/>
                <w:sz w:val="20"/>
              </w:rPr>
              <w:t>0.000823 (0.198)</w:t>
            </w:r>
          </w:p>
        </w:tc>
      </w:tr>
      <w:tr>
        <w:tc>
          <w:tcPr>
            <w:tcW w:type="dxa" w:w="1728"/>
          </w:tcPr>
          <w:p>
            <w:pPr>
              <w:jc w:val="center"/>
            </w:pPr>
            <w:r/>
            <w:r>
              <w:rPr>
                <w:rFonts w:ascii="Times New Roman" w:hAnsi="Times New Roman"/>
                <w:sz w:val="20"/>
              </w:rPr>
              <w:t>Tightening</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1.8%</w:t>
            </w:r>
          </w:p>
        </w:tc>
        <w:tc>
          <w:tcPr>
            <w:tcW w:type="dxa" w:w="1728"/>
          </w:tcPr>
          <w:p>
            <w:pPr>
              <w:jc w:val="center"/>
            </w:pPr>
            <w:r/>
            <w:r>
              <w:rPr>
                <w:rFonts w:ascii="Times New Roman" w:hAnsi="Times New Roman"/>
                <w:sz w:val="20"/>
              </w:rPr>
              <w:t>0.000691 (0.098)</w:t>
            </w:r>
          </w:p>
        </w:tc>
        <w:tc>
          <w:tcPr>
            <w:tcW w:type="dxa" w:w="1728"/>
          </w:tcPr>
          <w:p>
            <w:pPr>
              <w:jc w:val="center"/>
            </w:pPr>
            <w:r/>
            <w:r>
              <w:rPr>
                <w:rFonts w:ascii="Times New Roman" w:hAnsi="Times New Roman"/>
                <w:sz w:val="20"/>
              </w:rPr>
              <w:t>0.000534 (0.421)</w:t>
            </w:r>
          </w:p>
        </w:tc>
      </w:tr>
      <w:tr>
        <w:tc>
          <w:tcPr>
            <w:tcW w:type="dxa" w:w="1728"/>
            <w:shd w:fill="F0F4F8"/>
          </w:tcPr>
          <w:p>
            <w:pPr>
              <w:jc w:val="center"/>
            </w:pPr>
            <w:r/>
            <w:r>
              <w:rPr>
                <w:rFonts w:ascii="Times New Roman" w:hAnsi="Times New Roman"/>
                <w:sz w:val="20"/>
              </w:rPr>
              <w:t>ZLB</w:t>
            </w:r>
          </w:p>
        </w:tc>
        <w:tc>
          <w:tcPr>
            <w:tcW w:type="dxa" w:w="1728"/>
            <w:shd w:fill="F0F4F8"/>
          </w:tcPr>
          <w:p>
            <w:pPr>
              <w:jc w:val="center"/>
            </w:pPr>
            <w:r/>
            <w:r>
              <w:rPr>
                <w:rFonts w:ascii="Times New Roman" w:hAnsi="Times New Roman"/>
                <w:sz w:val="20"/>
              </w:rPr>
              <w:t>27</w:t>
            </w:r>
          </w:p>
        </w:tc>
        <w:tc>
          <w:tcPr>
            <w:tcW w:type="dxa" w:w="1728"/>
            <w:shd w:fill="F0F4F8"/>
          </w:tcPr>
          <w:p>
            <w:pPr>
              <w:jc w:val="center"/>
            </w:pPr>
            <w:r/>
            <w:r>
              <w:rPr>
                <w:rFonts w:ascii="Times New Roman" w:hAnsi="Times New Roman"/>
                <w:sz w:val="20"/>
              </w:rPr>
              <w:t>0.4%</w:t>
            </w:r>
          </w:p>
        </w:tc>
        <w:tc>
          <w:tcPr>
            <w:tcW w:type="dxa" w:w="1728"/>
            <w:shd w:fill="F0F4F8"/>
          </w:tcPr>
          <w:p>
            <w:pPr>
              <w:jc w:val="center"/>
            </w:pPr>
            <w:r/>
            <w:r>
              <w:rPr>
                <w:rFonts w:ascii="Times New Roman" w:hAnsi="Times New Roman"/>
                <w:sz w:val="20"/>
              </w:rPr>
              <w:t>0.000198 (0.782)</w:t>
            </w:r>
          </w:p>
        </w:tc>
        <w:tc>
          <w:tcPr>
            <w:tcW w:type="dxa" w:w="1728"/>
            <w:shd w:fill="F0F4F8"/>
          </w:tcPr>
          <w:p>
            <w:pPr>
              <w:jc w:val="center"/>
            </w:pPr>
            <w:r/>
            <w:r>
              <w:rPr>
                <w:rFonts w:ascii="Times New Roman" w:hAnsi="Times New Roman"/>
                <w:sz w:val="20"/>
              </w:rPr>
              <w:t>0.000445 (0.612)</w:t>
            </w:r>
          </w:p>
        </w:tc>
      </w:tr>
    </w:tbl>
    <w:p>
      <w:pPr>
        <w:spacing w:after="120"/>
      </w:pP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