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robustly significant, suggesting that the language channel does not strengthen during zero-lower-bound periods. Using rate changes instead of properly identified high-frequency shocks attenuates the R² and renders the relationship statistically undetectable (p = 0.726),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(0.000)</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