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the language of FOMC statements conveys information beyond the immediate policy rate decision. Using a combined central bank sentiment dictionary (Loughran-McDonald and central-bank-specific terms) and high-frequency monetary policy shocks from Gürkaynak, Sack, and Swanson (2005), we decompose FOMC communication effects into a target rate surprise and a forward guidance path factor. Our analysis spans 117 FOMC meetings from 2006 to 2022, combining CRSP market data with FOMC statement texts. We find that the target shock — capturing the unexpected component of the current rate decision — is a statistically significant predictor of FOMC language sentiment (β = 0.000577, t = 2.43, p = 0.017), while the path shock is not significant at conventional levels (β = 0.000633, t = 1.44, p = 0.152). A Wald test cannot reject the null that the two coefficients are equal (p = 0.90). In asset return regressions, the target shock significantly predicts equity and gold returns, with small-cap stocks (equal-weighted CRSP) responding more strongly than large-cap stocks (value-weighted), consistent with heterogeneous sensitivity to monetary policy. The forward guidance period interaction is not robustly significant, suggesting that the language channel does not strengthen during zero-lower-bound periods. Using rate changes instead of properly identified high-frequency shocks attenuates the R² and renders the relationship statistically undetectable (p = 0.726), underscoring the critical importance of data quality in monetary policy event studies.</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−2.47</w:t>
            </w:r>
          </w:p>
        </w:tc>
        <w:tc>
          <w:tcPr>
            <w:tcW w:type="dxa" w:w="1080"/>
            <w:shd w:fill="F0F4F8"/>
          </w:tcPr>
          <w:p>
            <w:pPr>
              <w:jc w:val="center"/>
            </w:pPr>
            <w:r/>
            <w:r>
              <w:rPr>
                <w:rFonts w:ascii="Times New Roman" w:hAnsi="Times New Roman"/>
                <w:sz w:val="20"/>
              </w:rPr>
              <w:t>0.014</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0.146</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0.890</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0.491</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6.14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6.15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remains significant (β₁ = 0.000609, p = 0.019), while the path shock is not (β₂ = −0.000854, p = 0.267). The R² increases to 70.3%, reflecting the strong explanatory power of the lagged dependent variable. The key finding — target shock significance, path shock insignificance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6.16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fourth,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cosine distance between consecutive statement embeddings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(0.000)</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