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366f6043e14d46d04ed54e18a516bd26ae6efa2"/>
    <w:p>
      <w:pPr>
        <w:pStyle w:val="Heading1"/>
      </w:pPr>
      <w:r>
        <w:t xml:space="preserve">Monetary Policy Lab: Computational Details</w:t>
      </w:r>
    </w:p>
    <w:p>
      <w:pPr>
        <w:pStyle w:val="BlockText"/>
      </w:pPr>
      <w:r>
        <w:rPr>
          <w:b/>
          <w:bCs/>
        </w:rPr>
        <w:t xml:space="preserve">Technical Reference for Financial Economics Experts</w:t>
      </w:r>
    </w:p>
    <w:p>
      <w:pPr>
        <w:pStyle w:val="BlockText"/>
      </w:pPr>
      <w:r>
        <w:t xml:space="preserve">Platform: https://monetary-policy-lab.streamlit.app</w:t>
      </w:r>
      <w:r>
        <w:br/>
      </w:r>
      <w:r>
        <w:t xml:space="preserve">Repository: GitHub (dechang64/monetary-policy-lab)</w:t>
      </w:r>
      <w:r>
        <w:br/>
      </w:r>
      <w:r>
        <w:t xml:space="preserve">Version: v1.1 (Phase 1 complete, v6.1 analysis pipeline, WRDS CRSP/Compustat integrated)</w:t>
      </w:r>
    </w:p>
    <w:p>
      <w:r>
        <w:pict>
          <v:rect style="width:0;height:1.5pt" o:hralign="center" o:hrstd="t" o:hr="t"/>
        </w:pict>
      </w:r>
    </w:p>
    <w:bookmarkStart w:id="20" w:name="architecture-overview"/>
    <w:p>
      <w:pPr>
        <w:pStyle w:val="Heading2"/>
      </w:pPr>
      <w:r>
        <w:t xml:space="preserve">1. Architecture Overview</w:t>
      </w:r>
    </w:p>
    <w:p>
      <w:pPr>
        <w:pStyle w:val="FirstParagraph"/>
      </w:pPr>
      <w:r>
        <w:t xml:space="preserve">The platform consists of two layers:</w:t>
      </w:r>
    </w:p>
    <w:tbl>
      <w:tblPr>
        <w:tblStyle w:val="Table"/>
        <w:tblW w:type="pct" w:w="5000"/>
        <w:jc w:val="left"/>
        <w:tblLayout w:type="fixed"/>
        <w:tblLook w:firstRow="1" w:lastRow="0" w:firstColumn="0" w:lastColumn="0" w:noHBand="0" w:noVBand="0" w:val="0020"/>
      </w:tblPr>
      <w:tblGrid>
        <w:gridCol w:w="2053"/>
        <w:gridCol w:w="3226"/>
        <w:gridCol w:w="2640"/>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Purpose</w:t>
            </w:r>
          </w:p>
        </w:tc>
      </w:tr>
      <w:tr>
        <w:tc>
          <w:tcPr/>
          <w:p>
            <w:pPr>
              <w:pStyle w:val="Compact"/>
              <w:jc w:val="left"/>
            </w:pPr>
            <w:r>
              <w:rPr>
                <w:b/>
                <w:bCs/>
              </w:rPr>
              <w:t xml:space="preserve">Interactive Dashboard</w:t>
            </w:r>
          </w:p>
        </w:tc>
        <w:tc>
          <w:tcPr/>
          <w:p>
            <w:pPr>
              <w:pStyle w:val="Compact"/>
              <w:jc w:val="left"/>
            </w:pPr>
            <w:r>
              <w:t xml:space="preserve">Streamlit app (</w:t>
            </w:r>
            <w:r>
              <w:rPr>
                <w:rStyle w:val="VerbatimChar"/>
              </w:rPr>
              <w:t xml:space="preserve">app.py</w:t>
            </w:r>
            <w:r>
              <w:t xml:space="preserve"> </w:t>
            </w:r>
            <w:r>
              <w:t xml:space="preserve">+</w:t>
            </w:r>
            <w:r>
              <w:t xml:space="preserve"> </w:t>
            </w:r>
            <w:r>
              <w:rPr>
                <w:rStyle w:val="VerbatimChar"/>
              </w:rPr>
              <w:t xml:space="preserve">modules/</w:t>
            </w:r>
            <w:r>
              <w:t xml:space="preserve">)</w:t>
            </w:r>
          </w:p>
        </w:tc>
        <w:tc>
          <w:tcPr/>
          <w:p>
            <w:pPr>
              <w:pStyle w:val="Compact"/>
              <w:jc w:val="left"/>
            </w:pPr>
            <w:r>
              <w:t xml:space="preserve">Real-time exploration, visualization, scenario analysis</w:t>
            </w:r>
          </w:p>
        </w:tc>
      </w:tr>
      <w:tr>
        <w:tc>
          <w:tcPr/>
          <w:p>
            <w:pPr>
              <w:pStyle w:val="Compact"/>
              <w:jc w:val="left"/>
            </w:pPr>
            <w:r>
              <w:rPr>
                <w:b/>
                <w:bCs/>
              </w:rPr>
              <w:t xml:space="preserve">Research Engine</w:t>
            </w:r>
          </w:p>
        </w:tc>
        <w:tc>
          <w:tcPr/>
          <w:p>
            <w:pPr>
              <w:pStyle w:val="Compact"/>
              <w:jc w:val="left"/>
            </w:pPr>
            <w:r>
              <w:rPr>
                <w:rStyle w:val="VerbatimChar"/>
              </w:rPr>
              <w:t xml:space="preserve">mp-research-platform/</w:t>
            </w:r>
            <w:r>
              <w:t xml:space="preserve"> </w:t>
            </w:r>
            <w:r>
              <w:t xml:space="preserve">+</w:t>
            </w:r>
            <w:r>
              <w:t xml:space="preserve"> </w:t>
            </w:r>
            <w:r>
              <w:rPr>
                <w:rStyle w:val="VerbatimChar"/>
              </w:rPr>
              <w:t xml:space="preserve">analysis/</w:t>
            </w:r>
          </w:p>
        </w:tc>
        <w:tc>
          <w:tcPr/>
          <w:p>
            <w:pPr>
              <w:pStyle w:val="Compact"/>
              <w:jc w:val="left"/>
            </w:pPr>
            <w:r>
              <w:t xml:space="preserve">Batch regression pipeline, hypothesis testing, robustness checks</w:t>
            </w:r>
          </w:p>
        </w:tc>
      </w:tr>
    </w:tbl>
    <w:p>
      <w:pPr>
        <w:pStyle w:val="BodyText"/>
      </w:pPr>
      <w:r>
        <w:t xml:space="preserve">The dashboard provides 8 modules (Dashboard, Fed Intelligence, Research, Replication, Sentiment, Two Shocks, Capital Flow, Event Study, Data Explorer), while the research engine runs the formal econometric analysis offline and stores results in</w:t>
      </w:r>
      <w:r>
        <w:t xml:space="preserve"> </w:t>
      </w:r>
      <w:r>
        <w:rPr>
          <w:rStyle w:val="VerbatimChar"/>
        </w:rPr>
        <w:t xml:space="preserve">results/</w:t>
      </w:r>
      <w:r>
        <w:t xml:space="preserve">.</w:t>
      </w:r>
    </w:p>
    <w:p>
      <w:r>
        <w:pict>
          <v:rect style="width:0;height:1.5pt" o:hralign="center" o:hrstd="t" o:hr="t"/>
        </w:pict>
      </w:r>
    </w:p>
    <w:bookmarkEnd w:id="20"/>
    <w:bookmarkStart w:id="27" w:name="data-sources-pipeline"/>
    <w:p>
      <w:pPr>
        <w:pStyle w:val="Heading2"/>
      </w:pPr>
      <w:r>
        <w:t xml:space="preserve">2. Data Sources &amp; Pipeline</w:t>
      </w:r>
    </w:p>
    <w:bookmarkStart w:id="21" w:name="fred-api-integration"/>
    <w:p>
      <w:pPr>
        <w:pStyle w:val="Heading3"/>
      </w:pPr>
      <w:r>
        <w:t xml:space="preserve">2.1 FRED API Integration</w:t>
      </w:r>
    </w:p>
    <w:p>
      <w:pPr>
        <w:pStyle w:val="FirstParagraph"/>
      </w:pPr>
      <w:r>
        <w:rPr>
          <w:b/>
          <w:bCs/>
        </w:rPr>
        <w:t xml:space="preserve">Connector</w:t>
      </w:r>
      <w:r>
        <w:t xml:space="preserve">:</w:t>
      </w:r>
      <w:r>
        <w:t xml:space="preserve"> </w:t>
      </w:r>
      <w:r>
        <w:rPr>
          <w:rStyle w:val="VerbatimChar"/>
        </w:rPr>
        <w:t xml:space="preserve">data/fred_connector.py</w:t>
      </w:r>
      <w:r>
        <w:t xml:space="preserve"> </w:t>
      </w:r>
      <w:r>
        <w:t xml:space="preserve">(class</w:t>
      </w:r>
      <w:r>
        <w:t xml:space="preserve"> </w:t>
      </w:r>
      <w:r>
        <w:rPr>
          <w:rStyle w:val="VerbatimChar"/>
        </w:rPr>
        <w:t xml:space="preserve">FREDConnector</w:t>
      </w:r>
      <w:r>
        <w:t xml:space="preserve">)</w:t>
      </w:r>
    </w:p>
    <w:p>
      <w:pPr>
        <w:pStyle w:val="BodyText"/>
      </w:pPr>
      <w:r>
        <w:t xml:space="preserve">We fetch</w:t>
      </w:r>
      <w:r>
        <w:t xml:space="preserve"> </w:t>
      </w:r>
      <w:r>
        <w:rPr>
          <w:b/>
          <w:bCs/>
        </w:rPr>
        <w:t xml:space="preserve">31 data series</w:t>
      </w:r>
      <w:r>
        <w:t xml:space="preserve"> </w:t>
      </w:r>
      <w:r>
        <w:t xml:space="preserve">from FRED, organized into 8 categories:</w:t>
      </w:r>
    </w:p>
    <w:tbl>
      <w:tblPr>
        <w:tblStyle w:val="Table"/>
        <w:tblW w:type="pct" w:w="5000"/>
        <w:jc w:val="left"/>
        <w:tblLayout w:type="fixed"/>
        <w:tblLook w:firstRow="1" w:lastRow="0" w:firstColumn="0" w:lastColumn="0" w:noHBand="0" w:noVBand="0" w:val="0020"/>
      </w:tblPr>
      <w:tblGrid>
        <w:gridCol w:w="2084"/>
        <w:gridCol w:w="1667"/>
        <w:gridCol w:w="1875"/>
        <w:gridCol w:w="2292"/>
      </w:tblGrid>
      <w:tr>
        <w:trPr>
          <w:tblHeader w:val="on"/>
        </w:trPr>
        <w:tc>
          <w:tcPr/>
          <w:p>
            <w:pPr>
              <w:pStyle w:val="Compact"/>
              <w:jc w:val="left"/>
            </w:pPr>
            <w:r>
              <w:t xml:space="preserve">Category</w:t>
            </w:r>
          </w:p>
        </w:tc>
        <w:tc>
          <w:tcPr/>
          <w:p>
            <w:pPr>
              <w:pStyle w:val="Compact"/>
              <w:jc w:val="left"/>
            </w:pPr>
            <w:r>
              <w:t xml:space="preserve">Series</w:t>
            </w:r>
          </w:p>
        </w:tc>
        <w:tc>
          <w:tcPr/>
          <w:p>
            <w:pPr>
              <w:pStyle w:val="Compact"/>
              <w:jc w:val="left"/>
            </w:pPr>
            <w:r>
              <w:t xml:space="preserve">FRED ID</w:t>
            </w:r>
          </w:p>
        </w:tc>
        <w:tc>
          <w:tcPr/>
          <w:p>
            <w:pPr>
              <w:pStyle w:val="Compact"/>
              <w:jc w:val="left"/>
            </w:pPr>
            <w:r>
              <w:t xml:space="preserve">Frequency</w:t>
            </w:r>
          </w:p>
        </w:tc>
      </w:tr>
      <w:tr>
        <w:tc>
          <w:tcPr/>
          <w:p>
            <w:pPr>
              <w:pStyle w:val="Compact"/>
              <w:jc w:val="left"/>
            </w:pPr>
            <w:r>
              <w:t xml:space="preserve">Interest Rates</w:t>
            </w:r>
          </w:p>
        </w:tc>
        <w:tc>
          <w:tcPr/>
          <w:p>
            <w:pPr>
              <w:pStyle w:val="Compact"/>
              <w:jc w:val="left"/>
            </w:pPr>
            <w:r>
              <w:t xml:space="preserve">1M/2Y/5Y/10Y/30Y Treasury, 2Y-10Y Spread, Effective Fed Funds, SOFR</w:t>
            </w:r>
          </w:p>
        </w:tc>
        <w:tc>
          <w:tcPr/>
          <w:p>
            <w:pPr>
              <w:pStyle w:val="Compact"/>
              <w:jc w:val="left"/>
            </w:pPr>
            <w:r>
              <w:t xml:space="preserve">DGS1MO, DGS2, DGS5, DGS10, DGS30, T10Y2Y, DFF, SOFR</w:t>
            </w:r>
          </w:p>
        </w:tc>
        <w:tc>
          <w:tcPr/>
          <w:p>
            <w:pPr>
              <w:pStyle w:val="Compact"/>
              <w:jc w:val="left"/>
            </w:pPr>
            <w:r>
              <w:t xml:space="preserve">Daily</w:t>
            </w:r>
          </w:p>
        </w:tc>
      </w:tr>
      <w:tr>
        <w:tc>
          <w:tcPr/>
          <w:p>
            <w:pPr>
              <w:pStyle w:val="Compact"/>
              <w:jc w:val="left"/>
            </w:pPr>
            <w:r>
              <w:t xml:space="preserve">Inflation</w:t>
            </w:r>
          </w:p>
        </w:tc>
        <w:tc>
          <w:tcPr/>
          <w:p>
            <w:pPr>
              <w:pStyle w:val="Compact"/>
              <w:jc w:val="left"/>
            </w:pPr>
            <w:r>
              <w:t xml:space="preserve">CPI YoY, Core CPI YoY, PCE, Core PCE YoY, 5Y/10Y Breakeven</w:t>
            </w:r>
          </w:p>
        </w:tc>
        <w:tc>
          <w:tcPr/>
          <w:p>
            <w:pPr>
              <w:pStyle w:val="Compact"/>
              <w:jc w:val="left"/>
            </w:pPr>
            <w:r>
              <w:t xml:space="preserve">CPIAUCSL, CPILFESL, PCEPI, PCEPILFE, T5YIE, T10YIE</w:t>
            </w:r>
          </w:p>
        </w:tc>
        <w:tc>
          <w:tcPr/>
          <w:p>
            <w:pPr>
              <w:pStyle w:val="Compact"/>
              <w:jc w:val="left"/>
            </w:pPr>
            <w:r>
              <w:t xml:space="preserve">Monthly/Daily</w:t>
            </w:r>
          </w:p>
        </w:tc>
      </w:tr>
      <w:tr>
        <w:tc>
          <w:tcPr/>
          <w:p>
            <w:pPr>
              <w:pStyle w:val="Compact"/>
              <w:jc w:val="left"/>
            </w:pPr>
            <w:r>
              <w:t xml:space="preserve">Equity</w:t>
            </w:r>
          </w:p>
        </w:tc>
        <w:tc>
          <w:tcPr/>
          <w:p>
            <w:pPr>
              <w:pStyle w:val="Compact"/>
              <w:jc w:val="left"/>
            </w:pPr>
            <w:r>
              <w:t xml:space="preserve">S&amp;P 500, NASDAQ, VIX</w:t>
            </w:r>
          </w:p>
        </w:tc>
        <w:tc>
          <w:tcPr/>
          <w:p>
            <w:pPr>
              <w:pStyle w:val="Compact"/>
              <w:jc w:val="left"/>
            </w:pPr>
            <w:r>
              <w:t xml:space="preserve">SP500, NASDAQCOM, VIXCLS</w:t>
            </w:r>
          </w:p>
        </w:tc>
        <w:tc>
          <w:tcPr/>
          <w:p>
            <w:pPr>
              <w:pStyle w:val="Compact"/>
              <w:jc w:val="left"/>
            </w:pPr>
            <w:r>
              <w:t xml:space="preserve">Daily</w:t>
            </w:r>
          </w:p>
        </w:tc>
      </w:tr>
      <w:tr>
        <w:tc>
          <w:tcPr/>
          <w:p>
            <w:pPr>
              <w:pStyle w:val="Compact"/>
              <w:jc w:val="left"/>
            </w:pPr>
            <w:r>
              <w:t xml:space="preserve">FX</w:t>
            </w:r>
          </w:p>
        </w:tc>
        <w:tc>
          <w:tcPr/>
          <w:p>
            <w:pPr>
              <w:pStyle w:val="Compact"/>
              <w:jc w:val="left"/>
            </w:pPr>
            <w:r>
              <w:t xml:space="preserve">DXY, EUR/USD, JPY/USD</w:t>
            </w:r>
          </w:p>
        </w:tc>
        <w:tc>
          <w:tcPr/>
          <w:p>
            <w:pPr>
              <w:pStyle w:val="Compact"/>
              <w:jc w:val="left"/>
            </w:pPr>
            <w:r>
              <w:t xml:space="preserve">DTWEXBGS, DEXUSEU, DEXJPUS</w:t>
            </w:r>
          </w:p>
        </w:tc>
        <w:tc>
          <w:tcPr/>
          <w:p>
            <w:pPr>
              <w:pStyle w:val="Compact"/>
              <w:jc w:val="left"/>
            </w:pPr>
            <w:r>
              <w:t xml:space="preserve">Daily</w:t>
            </w:r>
          </w:p>
        </w:tc>
      </w:tr>
      <w:tr>
        <w:tc>
          <w:tcPr/>
          <w:p>
            <w:pPr>
              <w:pStyle w:val="Compact"/>
              <w:jc w:val="left"/>
            </w:pPr>
            <w:r>
              <w:t xml:space="preserve">Commodities</w:t>
            </w:r>
          </w:p>
        </w:tc>
        <w:tc>
          <w:tcPr/>
          <w:p>
            <w:pPr>
              <w:pStyle w:val="Compact"/>
              <w:jc w:val="left"/>
            </w:pPr>
            <w:r>
              <w:t xml:space="preserve">Gold (AM Fix), Oil (WTI)</w:t>
            </w:r>
          </w:p>
        </w:tc>
        <w:tc>
          <w:tcPr/>
          <w:p>
            <w:pPr>
              <w:pStyle w:val="Compact"/>
              <w:jc w:val="left"/>
            </w:pPr>
            <w:r>
              <w:t xml:space="preserve">GOLDAMGBD228NLBM, DCOILWTICO</w:t>
            </w:r>
          </w:p>
        </w:tc>
        <w:tc>
          <w:tcPr/>
          <w:p>
            <w:pPr>
              <w:pStyle w:val="Compact"/>
              <w:jc w:val="left"/>
            </w:pPr>
            <w:r>
              <w:t xml:space="preserve">Daily</w:t>
            </w:r>
          </w:p>
        </w:tc>
      </w:tr>
      <w:tr>
        <w:tc>
          <w:tcPr/>
          <w:p>
            <w:pPr>
              <w:pStyle w:val="Compact"/>
              <w:jc w:val="left"/>
            </w:pPr>
            <w:r>
              <w:t xml:space="preserve">Credit</w:t>
            </w:r>
          </w:p>
        </w:tc>
        <w:tc>
          <w:tcPr/>
          <w:p>
            <w:pPr>
              <w:pStyle w:val="Compact"/>
              <w:jc w:val="left"/>
            </w:pPr>
            <w:r>
              <w:t xml:space="preserve">BAA Corporate, AAA Corporate</w:t>
            </w:r>
          </w:p>
        </w:tc>
        <w:tc>
          <w:tcPr/>
          <w:p>
            <w:pPr>
              <w:pStyle w:val="Compact"/>
              <w:jc w:val="left"/>
            </w:pPr>
            <w:r>
              <w:t xml:space="preserve">BAA, AAA</w:t>
            </w:r>
          </w:p>
        </w:tc>
        <w:tc>
          <w:tcPr/>
          <w:p>
            <w:pPr>
              <w:pStyle w:val="Compact"/>
              <w:jc w:val="left"/>
            </w:pPr>
            <w:r>
              <w:t xml:space="preserve">Daily</w:t>
            </w:r>
          </w:p>
        </w:tc>
      </w:tr>
      <w:tr>
        <w:tc>
          <w:tcPr/>
          <w:p>
            <w:pPr>
              <w:pStyle w:val="Compact"/>
              <w:jc w:val="left"/>
            </w:pPr>
            <w:r>
              <w:t xml:space="preserve">Labor</w:t>
            </w:r>
          </w:p>
        </w:tc>
        <w:tc>
          <w:tcPr/>
          <w:p>
            <w:pPr>
              <w:pStyle w:val="Compact"/>
              <w:jc w:val="left"/>
            </w:pPr>
            <w:r>
              <w:t xml:space="preserve">Unemployment Rate, Nonfarm Payrolls</w:t>
            </w:r>
          </w:p>
        </w:tc>
        <w:tc>
          <w:tcPr/>
          <w:p>
            <w:pPr>
              <w:pStyle w:val="Compact"/>
              <w:jc w:val="left"/>
            </w:pPr>
            <w:r>
              <w:t xml:space="preserve">UNRATE, PAYEMS</w:t>
            </w:r>
          </w:p>
        </w:tc>
        <w:tc>
          <w:tcPr/>
          <w:p>
            <w:pPr>
              <w:pStyle w:val="Compact"/>
              <w:jc w:val="left"/>
            </w:pPr>
            <w:r>
              <w:t xml:space="preserve">Monthly</w:t>
            </w:r>
          </w:p>
        </w:tc>
      </w:tr>
      <w:tr>
        <w:tc>
          <w:tcPr/>
          <w:p>
            <w:pPr>
              <w:pStyle w:val="Compact"/>
              <w:jc w:val="left"/>
            </w:pPr>
            <w:r>
              <w:t xml:space="preserve">Macro</w:t>
            </w:r>
          </w:p>
        </w:tc>
        <w:tc>
          <w:tcPr/>
          <w:p>
            <w:pPr>
              <w:pStyle w:val="Compact"/>
              <w:jc w:val="left"/>
            </w:pPr>
            <w:r>
              <w:t xml:space="preserve">Real GDP, GDP Growth, Fed Assets Total</w:t>
            </w:r>
          </w:p>
        </w:tc>
        <w:tc>
          <w:tcPr/>
          <w:p>
            <w:pPr>
              <w:pStyle w:val="Compact"/>
              <w:jc w:val="left"/>
            </w:pPr>
            <w:r>
              <w:t xml:space="preserve">GDPC1, A191RL1Q225SBEA, WALCL</w:t>
            </w:r>
          </w:p>
        </w:tc>
        <w:tc>
          <w:tcPr/>
          <w:p>
            <w:pPr>
              <w:pStyle w:val="Compact"/>
              <w:jc w:val="left"/>
            </w:pPr>
            <w:r>
              <w:t xml:space="preserve">Quarterly/Weekly</w:t>
            </w:r>
          </w:p>
        </w:tc>
      </w:tr>
    </w:tbl>
    <w:p>
      <w:pPr>
        <w:pStyle w:val="BodyText"/>
      </w:pPr>
      <w:r>
        <w:rPr>
          <w:b/>
          <w:bCs/>
        </w:rPr>
        <w:t xml:space="preserve">Derived series</w:t>
      </w:r>
      <w:r>
        <w:t xml:space="preserve">: Credit Spread = BAA − AAA (computed in-place).</w:t>
      </w:r>
    </w:p>
    <w:p>
      <w:pPr>
        <w:pStyle w:val="BodyText"/>
      </w:pPr>
      <w:r>
        <w:rPr>
          <w:b/>
          <w:bCs/>
        </w:rPr>
        <w:t xml:space="preserve">Frequency alignment</w:t>
      </w:r>
      <w:r>
        <w:t xml:space="preserve">: All series are reindexed to a daily calendar (</w:t>
      </w:r>
      <w:r>
        <w:rPr>
          <w:rStyle w:val="VerbatimChar"/>
        </w:rPr>
        <w:t xml:space="preserve">pd.date_range(freq="D")</w:t>
      </w:r>
      <w:r>
        <w:t xml:space="preserve">), with lower-frequency data forward-filled. This means monthly CPI/PCE values are carried forward within each month — appropriate for event-window analysis where the timing precision is daily.</w:t>
      </w:r>
    </w:p>
    <w:p>
      <w:pPr>
        <w:pStyle w:val="BodyText"/>
      </w:pPr>
      <w:r>
        <w:rPr>
          <w:b/>
          <w:bCs/>
        </w:rPr>
        <w:t xml:space="preserve">Caching</w:t>
      </w:r>
      <w:r>
        <w:t xml:space="preserve">: Two-tier — in-memory dict + JSON file cache (default 6-hour TTL). Rate-limited at 100ms between requests.</w:t>
      </w:r>
    </w:p>
    <w:bookmarkEnd w:id="21"/>
    <w:bookmarkStart w:id="22" w:name="fomc-statement-corpus"/>
    <w:p>
      <w:pPr>
        <w:pStyle w:val="Heading3"/>
      </w:pPr>
      <w:r>
        <w:t xml:space="preserve">2.2 FOMC Statement Corpus</w:t>
      </w:r>
    </w:p>
    <w:p>
      <w:pPr>
        <w:pStyle w:val="FirstParagraph"/>
      </w:pPr>
      <w:r>
        <w:rPr>
          <w:b/>
          <w:bCs/>
        </w:rPr>
        <w:t xml:space="preserve">Scraper</w:t>
      </w:r>
      <w:r>
        <w:t xml:space="preserve">:</w:t>
      </w:r>
      <w:r>
        <w:t xml:space="preserve"> </w:t>
      </w:r>
      <w:r>
        <w:rPr>
          <w:rStyle w:val="VerbatimChar"/>
        </w:rPr>
        <w:t xml:space="preserve">data/fomc_scraper.py</w:t>
      </w:r>
      <w:r>
        <w:t xml:space="preserve"> </w:t>
      </w:r>
      <w:r>
        <w:t xml:space="preserve">(class</w:t>
      </w:r>
      <w:r>
        <w:t xml:space="preserve"> </w:t>
      </w:r>
      <w:r>
        <w:rPr>
          <w:rStyle w:val="VerbatimChar"/>
        </w:rPr>
        <w:t xml:space="preserve">FOMCScraper</w:t>
      </w:r>
      <w:r>
        <w:t xml:space="preserve">)</w:t>
      </w:r>
    </w:p>
    <w:p>
      <w:pPr>
        <w:pStyle w:val="Compact"/>
        <w:numPr>
          <w:ilvl w:val="0"/>
          <w:numId w:val="1001"/>
        </w:numPr>
      </w:pPr>
      <w:r>
        <w:rPr>
          <w:b/>
          <w:bCs/>
        </w:rPr>
        <w:t xml:space="preserve">Coverage</w:t>
      </w:r>
      <w:r>
        <w:t xml:space="preserve">: 157 FOMC statements (1994-02 to 2025-04), with manually curated URL mappings</w:t>
      </w:r>
    </w:p>
    <w:p>
      <w:pPr>
        <w:pStyle w:val="Compact"/>
        <w:numPr>
          <w:ilvl w:val="0"/>
          <w:numId w:val="1001"/>
        </w:numPr>
      </w:pPr>
      <w:r>
        <w:rPr>
          <w:b/>
          <w:bCs/>
        </w:rPr>
        <w:t xml:space="preserve">Source</w:t>
      </w:r>
      <w:r>
        <w:t xml:space="preserve">:</w:t>
      </w:r>
      <w:r>
        <w:t xml:space="preserve"> </w:t>
      </w:r>
      <w:r>
        <w:rPr>
          <w:rStyle w:val="VerbatimChar"/>
        </w:rPr>
        <w:t xml:space="preserve">federalreserve.gov/newsevents/pressreleases/monetary{YYYYMMDD}a.htm</w:t>
      </w:r>
    </w:p>
    <w:p>
      <w:pPr>
        <w:pStyle w:val="Compact"/>
        <w:numPr>
          <w:ilvl w:val="0"/>
          <w:numId w:val="1001"/>
        </w:numPr>
      </w:pPr>
      <w:r>
        <w:rPr>
          <w:b/>
          <w:bCs/>
        </w:rPr>
        <w:t xml:space="preserve">Extraction</w:t>
      </w:r>
      <w:r>
        <w:t xml:space="preserve">: BeautifulSoup, targeting</w:t>
      </w:r>
      <w:r>
        <w:t xml:space="preserve"> </w:t>
      </w:r>
      <w:r>
        <w:rPr>
          <w:rStyle w:val="VerbatimChar"/>
        </w:rPr>
        <w:t xml:space="preserve">div#article</w:t>
      </w:r>
      <w:r>
        <w:t xml:space="preserve"> </w:t>
      </w:r>
      <w:r>
        <w:t xml:space="preserve">(fallback:</w:t>
      </w:r>
      <w:r>
        <w:t xml:space="preserve"> </w:t>
      </w:r>
      <w:r>
        <w:rPr>
          <w:rStyle w:val="VerbatimChar"/>
        </w:rPr>
        <w:t xml:space="preserve">div.col-xs-12.col-sm-8.col-md-8</w:t>
      </w:r>
      <w:r>
        <w:t xml:space="preserve">)</w:t>
      </w:r>
    </w:p>
    <w:p>
      <w:pPr>
        <w:pStyle w:val="Compact"/>
        <w:numPr>
          <w:ilvl w:val="0"/>
          <w:numId w:val="1001"/>
        </w:numPr>
      </w:pPr>
      <w:r>
        <w:rPr>
          <w:b/>
          <w:bCs/>
        </w:rPr>
        <w:t xml:space="preserve">Success rate</w:t>
      </w:r>
      <w:r>
        <w:t xml:space="preserve">: 155/157 (99%), 2 failures likely due to emergency/unscheduled meetings with non-standard URLs</w:t>
      </w:r>
    </w:p>
    <w:p>
      <w:pPr>
        <w:pStyle w:val="Compact"/>
        <w:numPr>
          <w:ilvl w:val="0"/>
          <w:numId w:val="1001"/>
        </w:numPr>
      </w:pPr>
      <w:r>
        <w:rPr>
          <w:b/>
          <w:bCs/>
        </w:rPr>
        <w:t xml:space="preserve">Rate decision extraction</w:t>
      </w:r>
      <w:r>
        <w:t xml:space="preserve">: Pattern matching on statement text (</w:t>
      </w:r>
      <w:r>
        <w:t xml:space="preserve">“</w:t>
      </w:r>
      <w:r>
        <w:t xml:space="preserve">decided to raise/lower/maintain</w:t>
      </w:r>
      <w:r>
        <w:t xml:space="preserve">”</w:t>
      </w:r>
      <w:r>
        <w:t xml:space="preserve">)</w:t>
      </w:r>
    </w:p>
    <w:bookmarkEnd w:id="22"/>
    <w:bookmarkStart w:id="23" w:name="fomc-meeting-metadata"/>
    <w:p>
      <w:pPr>
        <w:pStyle w:val="Heading3"/>
      </w:pPr>
      <w:r>
        <w:t xml:space="preserve">2.3 FOMC Meeting Metadata</w:t>
      </w:r>
    </w:p>
    <w:p>
      <w:pPr>
        <w:pStyle w:val="FirstParagraph"/>
      </w:pPr>
      <w:r>
        <w:rPr>
          <w:b/>
          <w:bCs/>
        </w:rPr>
        <w:t xml:space="preserve">Source</w:t>
      </w:r>
      <w:r>
        <w:t xml:space="preserve">:</w:t>
      </w:r>
      <w:r>
        <w:t xml:space="preserve"> </w:t>
      </w:r>
      <w:r>
        <w:rPr>
          <w:rStyle w:val="VerbatimChar"/>
        </w:rPr>
        <w:t xml:space="preserve">mp-research-platform/data/fomc_meetings.py</w:t>
      </w:r>
    </w:p>
    <w:p>
      <w:pPr>
        <w:pStyle w:val="BodyText"/>
      </w:pPr>
      <w:r>
        <w:t xml:space="preserve">Hand-curated dataset of</w:t>
      </w:r>
      <w:r>
        <w:t xml:space="preserve"> </w:t>
      </w:r>
      <w:r>
        <w:rPr>
          <w:b/>
          <w:bCs/>
        </w:rPr>
        <w:t xml:space="preserve">164 FOMC meetings</w:t>
      </w:r>
      <w:r>
        <w:t xml:space="preserve"> </w:t>
      </w:r>
      <w:r>
        <w:t xml:space="preserve">(1994–2025) with:</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date</w:t>
            </w:r>
          </w:p>
        </w:tc>
        <w:tc>
          <w:tcPr/>
          <w:p>
            <w:pPr>
              <w:pStyle w:val="Compact"/>
              <w:jc w:val="left"/>
            </w:pPr>
            <w:r>
              <w:t xml:space="preserve">Meeting date</w:t>
            </w:r>
          </w:p>
        </w:tc>
      </w:tr>
      <w:tr>
        <w:tc>
          <w:tcPr/>
          <w:p>
            <w:pPr>
              <w:pStyle w:val="Compact"/>
              <w:jc w:val="left"/>
            </w:pPr>
            <w:r>
              <w:rPr>
                <w:rStyle w:val="VerbatimChar"/>
              </w:rPr>
              <w:t xml:space="preserve">decision</w:t>
            </w:r>
          </w:p>
        </w:tc>
        <w:tc>
          <w:tcPr/>
          <w:p>
            <w:pPr>
              <w:pStyle w:val="Compact"/>
              <w:jc w:val="left"/>
            </w:pPr>
            <w:r>
              <w:rPr>
                <w:rStyle w:val="VerbatimChar"/>
              </w:rPr>
              <w:t xml:space="preserve">rate_hike</w:t>
            </w:r>
            <w:r>
              <w:t xml:space="preserve"> </w:t>
            </w:r>
            <w:r>
              <w:t xml:space="preserve">/</w:t>
            </w:r>
            <w:r>
              <w:t xml:space="preserve"> </w:t>
            </w:r>
            <w:r>
              <w:rPr>
                <w:rStyle w:val="VerbatimChar"/>
              </w:rPr>
              <w:t xml:space="preserve">rate_cut</w:t>
            </w:r>
            <w:r>
              <w:t xml:space="preserve"> </w:t>
            </w:r>
            <w:r>
              <w:t xml:space="preserve">/</w:t>
            </w:r>
            <w:r>
              <w:t xml:space="preserve"> </w:t>
            </w:r>
            <w:r>
              <w:rPr>
                <w:rStyle w:val="VerbatimChar"/>
              </w:rPr>
              <w:t xml:space="preserve">unchanged</w:t>
            </w:r>
            <w:r>
              <w:t xml:space="preserve"> </w:t>
            </w:r>
            <w:r>
              <w:t xml:space="preserve">/</w:t>
            </w:r>
            <w:r>
              <w:t xml:space="preserve"> </w:t>
            </w:r>
            <w:r>
              <w:rPr>
                <w:rStyle w:val="VerbatimChar"/>
              </w:rPr>
              <w:t xml:space="preserve">emergency</w:t>
            </w:r>
          </w:p>
        </w:tc>
      </w:tr>
      <w:tr>
        <w:tc>
          <w:tcPr/>
          <w:p>
            <w:pPr>
              <w:pStyle w:val="Compact"/>
              <w:jc w:val="left"/>
            </w:pPr>
            <w:r>
              <w:rPr>
                <w:rStyle w:val="VerbatimChar"/>
              </w:rPr>
              <w:t xml:space="preserve">rate_before</w:t>
            </w:r>
            <w:r>
              <w:t xml:space="preserve">,</w:t>
            </w:r>
            <w:r>
              <w:t xml:space="preserve"> </w:t>
            </w:r>
            <w:r>
              <w:rPr>
                <w:rStyle w:val="VerbatimChar"/>
              </w:rPr>
              <w:t xml:space="preserve">rate_after</w:t>
            </w:r>
          </w:p>
        </w:tc>
        <w:tc>
          <w:tcPr/>
          <w:p>
            <w:pPr>
              <w:pStyle w:val="Compact"/>
              <w:jc w:val="left"/>
            </w:pPr>
            <w:r>
              <w:t xml:space="preserve">Federal funds target rate (upper bound, %)</w:t>
            </w:r>
          </w:p>
        </w:tc>
      </w:tr>
      <w:tr>
        <w:tc>
          <w:tcPr/>
          <w:p>
            <w:pPr>
              <w:pStyle w:val="Compact"/>
              <w:jc w:val="left"/>
            </w:pPr>
            <w:r>
              <w:rPr>
                <w:rStyle w:val="VerbatimChar"/>
              </w:rPr>
              <w:t xml:space="preserve">rate_change</w:t>
            </w:r>
          </w:p>
        </w:tc>
        <w:tc>
          <w:tcPr/>
          <w:p>
            <w:pPr>
              <w:pStyle w:val="Compact"/>
              <w:jc w:val="left"/>
            </w:pPr>
            <w:r>
              <w:rPr>
                <w:rStyle w:val="VerbatimChar"/>
              </w:rPr>
              <w:t xml:space="preserve">rate_after − rate_before</w:t>
            </w:r>
            <w:r>
              <w:t xml:space="preserve"> </w:t>
            </w:r>
            <w:r>
              <w:t xml:space="preserve">(in percentage points)</w:t>
            </w:r>
          </w:p>
        </w:tc>
      </w:tr>
      <w:tr>
        <w:tc>
          <w:tcPr/>
          <w:p>
            <w:pPr>
              <w:pStyle w:val="Compact"/>
              <w:jc w:val="left"/>
            </w:pPr>
            <w:r>
              <w:rPr>
                <w:rStyle w:val="VerbatimChar"/>
              </w:rPr>
              <w:t xml:space="preserve">chair</w:t>
            </w:r>
          </w:p>
        </w:tc>
        <w:tc>
          <w:tcPr/>
          <w:p>
            <w:pPr>
              <w:pStyle w:val="Compact"/>
              <w:jc w:val="left"/>
            </w:pPr>
            <w:r>
              <w:t xml:space="preserve">Greenspan / Bernanke / Yellen / Powell</w:t>
            </w:r>
          </w:p>
        </w:tc>
      </w:tr>
      <w:tr>
        <w:tc>
          <w:tcPr/>
          <w:p>
            <w:pPr>
              <w:pStyle w:val="Compact"/>
              <w:jc w:val="left"/>
            </w:pPr>
            <w:r>
              <w:rPr>
                <w:rStyle w:val="VerbatimChar"/>
              </w:rPr>
              <w:t xml:space="preserve">regime</w:t>
            </w:r>
          </w:p>
        </w:tc>
        <w:tc>
          <w:tcPr/>
          <w:p>
            <w:pPr>
              <w:pStyle w:val="Compact"/>
              <w:jc w:val="left"/>
            </w:pPr>
            <w:r>
              <w:rPr>
                <w:rStyle w:val="VerbatimChar"/>
              </w:rPr>
              <w:t xml:space="preserve">conventional</w:t>
            </w:r>
            <w:r>
              <w:t xml:space="preserve"> </w:t>
            </w:r>
            <w:r>
              <w:t xml:space="preserve">(pre-2008) /</w:t>
            </w:r>
            <w:r>
              <w:t xml:space="preserve"> </w:t>
            </w:r>
            <w:r>
              <w:rPr>
                <w:rStyle w:val="VerbatimChar"/>
              </w:rPr>
              <w:t xml:space="preserve">forward_guidance</w:t>
            </w:r>
            <w:r>
              <w:t xml:space="preserve"> </w:t>
            </w:r>
            <w:r>
              <w:t xml:space="preserve">(2008–2015) /</w:t>
            </w:r>
            <w:r>
              <w:t xml:space="preserve"> </w:t>
            </w:r>
            <w:r>
              <w:rPr>
                <w:rStyle w:val="VerbatimChar"/>
              </w:rPr>
              <w:t xml:space="preserve">normalization</w:t>
            </w:r>
            <w:r>
              <w:t xml:space="preserve"> </w:t>
            </w:r>
            <w:r>
              <w:t xml:space="preserve">(2016+)</w:t>
            </w:r>
          </w:p>
        </w:tc>
      </w:tr>
    </w:tbl>
    <w:bookmarkEnd w:id="23"/>
    <w:bookmarkStart w:id="24" w:name="asset-prices"/>
    <w:p>
      <w:pPr>
        <w:pStyle w:val="Heading3"/>
      </w:pPr>
      <w:r>
        <w:t xml:space="preserve">2.4 Asset Prices</w:t>
      </w:r>
    </w:p>
    <w:p>
      <w:pPr>
        <w:pStyle w:val="FirstParagraph"/>
      </w:pPr>
      <w:r>
        <w:rPr>
          <w:b/>
          <w:bCs/>
        </w:rPr>
        <w:t xml:space="preserve">Primary source (v6.1)</w:t>
      </w:r>
      <w:r>
        <w:t xml:space="preserve">: CRSP via WRDS (</w:t>
      </w:r>
      <w:r>
        <w:rPr>
          <w:rStyle w:val="VerbatimChar"/>
        </w:rPr>
        <w:t xml:space="preserve">data/wrds/crsp_dsi_index.csv</w:t>
      </w:r>
      <w:r>
        <w:t xml:space="preserve">)</w:t>
      </w:r>
    </w:p>
    <w:p>
      <w:pPr>
        <w:pStyle w:val="BodyText"/>
      </w:pPr>
      <w:r>
        <w:t xml:space="preserve">For the v6.1 analysis pipeline, we use CRSP daily index returns downloaded from WRDS:</w:t>
      </w:r>
    </w:p>
    <w:tbl>
      <w:tblPr>
        <w:tblStyle w:val="Table"/>
        <w:tblW w:type="pct" w:w="5000"/>
        <w:jc w:val="left"/>
        <w:tblLayout w:type="fixed"/>
        <w:tblLook w:firstRow="1" w:lastRow="0" w:firstColumn="0" w:lastColumn="0" w:noHBand="0" w:noVBand="0" w:val="0020"/>
      </w:tblPr>
      <w:tblGrid>
        <w:gridCol w:w="4400"/>
        <w:gridCol w:w="2053"/>
        <w:gridCol w:w="1466"/>
      </w:tblGrid>
      <w:tr>
        <w:trPr>
          <w:tblHeader w:val="on"/>
        </w:trPr>
        <w:tc>
          <w:tcPr/>
          <w:p>
            <w:pPr>
              <w:pStyle w:val="Compact"/>
              <w:jc w:val="left"/>
            </w:pPr>
            <w:r>
              <w:t xml:space="preserve">CRSP Variable</w:t>
            </w:r>
          </w:p>
        </w:tc>
        <w:tc>
          <w:tcPr/>
          <w:p>
            <w:pPr>
              <w:pStyle w:val="Compact"/>
              <w:jc w:val="left"/>
            </w:pPr>
            <w:r>
              <w:t xml:space="preserve">Label</w:t>
            </w:r>
          </w:p>
        </w:tc>
        <w:tc>
          <w:tcPr/>
          <w:p>
            <w:pPr>
              <w:pStyle w:val="Compact"/>
              <w:jc w:val="left"/>
            </w:pPr>
            <w:r>
              <w:t xml:space="preserve">Use</w:t>
            </w:r>
          </w:p>
        </w:tc>
      </w:tr>
      <w:tr>
        <w:tc>
          <w:tcPr/>
          <w:p>
            <w:pPr>
              <w:pStyle w:val="Compact"/>
              <w:jc w:val="left"/>
            </w:pPr>
            <w:r>
              <w:rPr>
                <w:rStyle w:val="VerbatimChar"/>
              </w:rPr>
              <w:t xml:space="preserve">vwretd</w:t>
            </w:r>
          </w:p>
        </w:tc>
        <w:tc>
          <w:tcPr/>
          <w:p>
            <w:pPr>
              <w:pStyle w:val="Compact"/>
              <w:jc w:val="left"/>
            </w:pPr>
            <w:r>
              <w:t xml:space="preserve">CRSP Value-Weighted Return (incl. dividends)</w:t>
            </w:r>
          </w:p>
        </w:tc>
        <w:tc>
          <w:tcPr/>
          <w:p>
            <w:pPr>
              <w:pStyle w:val="Compact"/>
              <w:jc w:val="left"/>
            </w:pPr>
            <w:r>
              <w:t xml:space="preserve">H2: Large-cap equity response</w:t>
            </w:r>
          </w:p>
        </w:tc>
      </w:tr>
      <w:tr>
        <w:tc>
          <w:tcPr/>
          <w:p>
            <w:pPr>
              <w:pStyle w:val="Compact"/>
              <w:jc w:val="left"/>
            </w:pPr>
            <w:r>
              <w:rPr>
                <w:rStyle w:val="VerbatimChar"/>
              </w:rPr>
              <w:t xml:space="preserve">ewretd</w:t>
            </w:r>
          </w:p>
        </w:tc>
        <w:tc>
          <w:tcPr/>
          <w:p>
            <w:pPr>
              <w:pStyle w:val="Compact"/>
              <w:jc w:val="left"/>
            </w:pPr>
            <w:r>
              <w:t xml:space="preserve">CRSP Equal-Weighted Return (incl. dividends)</w:t>
            </w:r>
          </w:p>
        </w:tc>
        <w:tc>
          <w:tcPr/>
          <w:p>
            <w:pPr>
              <w:pStyle w:val="Compact"/>
              <w:jc w:val="left"/>
            </w:pPr>
            <w:r>
              <w:t xml:space="preserve">H2: Small-cap equity response</w:t>
            </w:r>
          </w:p>
        </w:tc>
      </w:tr>
      <w:tr>
        <w:tc>
          <w:tcPr/>
          <w:p>
            <w:pPr>
              <w:pStyle w:val="Compact"/>
              <w:jc w:val="left"/>
            </w:pPr>
            <w:r>
              <w:rPr>
                <w:rStyle w:val="VerbatimChar"/>
              </w:rPr>
              <w:t xml:space="preserve">sprtrn</w:t>
            </w:r>
          </w:p>
        </w:tc>
        <w:tc>
          <w:tcPr/>
          <w:p>
            <w:pPr>
              <w:pStyle w:val="Compact"/>
              <w:jc w:val="left"/>
            </w:pPr>
            <w:r>
              <w:t xml:space="preserve">S&amp;P 500 Total Return</w:t>
            </w:r>
          </w:p>
        </w:tc>
        <w:tc>
          <w:tcPr/>
          <w:p>
            <w:pPr>
              <w:pStyle w:val="Compact"/>
              <w:jc w:val="left"/>
            </w:pPr>
            <w:r>
              <w:t xml:space="preserve">H2: Benchmark equity index</w:t>
            </w:r>
          </w:p>
        </w:tc>
      </w:tr>
    </w:tbl>
    <w:p>
      <w:pPr>
        <w:pStyle w:val="BodyText"/>
      </w:pPr>
      <w:r>
        <w:rPr>
          <w:b/>
          <w:bCs/>
        </w:rPr>
        <w:t xml:space="preserve">Coverage</w:t>
      </w:r>
      <w:r>
        <w:t xml:space="preserve">: 1990-01-02 to 2024-12-31 (8,818 trading days). Mapped to FOMC meeting dates by exact date match.</w:t>
      </w:r>
    </w:p>
    <w:p>
      <w:pPr>
        <w:pStyle w:val="BodyText"/>
      </w:pPr>
      <w:r>
        <w:rPr>
          <w:b/>
          <w:bCs/>
        </w:rPr>
        <w:t xml:space="preserve">Advantage over yfinance</w:t>
      </w:r>
      <w:r>
        <w:t xml:space="preserve">: CRSP returns include delisting adjustments (important for long-run studies) and are the standard data source in the monetary policy event study literature (Gürkaynak et al. 2005, Nakamura &amp; Steinsson 2018).</w:t>
      </w:r>
    </w:p>
    <w:p>
      <w:pPr>
        <w:pStyle w:val="BodyText"/>
      </w:pPr>
      <w:r>
        <w:rPr>
          <w:b/>
          <w:bCs/>
        </w:rPr>
        <w:t xml:space="preserve">Secondary source (fallback)</w:t>
      </w:r>
      <w:r>
        <w:t xml:space="preserve">: yfinance (</w:t>
      </w:r>
      <w:r>
        <w:rPr>
          <w:rStyle w:val="VerbatimChar"/>
        </w:rPr>
        <w:t xml:space="preserve">mp-research-platform/run_analysis_v4.py</w:t>
      </w:r>
      <w:r>
        <w:t xml:space="preserve">)</w:t>
      </w:r>
    </w:p>
    <w:p>
      <w:pPr>
        <w:pStyle w:val="BodyText"/>
      </w:pPr>
      <w:r>
        <w:t xml:space="preserve">The original v4 pipeline used yfinance for the following series, which remain in</w:t>
      </w:r>
      <w:r>
        <w:t xml:space="preserve"> </w:t>
      </w:r>
      <w:r>
        <w:rPr>
          <w:rStyle w:val="VerbatimChar"/>
        </w:rPr>
        <w:t xml:space="preserve">analysis_dataset_expanded.csv</w:t>
      </w:r>
      <w:r>
        <w:t xml:space="preserve"> </w:t>
      </w:r>
      <w:r>
        <w:t xml:space="preserve">as fallback: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Ticker</w:t>
            </w:r>
          </w:p>
        </w:tc>
        <w:tc>
          <w:tcPr/>
          <w:p>
            <w:pPr>
              <w:pStyle w:val="Compact"/>
              <w:jc w:val="left"/>
            </w:pPr>
            <w:r>
              <w:t xml:space="preserve">Label</w:t>
            </w:r>
          </w:p>
        </w:tc>
        <w:tc>
          <w:tcPr/>
          <w:p>
            <w:pPr>
              <w:pStyle w:val="Compact"/>
              <w:jc w:val="left"/>
            </w:pPr>
            <w:r>
              <w:t xml:space="preserve">Use</w:t>
            </w:r>
          </w:p>
        </w:tc>
      </w:tr>
      <w:tr>
        <w:tc>
          <w:tcPr/>
          <w:p>
            <w:pPr>
              <w:pStyle w:val="Compact"/>
              <w:jc w:val="left"/>
            </w:pPr>
            <w:r>
              <w:rPr>
                <w:rStyle w:val="VerbatimChar"/>
              </w:rPr>
              <w:t xml:space="preserve">^GSPC</w:t>
            </w:r>
          </w:p>
        </w:tc>
        <w:tc>
          <w:tcPr/>
          <w:p>
            <w:pPr>
              <w:pStyle w:val="Compact"/>
              <w:jc w:val="left"/>
            </w:pPr>
            <w:r>
              <w:t xml:space="preserve">S&amp;P 500</w:t>
            </w:r>
          </w:p>
        </w:tc>
        <w:tc>
          <w:tcPr/>
          <w:p>
            <w:pPr>
              <w:pStyle w:val="Compact"/>
              <w:jc w:val="left"/>
            </w:pPr>
            <w:r>
              <w:t xml:space="preserve">Equity return (fallback)</w:t>
            </w:r>
          </w:p>
        </w:tc>
      </w:tr>
      <w:tr>
        <w:tc>
          <w:tcPr/>
          <w:p>
            <w:pPr>
              <w:pStyle w:val="Compact"/>
              <w:jc w:val="left"/>
            </w:pPr>
            <w:r>
              <w:rPr>
                <w:rStyle w:val="VerbatimChar"/>
              </w:rPr>
              <w:t xml:space="preserve">^IXIC</w:t>
            </w:r>
          </w:p>
        </w:tc>
        <w:tc>
          <w:tcPr/>
          <w:p>
            <w:pPr>
              <w:pStyle w:val="Compact"/>
              <w:jc w:val="left"/>
            </w:pPr>
            <w:r>
              <w:t xml:space="preserve">NASDAQ</w:t>
            </w:r>
          </w:p>
        </w:tc>
        <w:tc>
          <w:tcPr/>
          <w:p>
            <w:pPr>
              <w:pStyle w:val="Compact"/>
              <w:jc w:val="left"/>
            </w:pPr>
            <w:r>
              <w:t xml:space="preserve">Tech equity return</w:t>
            </w:r>
          </w:p>
        </w:tc>
      </w:tr>
      <w:tr>
        <w:tc>
          <w:tcPr/>
          <w:p>
            <w:pPr>
              <w:pStyle w:val="Compact"/>
              <w:jc w:val="left"/>
            </w:pPr>
            <w:r>
              <w:rPr>
                <w:rStyle w:val="VerbatimChar"/>
              </w:rPr>
              <w:t xml:space="preserve">^VIX</w:t>
            </w:r>
          </w:p>
        </w:tc>
        <w:tc>
          <w:tcPr/>
          <w:p>
            <w:pPr>
              <w:pStyle w:val="Compact"/>
              <w:jc w:val="left"/>
            </w:pPr>
            <w:r>
              <w:t xml:space="preserve">VIX</w:t>
            </w:r>
          </w:p>
        </w:tc>
        <w:tc>
          <w:tcPr/>
          <w:p>
            <w:pPr>
              <w:pStyle w:val="Compact"/>
              <w:jc w:val="left"/>
            </w:pPr>
            <w:r>
              <w:t xml:space="preserve">Volatility control</w:t>
            </w:r>
          </w:p>
        </w:tc>
      </w:tr>
      <w:tr>
        <w:tc>
          <w:tcPr/>
          <w:p>
            <w:pPr>
              <w:pStyle w:val="Compact"/>
              <w:jc w:val="left"/>
            </w:pPr>
            <w:r>
              <w:rPr>
                <w:rStyle w:val="VerbatimChar"/>
              </w:rPr>
              <w:t xml:space="preserve">^TNX</w:t>
            </w:r>
          </w:p>
        </w:tc>
        <w:tc>
          <w:tcPr/>
          <w:p>
            <w:pPr>
              <w:pStyle w:val="Compact"/>
              <w:jc w:val="left"/>
            </w:pPr>
            <w:r>
              <w:t xml:space="preserve">10Y Treasury</w:t>
            </w:r>
          </w:p>
        </w:tc>
        <w:tc>
          <w:tcPr/>
          <w:p>
            <w:pPr>
              <w:pStyle w:val="Compact"/>
              <w:jc w:val="left"/>
            </w:pPr>
            <w:r>
              <w:t xml:space="preserve">Long-rate change</w:t>
            </w:r>
          </w:p>
        </w:tc>
      </w:tr>
      <w:tr>
        <w:tc>
          <w:tcPr/>
          <w:p>
            <w:pPr>
              <w:pStyle w:val="Compact"/>
              <w:jc w:val="left"/>
            </w:pPr>
            <w:r>
              <w:rPr>
                <w:rStyle w:val="VerbatimChar"/>
              </w:rPr>
              <w:t xml:space="preserve">^IRX</w:t>
            </w:r>
          </w:p>
        </w:tc>
        <w:tc>
          <w:tcPr/>
          <w:p>
            <w:pPr>
              <w:pStyle w:val="Compact"/>
              <w:jc w:val="left"/>
            </w:pPr>
            <w:r>
              <w:t xml:space="preserve">13W T-bill</w:t>
            </w:r>
          </w:p>
        </w:tc>
        <w:tc>
          <w:tcPr/>
          <w:p>
            <w:pPr>
              <w:pStyle w:val="Compact"/>
              <w:jc w:val="left"/>
            </w:pPr>
            <w:r>
              <w:t xml:space="preserve">Short-rate change</w:t>
            </w:r>
          </w:p>
        </w:tc>
      </w:tr>
      <w:tr>
        <w:tc>
          <w:tcPr/>
          <w:p>
            <w:pPr>
              <w:pStyle w:val="Compact"/>
              <w:jc w:val="left"/>
            </w:pPr>
            <w:r>
              <w:rPr>
                <w:rStyle w:val="VerbatimChar"/>
              </w:rPr>
              <w:t xml:space="preserve">GC=F</w:t>
            </w:r>
          </w:p>
        </w:tc>
        <w:tc>
          <w:tcPr/>
          <w:p>
            <w:pPr>
              <w:pStyle w:val="Compact"/>
              <w:jc w:val="left"/>
            </w:pPr>
            <w:r>
              <w:t xml:space="preserve">Gold</w:t>
            </w:r>
          </w:p>
        </w:tc>
        <w:tc>
          <w:tcPr/>
          <w:p>
            <w:pPr>
              <w:pStyle w:val="Compact"/>
              <w:jc w:val="left"/>
            </w:pPr>
            <w:r>
              <w:t xml:space="preserve">Safe-haven asset</w:t>
            </w:r>
          </w:p>
        </w:tc>
      </w:tr>
    </w:tbl>
    <w:p>
      <w:pPr>
        <w:pStyle w:val="BodyText"/>
      </w:pPr>
      <w:r>
        <w:rPr>
          <w:b/>
          <w:bCs/>
        </w:rPr>
        <w:t xml:space="preserve">Note</w:t>
      </w:r>
      <w:r>
        <w:t xml:space="preserve">: yfinance returns MultiIndex columns in newer versions; we flatten via</w:t>
      </w:r>
      <w:r>
        <w:t xml:space="preserve"> </w:t>
      </w:r>
      <w:r>
        <w:rPr>
          <w:rStyle w:val="VerbatimChar"/>
        </w:rPr>
        <w:t xml:space="preserve">df.columns.get_level_values(0)</w:t>
      </w:r>
      <w:r>
        <w:t xml:space="preserve">. The 13W T-bill (</w:t>
      </w:r>
      <w:r>
        <w:rPr>
          <w:rStyle w:val="VerbatimChar"/>
        </w:rPr>
        <w:t xml:space="preserve">^IRX</w:t>
      </w:r>
      <w:r>
        <w:t xml:space="preserve">) has lower precision than FRED’s DGS3MO — a known limitation. For v6.1 H2 regressions, CRSP data takes priority over yfinance.</w:t>
      </w:r>
    </w:p>
    <w:bookmarkEnd w:id="24"/>
    <w:bookmarkStart w:id="25" w:name="Xd48c1d034208cc7418692de5003876a0b96ab9a"/>
    <w:p>
      <w:pPr>
        <w:pStyle w:val="Heading3"/>
      </w:pPr>
      <w:r>
        <w:t xml:space="preserve">2.5 Acosta et al. (2024) Monetary Policy Shocks</w:t>
      </w:r>
    </w:p>
    <w:p>
      <w:pPr>
        <w:pStyle w:val="FirstParagraph"/>
      </w:pPr>
      <w:r>
        <w:rPr>
          <w:b/>
          <w:bCs/>
        </w:rPr>
        <w:t xml:space="preserve">Source</w:t>
      </w:r>
      <w:r>
        <w:t xml:space="preserve">:</w:t>
      </w:r>
      <w:r>
        <w:t xml:space="preserve"> </w:t>
      </w:r>
      <w:r>
        <w:rPr>
          <w:rStyle w:val="VerbatimChar"/>
        </w:rPr>
        <w:t xml:space="preserve">data/mp_shocks_acosta.xlsx</w:t>
      </w:r>
      <w:r>
        <w:t xml:space="preserve"> </w:t>
      </w:r>
      <w:r>
        <w:t xml:space="preserve">(sheet:</w:t>
      </w:r>
      <w:r>
        <w:t xml:space="preserve"> </w:t>
      </w:r>
      <w:r>
        <w:rPr>
          <w:rStyle w:val="VerbatimChar"/>
        </w:rPr>
        <w:t xml:space="preserve">shocks</w:t>
      </w:r>
      <w:r>
        <w:t xml:space="preserve">)</w:t>
      </w:r>
    </w:p>
    <w:p>
      <w:pPr>
        <w:pStyle w:val="BodyText"/>
      </w:pPr>
      <w:r>
        <w:t xml:space="preserve">High-frequency identified monetary policy shocks from Acosta, Bricongne, and L’Hour (2024), providing:</w:t>
      </w:r>
    </w:p>
    <w:tbl>
      <w:tblPr>
        <w:tblStyle w:val="Table"/>
        <w:tblW w:type="pct" w:w="5000"/>
        <w:jc w:val="left"/>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Coverage</w:t>
            </w:r>
          </w:p>
        </w:tc>
      </w:tr>
      <w:tr>
        <w:tc>
          <w:tcPr/>
          <w:p>
            <w:pPr>
              <w:pStyle w:val="Compact"/>
              <w:jc w:val="left"/>
            </w:pPr>
            <w:r>
              <w:rPr>
                <w:rStyle w:val="VerbatimChar"/>
              </w:rPr>
              <w:t xml:space="preserve">target</w:t>
            </w:r>
          </w:p>
        </w:tc>
        <w:tc>
          <w:tcPr/>
          <w:p>
            <w:pPr>
              <w:pStyle w:val="Compact"/>
              <w:jc w:val="left"/>
            </w:pPr>
            <w:r>
              <w:t xml:space="preserve">Target rate surprise (Kuttner-style)</w:t>
            </w:r>
          </w:p>
        </w:tc>
        <w:tc>
          <w:tcPr/>
          <w:p>
            <w:pPr>
              <w:pStyle w:val="Compact"/>
              <w:jc w:val="left"/>
            </w:pPr>
            <w:r>
              <w:t xml:space="preserve">220 meetings, 1995–2022</w:t>
            </w:r>
          </w:p>
        </w:tc>
      </w:tr>
      <w:tr>
        <w:tc>
          <w:tcPr/>
          <w:p>
            <w:pPr>
              <w:pStyle w:val="Compact"/>
              <w:jc w:val="left"/>
            </w:pPr>
            <w:r>
              <w:rPr>
                <w:rStyle w:val="VerbatimChar"/>
              </w:rPr>
              <w:t xml:space="preserve">path</w:t>
            </w:r>
          </w:p>
        </w:tc>
        <w:tc>
          <w:tcPr/>
          <w:p>
            <w:pPr>
              <w:pStyle w:val="Compact"/>
              <w:jc w:val="left"/>
            </w:pPr>
            <w:r>
              <w:t xml:space="preserve">Path factor (Gürkaynak-style)</w:t>
            </w:r>
          </w:p>
        </w:tc>
        <w:tc>
          <w:tcPr/>
          <w:p>
            <w:pPr>
              <w:pStyle w:val="Compact"/>
              <w:jc w:val="left"/>
            </w:pPr>
            <w:r>
              <w:t xml:space="preserve">220 meetings, 1995–2022</w:t>
            </w:r>
          </w:p>
        </w:tc>
      </w:tr>
      <w:tr>
        <w:tc>
          <w:tcPr/>
          <w:p>
            <w:pPr>
              <w:pStyle w:val="Compact"/>
              <w:jc w:val="left"/>
            </w:pPr>
            <w:r>
              <w:rPr>
                <w:rStyle w:val="VerbatimChar"/>
              </w:rPr>
              <w:t xml:space="preserve">ff.shock.0</w:t>
            </w:r>
          </w:p>
        </w:tc>
        <w:tc>
          <w:tcPr/>
          <w:p>
            <w:pPr>
              <w:pStyle w:val="Compact"/>
              <w:jc w:val="left"/>
            </w:pPr>
            <w:r>
              <w:t xml:space="preserve">Fed Funds futures surprise</w:t>
            </w:r>
          </w:p>
        </w:tc>
        <w:tc>
          <w:tcPr/>
          <w:p>
            <w:pPr>
              <w:pStyle w:val="Compact"/>
              <w:jc w:val="left"/>
            </w:pPr>
            <w:r>
              <w:t xml:space="preserve">220 meetings</w:t>
            </w:r>
          </w:p>
        </w:tc>
      </w:tr>
      <w:tr>
        <w:tc>
          <w:tcPr/>
          <w:p>
            <w:pPr>
              <w:pStyle w:val="Compact"/>
              <w:jc w:val="left"/>
            </w:pPr>
            <w:r>
              <w:rPr>
                <w:rStyle w:val="VerbatimChar"/>
              </w:rPr>
              <w:t xml:space="preserve">ns</w:t>
            </w:r>
          </w:p>
        </w:tc>
        <w:tc>
          <w:tcPr/>
          <w:p>
            <w:pPr>
              <w:pStyle w:val="Compact"/>
              <w:jc w:val="left"/>
            </w:pPr>
            <w:r>
              <w:t xml:space="preserve">Narrow-window surprise</w:t>
            </w:r>
          </w:p>
        </w:tc>
        <w:tc>
          <w:tcPr/>
          <w:p>
            <w:pPr>
              <w:pStyle w:val="Compact"/>
              <w:jc w:val="left"/>
            </w:pPr>
            <w:r>
              <w:t xml:space="preserve">220 meetings</w:t>
            </w:r>
          </w:p>
        </w:tc>
      </w:tr>
    </w:tbl>
    <w:p>
      <w:pPr>
        <w:pStyle w:val="BodyText"/>
      </w:pPr>
      <w:r>
        <w:rPr>
          <w:b/>
          <w:bCs/>
        </w:rPr>
        <w:t xml:space="preserve">Key advantage over naive proxy</w:t>
      </w:r>
      <w:r>
        <w:t xml:space="preserve">: These are market-based surprises from futures contracts, capturing the</w:t>
      </w:r>
      <w:r>
        <w:t xml:space="preserve"> </w:t>
      </w:r>
      <w:r>
        <w:rPr>
          <w:i/>
          <w:iCs/>
        </w:rPr>
        <w:t xml:space="preserve">unexpected</w:t>
      </w:r>
      <w:r>
        <w:t xml:space="preserve"> </w:t>
      </w:r>
      <w:r>
        <w:t xml:space="preserve">component of FOMC decisions. The naive proxy (Δr) equals zero for all unchanged-rate meetings, compressing variance and attenuating regression coefficients.</w:t>
      </w:r>
    </w:p>
    <w:p>
      <w:pPr>
        <w:pStyle w:val="BodyText"/>
      </w:pPr>
      <w:r>
        <w:rPr>
          <w:b/>
          <w:bCs/>
        </w:rPr>
        <w:t xml:space="preserve">Sample overlap</w:t>
      </w:r>
      <w:r>
        <w:t xml:space="preserve">: Of 220 Acosta meetings, 132 are post-2006 (our statement coverage period). Of these, 117 have both statements and shock data in our analysis dataset. The 15 missing meetings have statements available in the scraper but were not included in the original</w:t>
      </w:r>
      <w:r>
        <w:t xml:space="preserve"> </w:t>
      </w:r>
      <w:r>
        <w:rPr>
          <w:rStyle w:val="VerbatimChar"/>
        </w:rPr>
        <w:t xml:space="preserve">analysis_dataset_expanded.csv</w:t>
      </w:r>
      <w:r>
        <w:t xml:space="preserve"> </w:t>
      </w:r>
      <w:r>
        <w:t xml:space="preserve">— a data gap that could be recovered in future versions to increase H1 sample size from 117 to 130.</w:t>
      </w:r>
    </w:p>
    <w:bookmarkEnd w:id="25"/>
    <w:bookmarkStart w:id="26" w:name="wrds-integration"/>
    <w:p>
      <w:pPr>
        <w:pStyle w:val="Heading3"/>
      </w:pPr>
      <w:r>
        <w:t xml:space="preserve">2.6 WRDS Integration</w:t>
      </w:r>
    </w:p>
    <w:p>
      <w:pPr>
        <w:pStyle w:val="FirstParagraph"/>
      </w:pPr>
      <w:r>
        <w:rPr>
          <w:b/>
          <w:bCs/>
        </w:rPr>
        <w:t xml:space="preserve">Connector</w:t>
      </w:r>
      <w:r>
        <w:t xml:space="preserve">:</w:t>
      </w:r>
      <w:r>
        <w:t xml:space="preserve"> </w:t>
      </w:r>
      <w:r>
        <w:rPr>
          <w:rStyle w:val="VerbatimChar"/>
        </w:rPr>
        <w:t xml:space="preserve">data/wrds_connector.py</w:t>
      </w:r>
      <w:r>
        <w:t xml:space="preserve"> </w:t>
      </w:r>
      <w:r>
        <w:t xml:space="preserve">(class</w:t>
      </w:r>
      <w:r>
        <w:t xml:space="preserve"> </w:t>
      </w:r>
      <w:r>
        <w:rPr>
          <w:rStyle w:val="VerbatimChar"/>
        </w:rPr>
        <w:t xml:space="preserve">WRDSConnector</w:t>
      </w:r>
      <w:r>
        <w:t xml:space="preserve">)</w:t>
      </w:r>
    </w:p>
    <w:p>
      <w:pPr>
        <w:pStyle w:val="BodyText"/>
      </w:pPr>
      <w:r>
        <w:rPr>
          <w:b/>
          <w:bCs/>
        </w:rPr>
        <w:t xml:space="preserve">Authentication</w:t>
      </w:r>
      <w:r>
        <w:t xml:space="preserve">: WRDS requires Duo MFA. Connection flow:</w:t>
      </w:r>
      <w:r>
        <w:t xml:space="preserve"> </w:t>
      </w:r>
      <w:r>
        <w:rPr>
          <w:rStyle w:val="VerbatimChar"/>
        </w:rPr>
        <w:t xml:space="preserve">wrds.Connection()</w:t>
      </w:r>
      <w:r>
        <w:t xml:space="preserve"> </w:t>
      </w:r>
      <w:r>
        <w:t xml:space="preserve">→ Duo Approve → 30-day MFA exemption. Current credentials: username</w:t>
      </w:r>
      <w:r>
        <w:t xml:space="preserve"> </w:t>
      </w:r>
      <w:r>
        <w:rPr>
          <w:rStyle w:val="VerbatimChar"/>
        </w:rPr>
        <w:t xml:space="preserve">dechang</w:t>
      </w:r>
      <w:r>
        <w:t xml:space="preserve">.</w:t>
      </w:r>
    </w:p>
    <w:p>
      <w:pPr>
        <w:pStyle w:val="BodyText"/>
      </w:pPr>
      <w:r>
        <w:rPr>
          <w:b/>
          <w:bCs/>
        </w:rPr>
        <w:t xml:space="preserve">Available databases (with access)</w:t>
      </w:r>
      <w:r>
        <w:t xml:space="preserve">:</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Database</w:t>
            </w:r>
          </w:p>
        </w:tc>
        <w:tc>
          <w:tcPr/>
          <w:p>
            <w:pPr>
              <w:pStyle w:val="Compact"/>
              <w:jc w:val="left"/>
            </w:pPr>
            <w:r>
              <w:t xml:space="preserve">Tables Used</w:t>
            </w:r>
          </w:p>
        </w:tc>
        <w:tc>
          <w:tcPr/>
          <w:p>
            <w:pPr>
              <w:pStyle w:val="Compact"/>
              <w:jc w:val="left"/>
            </w:pPr>
            <w:r>
              <w:t xml:space="preserve">Status</w:t>
            </w:r>
          </w:p>
        </w:tc>
      </w:tr>
      <w:tr>
        <w:tc>
          <w:tcPr/>
          <w:p>
            <w:pPr>
              <w:pStyle w:val="Compact"/>
              <w:jc w:val="left"/>
            </w:pPr>
            <w:r>
              <w:rPr>
                <w:rStyle w:val="VerbatimChar"/>
              </w:rPr>
              <w:t xml:space="preserve">crsp.dsi</w:t>
            </w:r>
          </w:p>
        </w:tc>
        <w:tc>
          <w:tcPr/>
          <w:p>
            <w:pPr>
              <w:pStyle w:val="Compact"/>
              <w:jc w:val="left"/>
            </w:pPr>
            <w:r>
              <w:t xml:space="preserve">Daily index returns (vwretd, ewretd, sprtrn)</w:t>
            </w:r>
          </w:p>
        </w:tc>
        <w:tc>
          <w:tcPr/>
          <w:p>
            <w:pPr>
              <w:pStyle w:val="Compact"/>
              <w:jc w:val="left"/>
            </w:pPr>
            <w:r>
              <w:t xml:space="preserve">✅ Downloaded, used in v6.1 H2</w:t>
            </w:r>
          </w:p>
        </w:tc>
      </w:tr>
      <w:tr>
        <w:tc>
          <w:tcPr/>
          <w:p>
            <w:pPr>
              <w:pStyle w:val="Compact"/>
              <w:jc w:val="left"/>
            </w:pPr>
            <w:r>
              <w:rPr>
                <w:rStyle w:val="VerbatimChar"/>
              </w:rPr>
              <w:t xml:space="preserve">crsp.msi</w:t>
            </w:r>
          </w:p>
        </w:tc>
        <w:tc>
          <w:tcPr/>
          <w:p>
            <w:pPr>
              <w:pStyle w:val="Compact"/>
              <w:jc w:val="left"/>
            </w:pPr>
            <w:r>
              <w:t xml:space="preserve">Monthly index returns</w:t>
            </w:r>
          </w:p>
        </w:tc>
        <w:tc>
          <w:tcPr/>
          <w:p>
            <w:pPr>
              <w:pStyle w:val="Compact"/>
              <w:jc w:val="left"/>
            </w:pPr>
            <w:r>
              <w:t xml:space="preserve">✅ Downloaded, not yet used</w:t>
            </w:r>
          </w:p>
        </w:tc>
      </w:tr>
      <w:tr>
        <w:tc>
          <w:tcPr/>
          <w:p>
            <w:pPr>
              <w:pStyle w:val="Compact"/>
              <w:jc w:val="left"/>
            </w:pPr>
            <w:r>
              <w:rPr>
                <w:rStyle w:val="VerbatimChar"/>
              </w:rPr>
              <w:t xml:space="preserve">crsp.dsf</w:t>
            </w:r>
          </w:p>
        </w:tc>
        <w:tc>
          <w:tcPr/>
          <w:p>
            <w:pPr>
              <w:pStyle w:val="Compact"/>
              <w:jc w:val="left"/>
            </w:pPr>
            <w:r>
              <w:t xml:space="preserve">Daily stock returns (individual)</w:t>
            </w:r>
          </w:p>
        </w:tc>
        <w:tc>
          <w:tcPr/>
          <w:p>
            <w:pPr>
              <w:pStyle w:val="Compact"/>
              <w:jc w:val="left"/>
            </w:pPr>
            <w:r>
              <w:t xml:space="preserve">✅ Downloaded (financial sector, top 50)</w:t>
            </w:r>
          </w:p>
        </w:tc>
      </w:tr>
      <w:tr>
        <w:tc>
          <w:tcPr/>
          <w:p>
            <w:pPr>
              <w:pStyle w:val="Compact"/>
              <w:jc w:val="left"/>
            </w:pPr>
            <w:r>
              <w:rPr>
                <w:rStyle w:val="VerbatimChar"/>
              </w:rPr>
              <w:t xml:space="preserve">comp.fundq</w:t>
            </w:r>
          </w:p>
        </w:tc>
        <w:tc>
          <w:tcPr/>
          <w:p>
            <w:pPr>
              <w:pStyle w:val="Compact"/>
              <w:jc w:val="left"/>
            </w:pPr>
            <w:r>
              <w:t xml:space="preserve">Compustat quarterly fundamentals</w:t>
            </w:r>
          </w:p>
        </w:tc>
        <w:tc>
          <w:tcPr/>
          <w:p>
            <w:pPr>
              <w:pStyle w:val="Compact"/>
              <w:jc w:val="left"/>
            </w:pPr>
            <w:r>
              <w:t xml:space="preserve">✅ Downloaded, not yet used</w:t>
            </w:r>
          </w:p>
        </w:tc>
      </w:tr>
      <w:tr>
        <w:tc>
          <w:tcPr/>
          <w:p>
            <w:pPr>
              <w:pStyle w:val="Compact"/>
              <w:jc w:val="left"/>
            </w:pPr>
            <w:r>
              <w:rPr>
                <w:rStyle w:val="VerbatimChar"/>
              </w:rPr>
              <w:t xml:space="preserve">comp.funda</w:t>
            </w:r>
          </w:p>
        </w:tc>
        <w:tc>
          <w:tcPr/>
          <w:p>
            <w:pPr>
              <w:pStyle w:val="Compact"/>
              <w:jc w:val="left"/>
            </w:pPr>
            <w:r>
              <w:t xml:space="preserve">Compustat annual fundamentals</w:t>
            </w:r>
          </w:p>
        </w:tc>
        <w:tc>
          <w:tcPr/>
          <w:p>
            <w:pPr>
              <w:pStyle w:val="Compact"/>
              <w:jc w:val="left"/>
            </w:pPr>
            <w:r>
              <w:t xml:space="preserve">✅ Downloaded, not yet used</w:t>
            </w:r>
          </w:p>
        </w:tc>
      </w:tr>
    </w:tbl>
    <w:p>
      <w:pPr>
        <w:pStyle w:val="BodyText"/>
      </w:pPr>
      <w:r>
        <w:rPr>
          <w:b/>
          <w:bCs/>
        </w:rPr>
        <w:t xml:space="preserve">Databases without access</w:t>
      </w:r>
      <w:r>
        <w:t xml:space="preserve">:</w:t>
      </w:r>
    </w:p>
    <w:tbl>
      <w:tblPr>
        <w:tblStyle w:val="Table"/>
        <w:tblW w:type="pct" w:w="5000"/>
        <w:jc w:val="left"/>
        <w:tblLayout w:type="fixed"/>
        <w:tblLook w:firstRow="1" w:lastRow="0" w:firstColumn="0" w:lastColumn="0" w:noHBand="0" w:noVBand="0" w:val="0020"/>
      </w:tblPr>
      <w:tblGrid>
        <w:gridCol w:w="2262"/>
        <w:gridCol w:w="1810"/>
        <w:gridCol w:w="2036"/>
        <w:gridCol w:w="1810"/>
      </w:tblGrid>
      <w:tr>
        <w:trPr>
          <w:tblHeader w:val="on"/>
        </w:trPr>
        <w:tc>
          <w:tcPr/>
          <w:p>
            <w:pPr>
              <w:pStyle w:val="Compact"/>
              <w:jc w:val="left"/>
            </w:pPr>
            <w:r>
              <w:t xml:space="preserve">Database</w:t>
            </w:r>
          </w:p>
        </w:tc>
        <w:tc>
          <w:tcPr/>
          <w:p>
            <w:pPr>
              <w:pStyle w:val="Compact"/>
              <w:jc w:val="left"/>
            </w:pPr>
            <w:r>
              <w:t xml:space="preserve">Tables</w:t>
            </w:r>
          </w:p>
        </w:tc>
        <w:tc>
          <w:tcPr/>
          <w:p>
            <w:pPr>
              <w:pStyle w:val="Compact"/>
              <w:jc w:val="left"/>
            </w:pPr>
            <w:r>
              <w:t xml:space="preserve">Purpose</w:t>
            </w:r>
          </w:p>
        </w:tc>
        <w:tc>
          <w:tcPr/>
          <w:p>
            <w:pPr>
              <w:pStyle w:val="Compact"/>
              <w:jc w:val="left"/>
            </w:pPr>
            <w:r>
              <w:t xml:space="preserve">Status</w:t>
            </w:r>
          </w:p>
        </w:tc>
      </w:tr>
      <w:tr>
        <w:tc>
          <w:tcPr/>
          <w:p>
            <w:pPr>
              <w:pStyle w:val="Compact"/>
              <w:jc w:val="left"/>
            </w:pPr>
            <w:r>
              <w:rPr>
                <w:rStyle w:val="VerbatimChar"/>
              </w:rPr>
              <w:t xml:space="preserve">cme.ff</w:t>
            </w:r>
          </w:p>
        </w:tc>
        <w:tc>
          <w:tcPr/>
          <w:p>
            <w:pPr>
              <w:pStyle w:val="Compact"/>
              <w:jc w:val="left"/>
            </w:pPr>
            <w:r>
              <w:t xml:space="preserve">Fed Funds futures</w:t>
            </w:r>
          </w:p>
        </w:tc>
        <w:tc>
          <w:tcPr/>
          <w:p>
            <w:pPr>
              <w:pStyle w:val="Compact"/>
              <w:jc w:val="left"/>
            </w:pPr>
            <w:r>
              <w:t xml:space="preserve">Kuttner (2001) surprise</w:t>
            </w:r>
          </w:p>
        </w:tc>
        <w:tc>
          <w:tcPr/>
          <w:p>
            <w:pPr>
              <w:pStyle w:val="Compact"/>
              <w:jc w:val="left"/>
            </w:pPr>
            <w:r>
              <w:t xml:space="preserve">❌ No permission</w:t>
            </w:r>
          </w:p>
        </w:tc>
      </w:tr>
      <w:tr>
        <w:tc>
          <w:tcPr/>
          <w:p>
            <w:pPr>
              <w:pStyle w:val="Compact"/>
              <w:jc w:val="left"/>
            </w:pPr>
            <w:r>
              <w:rPr>
                <w:rStyle w:val="VerbatimChar"/>
              </w:rPr>
              <w:t xml:space="preserve">cme.ef</w:t>
            </w:r>
          </w:p>
        </w:tc>
        <w:tc>
          <w:tcPr/>
          <w:p>
            <w:pPr>
              <w:pStyle w:val="Compact"/>
              <w:jc w:val="left"/>
            </w:pPr>
            <w:r>
              <w:t xml:space="preserve">Eurodollar futures</w:t>
            </w:r>
          </w:p>
        </w:tc>
        <w:tc>
          <w:tcPr/>
          <w:p>
            <w:pPr>
              <w:pStyle w:val="Compact"/>
              <w:jc w:val="left"/>
            </w:pPr>
            <w:r>
              <w:t xml:space="preserve">Gürkaynak et al. (2005) path factor</w:t>
            </w:r>
          </w:p>
        </w:tc>
        <w:tc>
          <w:tcPr/>
          <w:p>
            <w:pPr>
              <w:pStyle w:val="Compact"/>
              <w:jc w:val="left"/>
            </w:pPr>
            <w:r>
              <w:t xml:space="preserve">❌ No permission</w:t>
            </w:r>
          </w:p>
        </w:tc>
      </w:tr>
      <w:tr>
        <w:tc>
          <w:tcPr/>
          <w:p>
            <w:pPr>
              <w:pStyle w:val="Compact"/>
              <w:jc w:val="left"/>
            </w:pPr>
            <w:r>
              <w:rPr>
                <w:rStyle w:val="VerbatimChar"/>
              </w:rPr>
              <w:t xml:space="preserve">taqmsec.ctm_*</w:t>
            </w:r>
          </w:p>
        </w:tc>
        <w:tc>
          <w:tcPr/>
          <w:p>
            <w:pPr>
              <w:pStyle w:val="Compact"/>
              <w:jc w:val="left"/>
            </w:pPr>
            <w:r>
              <w:t xml:space="preserve">TAQ intraday trades</w:t>
            </w:r>
          </w:p>
        </w:tc>
        <w:tc>
          <w:tcPr/>
          <w:p>
            <w:pPr>
              <w:pStyle w:val="Compact"/>
              <w:jc w:val="left"/>
            </w:pPr>
            <w:r>
              <w:t xml:space="preserve">High-frequency identification</w:t>
            </w:r>
          </w:p>
        </w:tc>
        <w:tc>
          <w:tcPr/>
          <w:p>
            <w:pPr>
              <w:pStyle w:val="Compact"/>
              <w:jc w:val="left"/>
            </w:pPr>
            <w:r>
              <w:t xml:space="preserve">❌ No permission</w:t>
            </w:r>
          </w:p>
        </w:tc>
      </w:tr>
      <w:tr>
        <w:tc>
          <w:tcPr/>
          <w:p>
            <w:pPr>
              <w:pStyle w:val="Compact"/>
              <w:jc w:val="left"/>
            </w:pPr>
            <w:r>
              <w:rPr>
                <w:rStyle w:val="VerbatimChar"/>
              </w:rPr>
              <w:t xml:space="preserve">taqmsec.cqm_*</w:t>
            </w:r>
          </w:p>
        </w:tc>
        <w:tc>
          <w:tcPr/>
          <w:p>
            <w:pPr>
              <w:pStyle w:val="Compact"/>
              <w:jc w:val="left"/>
            </w:pPr>
            <w:r>
              <w:t xml:space="preserve">TAQ intraday quotes</w:t>
            </w:r>
          </w:p>
        </w:tc>
        <w:tc>
          <w:tcPr/>
          <w:p>
            <w:pPr>
              <w:pStyle w:val="Compact"/>
              <w:jc w:val="left"/>
            </w:pPr>
            <w:r>
              <w:t xml:space="preserve">NBBO bid/ask</w:t>
            </w:r>
          </w:p>
        </w:tc>
        <w:tc>
          <w:tcPr/>
          <w:p>
            <w:pPr>
              <w:pStyle w:val="Compact"/>
              <w:jc w:val="left"/>
            </w:pPr>
            <w:r>
              <w:t xml:space="preserve">❌ No permission</w:t>
            </w:r>
          </w:p>
        </w:tc>
      </w:tr>
      <w:tr>
        <w:tc>
          <w:tcPr/>
          <w:p>
            <w:pPr>
              <w:pStyle w:val="Compact"/>
              <w:jc w:val="left"/>
            </w:pPr>
            <w:r>
              <w:rPr>
                <w:rStyle w:val="VerbatimChar"/>
              </w:rPr>
              <w:t xml:space="preserve">ibes.statsum_epsus</w:t>
            </w:r>
          </w:p>
        </w:tc>
        <w:tc>
          <w:tcPr/>
          <w:p>
            <w:pPr>
              <w:pStyle w:val="Compact"/>
              <w:jc w:val="left"/>
            </w:pPr>
            <w:r>
              <w:t xml:space="preserve">Analyst forecasts</w:t>
            </w:r>
          </w:p>
        </w:tc>
        <w:tc>
          <w:tcPr/>
          <w:p>
            <w:pPr>
              <w:pStyle w:val="Compact"/>
              <w:jc w:val="left"/>
            </w:pPr>
            <w:r>
              <w:t xml:space="preserve">Information shock validation</w:t>
            </w:r>
          </w:p>
        </w:tc>
        <w:tc>
          <w:tcPr/>
          <w:p>
            <w:pPr>
              <w:pStyle w:val="Compact"/>
              <w:jc w:val="left"/>
            </w:pPr>
            <w:r>
              <w:t xml:space="preserve">❌ No permission</w:t>
            </w:r>
          </w:p>
        </w:tc>
      </w:tr>
      <w:tr>
        <w:tc>
          <w:tcPr/>
          <w:p>
            <w:pPr>
              <w:pStyle w:val="Compact"/>
              <w:jc w:val="left"/>
            </w:pPr>
            <w:r>
              <w:rPr>
                <w:rStyle w:val="VerbatimChar"/>
              </w:rPr>
              <w:t xml:space="preserve">philfed.spf</w:t>
            </w:r>
          </w:p>
        </w:tc>
        <w:tc>
          <w:tcPr/>
          <w:p>
            <w:pPr>
              <w:pStyle w:val="Compact"/>
              <w:jc w:val="left"/>
            </w:pPr>
            <w:r>
              <w:t xml:space="preserve">SPF survey</w:t>
            </w:r>
          </w:p>
        </w:tc>
        <w:tc>
          <w:tcPr/>
          <w:p>
            <w:pPr>
              <w:pStyle w:val="Compact"/>
              <w:jc w:val="left"/>
            </w:pPr>
            <w:r>
              <w:t xml:space="preserve">Romer &amp; Romer (2004) method</w:t>
            </w:r>
          </w:p>
        </w:tc>
        <w:tc>
          <w:tcPr/>
          <w:p>
            <w:pPr>
              <w:pStyle w:val="Compact"/>
              <w:jc w:val="left"/>
            </w:pPr>
            <w:r>
              <w:t xml:space="preserve">❌ No permission</w:t>
            </w:r>
          </w:p>
        </w:tc>
      </w:tr>
      <w:tr>
        <w:tc>
          <w:tcPr/>
          <w:p>
            <w:pPr>
              <w:pStyle w:val="Compact"/>
              <w:jc w:val="left"/>
            </w:pPr>
            <w:r>
              <w:rPr>
                <w:rStyle w:val="VerbatimChar"/>
              </w:rPr>
              <w:t xml:space="preserve">optionm.opprcd*</w:t>
            </w:r>
          </w:p>
        </w:tc>
        <w:tc>
          <w:tcPr/>
          <w:p>
            <w:pPr>
              <w:pStyle w:val="Compact"/>
              <w:jc w:val="left"/>
            </w:pPr>
            <w:r>
              <w:t xml:space="preserve">OptionMetrics</w:t>
            </w:r>
          </w:p>
        </w:tc>
        <w:tc>
          <w:tcPr/>
          <w:p>
            <w:pPr>
              <w:pStyle w:val="Compact"/>
              <w:jc w:val="left"/>
            </w:pPr>
            <w:r>
              <w:t xml:space="preserve">Implied volatility surface</w:t>
            </w:r>
          </w:p>
        </w:tc>
        <w:tc>
          <w:tcPr/>
          <w:p>
            <w:pPr>
              <w:pStyle w:val="Compact"/>
              <w:jc w:val="left"/>
            </w:pPr>
            <w:r>
              <w:t xml:space="preserve">❌ No permission</w:t>
            </w:r>
          </w:p>
        </w:tc>
      </w:tr>
    </w:tbl>
    <w:p>
      <w:pPr>
        <w:pStyle w:val="BodyText"/>
      </w:pPr>
      <w:r>
        <w:rPr>
          <w:b/>
          <w:bCs/>
        </w:rPr>
        <w:t xml:space="preserve">Workaround for missing CME data</w:t>
      </w:r>
      <w:r>
        <w:t xml:space="preserve">: We use Acosta et al. (2024) public shock data, which replicates the GSS target/path decomposition using the same CME futures data. This provides the correct surprise measures without requiring direct WRDS-CME access. The key limitation is that we cannot extend the shock series beyond 2022-07-27 (end of Acosta coverage) without CME access.</w:t>
      </w:r>
    </w:p>
    <w:p>
      <w:pPr>
        <w:pStyle w:val="BodyText"/>
      </w:pPr>
      <w:r>
        <w:rPr>
          <w:b/>
          <w:bCs/>
        </w:rPr>
        <w:t xml:space="preserve">WRDS data files</w:t>
      </w:r>
      <w:r>
        <w:t xml:space="preserve"> </w:t>
      </w:r>
      <w:r>
        <w:t xml:space="preserve">(in</w:t>
      </w:r>
      <w:r>
        <w:t xml:space="preserve"> </w:t>
      </w:r>
      <w:r>
        <w:rPr>
          <w:rStyle w:val="VerbatimChar"/>
        </w:rPr>
        <w:t xml:space="preserve">data/wrds/</w:t>
      </w:r>
      <w:r>
        <w:t xml:space="preserve">):</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File</w:t>
            </w:r>
          </w:p>
        </w:tc>
        <w:tc>
          <w:tcPr/>
          <w:p>
            <w:pPr>
              <w:pStyle w:val="Compact"/>
              <w:jc w:val="left"/>
            </w:pPr>
            <w:r>
              <w:t xml:space="preserve">Size</w:t>
            </w:r>
          </w:p>
        </w:tc>
        <w:tc>
          <w:tcPr/>
          <w:p>
            <w:pPr>
              <w:pStyle w:val="Compact"/>
              <w:jc w:val="left"/>
            </w:pPr>
            <w:r>
              <w:t xml:space="preserve">Description</w:t>
            </w:r>
          </w:p>
        </w:tc>
      </w:tr>
      <w:tr>
        <w:tc>
          <w:tcPr/>
          <w:p>
            <w:pPr>
              <w:pStyle w:val="Compact"/>
              <w:jc w:val="left"/>
            </w:pPr>
            <w:r>
              <w:rPr>
                <w:rStyle w:val="VerbatimChar"/>
              </w:rPr>
              <w:t xml:space="preserve">crsp_dsi_index.csv</w:t>
            </w:r>
          </w:p>
        </w:tc>
        <w:tc>
          <w:tcPr/>
          <w:p>
            <w:pPr>
              <w:pStyle w:val="Compact"/>
              <w:jc w:val="left"/>
            </w:pPr>
            <w:r>
              <w:t xml:space="preserve">755 KB</w:t>
            </w:r>
          </w:p>
        </w:tc>
        <w:tc>
          <w:tcPr/>
          <w:p>
            <w:pPr>
              <w:pStyle w:val="Compact"/>
              <w:jc w:val="left"/>
            </w:pPr>
            <w:r>
              <w:t xml:space="preserve">CRSP daily index, 1990-2024 (8,818 days)</w:t>
            </w:r>
          </w:p>
        </w:tc>
      </w:tr>
      <w:tr>
        <w:tc>
          <w:tcPr/>
          <w:p>
            <w:pPr>
              <w:pStyle w:val="Compact"/>
              <w:jc w:val="left"/>
            </w:pPr>
            <w:r>
              <w:rPr>
                <w:rStyle w:val="VerbatimChar"/>
              </w:rPr>
              <w:t xml:space="preserve">crsp_msi_index.csv</w:t>
            </w:r>
          </w:p>
        </w:tc>
        <w:tc>
          <w:tcPr/>
          <w:p>
            <w:pPr>
              <w:pStyle w:val="Compact"/>
              <w:jc w:val="left"/>
            </w:pPr>
            <w:r>
              <w:t xml:space="preserve">36 KB</w:t>
            </w:r>
          </w:p>
        </w:tc>
        <w:tc>
          <w:tcPr/>
          <w:p>
            <w:pPr>
              <w:pStyle w:val="Compact"/>
              <w:jc w:val="left"/>
            </w:pPr>
            <w:r>
              <w:t xml:space="preserve">CRSP monthly index, 1990-2024</w:t>
            </w:r>
          </w:p>
        </w:tc>
      </w:tr>
      <w:tr>
        <w:tc>
          <w:tcPr/>
          <w:p>
            <w:pPr>
              <w:pStyle w:val="Compact"/>
              <w:jc w:val="left"/>
            </w:pPr>
            <w:r>
              <w:rPr>
                <w:rStyle w:val="VerbatimChar"/>
              </w:rPr>
              <w:t xml:space="preserve">crsp_financial_stocks_2020_2025.csv</w:t>
            </w:r>
          </w:p>
        </w:tc>
        <w:tc>
          <w:tcPr/>
          <w:p>
            <w:pPr>
              <w:pStyle w:val="Compact"/>
              <w:jc w:val="left"/>
            </w:pPr>
            <w:r>
              <w:t xml:space="preserve">80 MB</w:t>
            </w:r>
          </w:p>
        </w:tc>
        <w:tc>
          <w:tcPr/>
          <w:p>
            <w:pPr>
              <w:pStyle w:val="Compact"/>
              <w:jc w:val="left"/>
            </w:pPr>
            <w:r>
              <w:t xml:space="preserve">910 financial sector stocks, 2020-2025</w:t>
            </w:r>
          </w:p>
        </w:tc>
      </w:tr>
      <w:tr>
        <w:tc>
          <w:tcPr/>
          <w:p>
            <w:pPr>
              <w:pStyle w:val="Compact"/>
              <w:jc w:val="left"/>
            </w:pPr>
            <w:r>
              <w:rPr>
                <w:rStyle w:val="VerbatimChar"/>
              </w:rPr>
              <w:t xml:space="preserve">crsp_top50_stocks_2020_2025.csv</w:t>
            </w:r>
          </w:p>
        </w:tc>
        <w:tc>
          <w:tcPr/>
          <w:p>
            <w:pPr>
              <w:pStyle w:val="Compact"/>
              <w:jc w:val="left"/>
            </w:pPr>
            <w:r>
              <w:t xml:space="preserve">5.8 MB</w:t>
            </w:r>
          </w:p>
        </w:tc>
        <w:tc>
          <w:tcPr/>
          <w:p>
            <w:pPr>
              <w:pStyle w:val="Compact"/>
              <w:jc w:val="left"/>
            </w:pPr>
            <w:r>
              <w:t xml:space="preserve">Top 50 stocks by market cap, 2020-2025</w:t>
            </w:r>
          </w:p>
        </w:tc>
      </w:tr>
      <w:tr>
        <w:tc>
          <w:tcPr/>
          <w:p>
            <w:pPr>
              <w:pStyle w:val="Compact"/>
              <w:jc w:val="left"/>
            </w:pPr>
            <w:r>
              <w:rPr>
                <w:rStyle w:val="VerbatimChar"/>
              </w:rPr>
              <w:t xml:space="preserve">crsp_stock_names.csv</w:t>
            </w:r>
          </w:p>
        </w:tc>
        <w:tc>
          <w:tcPr/>
          <w:p>
            <w:pPr>
              <w:pStyle w:val="Compact"/>
              <w:jc w:val="left"/>
            </w:pPr>
            <w:r>
              <w:t xml:space="preserve">5.6 MB</w:t>
            </w:r>
          </w:p>
        </w:tc>
        <w:tc>
          <w:tcPr/>
          <w:p>
            <w:pPr>
              <w:pStyle w:val="Compact"/>
              <w:jc w:val="left"/>
            </w:pPr>
            <w:r>
              <w:t xml:space="preserve">Stock name/PERMCO/PERMNO mapping</w:t>
            </w:r>
          </w:p>
        </w:tc>
      </w:tr>
      <w:tr>
        <w:tc>
          <w:tcPr/>
          <w:p>
            <w:pPr>
              <w:pStyle w:val="Compact"/>
              <w:jc w:val="left"/>
            </w:pPr>
            <w:r>
              <w:rPr>
                <w:rStyle w:val="VerbatimChar"/>
              </w:rPr>
              <w:t xml:space="preserve">compustat_fundq_2010_2025.csv</w:t>
            </w:r>
          </w:p>
        </w:tc>
        <w:tc>
          <w:tcPr/>
          <w:p>
            <w:pPr>
              <w:pStyle w:val="Compact"/>
              <w:jc w:val="left"/>
            </w:pPr>
            <w:r>
              <w:t xml:space="preserve">144 MB</w:t>
            </w:r>
          </w:p>
        </w:tc>
        <w:tc>
          <w:tcPr/>
          <w:p>
            <w:pPr>
              <w:pStyle w:val="Compact"/>
              <w:jc w:val="left"/>
            </w:pPr>
            <w:r>
              <w:t xml:space="preserve">Compustat quarterly, 2010-2025</w:t>
            </w:r>
          </w:p>
        </w:tc>
      </w:tr>
      <w:tr>
        <w:tc>
          <w:tcPr/>
          <w:p>
            <w:pPr>
              <w:pStyle w:val="Compact"/>
              <w:jc w:val="left"/>
            </w:pPr>
            <w:r>
              <w:rPr>
                <w:rStyle w:val="VerbatimChar"/>
              </w:rPr>
              <w:t xml:space="preserve">compustat_funda_2010_2025.csv</w:t>
            </w:r>
          </w:p>
        </w:tc>
        <w:tc>
          <w:tcPr/>
          <w:p>
            <w:pPr>
              <w:pStyle w:val="Compact"/>
              <w:jc w:val="left"/>
            </w:pPr>
            <w:r>
              <w:t xml:space="preserve">57 MB</w:t>
            </w:r>
          </w:p>
        </w:tc>
        <w:tc>
          <w:tcPr/>
          <w:p>
            <w:pPr>
              <w:pStyle w:val="Compact"/>
              <w:jc w:val="left"/>
            </w:pPr>
            <w:r>
              <w:t xml:space="preserve">Compustat annual, 2010-2025</w:t>
            </w:r>
          </w:p>
        </w:tc>
      </w:tr>
    </w:tbl>
    <w:p>
      <w:pPr>
        <w:pStyle w:val="BodyText"/>
      </w:pPr>
      <w:r>
        <w:t xml:space="preserve">Large files (&gt;5 MB) are excluded from git via</w:t>
      </w:r>
      <w:r>
        <w:t xml:space="preserve"> </w:t>
      </w:r>
      <w:r>
        <w:rPr>
          <w:rStyle w:val="VerbatimChar"/>
        </w:rPr>
        <w:t xml:space="preserve">.gitignore</w:t>
      </w:r>
      <w:r>
        <w:t xml:space="preserve">.</w:t>
      </w:r>
    </w:p>
    <w:p>
      <w:r>
        <w:pict>
          <v:rect style="width:0;height:1.5pt" o:hralign="center" o:hrstd="t" o:hr="t"/>
        </w:pict>
      </w:r>
    </w:p>
    <w:bookmarkEnd w:id="26"/>
    <w:bookmarkEnd w:id="27"/>
    <w:bookmarkStart w:id="35" w:name="sentiment-analysis-engine"/>
    <w:p>
      <w:pPr>
        <w:pStyle w:val="Heading2"/>
      </w:pPr>
      <w:r>
        <w:t xml:space="preserve">3. Sentiment Analysis Engine</w:t>
      </w:r>
    </w:p>
    <w:bookmarkStart w:id="32" w:name="enhanced-dual-dictionary-approach-v6.1"/>
    <w:p>
      <w:pPr>
        <w:pStyle w:val="Heading3"/>
      </w:pPr>
      <w:r>
        <w:t xml:space="preserve">3.1 Enhanced Dual-Dictionary Approach (v6.1)</w:t>
      </w:r>
    </w:p>
    <w:p>
      <w:pPr>
        <w:pStyle w:val="FirstParagraph"/>
      </w:pPr>
      <w:r>
        <w:rPr>
          <w:b/>
          <w:bCs/>
        </w:rPr>
        <w:t xml:space="preserve">Module</w:t>
      </w:r>
      <w:r>
        <w:t xml:space="preserve">:</w:t>
      </w:r>
      <w:r>
        <w:t xml:space="preserve"> </w:t>
      </w:r>
      <w:r>
        <w:rPr>
          <w:rStyle w:val="VerbatimChar"/>
        </w:rPr>
        <w:t xml:space="preserve">analysis/run_v6_comprehensive.py</w:t>
      </w:r>
      <w:r>
        <w:t xml:space="preserve"> </w:t>
      </w:r>
      <w:r>
        <w:t xml:space="preserve">(function</w:t>
      </w:r>
      <w:r>
        <w:t xml:space="preserve"> </w:t>
      </w:r>
      <w:r>
        <w:rPr>
          <w:rStyle w:val="VerbatimChar"/>
        </w:rPr>
        <w:t xml:space="preserve">compute_enhanced_sentiment</w:t>
      </w:r>
      <w:r>
        <w:t xml:space="preserve">)</w:t>
      </w:r>
    </w:p>
    <w:p>
      <w:pPr>
        <w:pStyle w:val="BodyText"/>
      </w:pPr>
      <w:r>
        <w:t xml:space="preserve">We use an</w:t>
      </w:r>
      <w:r>
        <w:t xml:space="preserve"> </w:t>
      </w:r>
      <w:r>
        <w:rPr>
          <w:b/>
          <w:bCs/>
        </w:rPr>
        <w:t xml:space="preserve">enhanced dual-dictionary</w:t>
      </w:r>
      <w:r>
        <w:t xml:space="preserve"> </w:t>
      </w:r>
      <w:r>
        <w:t xml:space="preserve">approach combining:</w:t>
      </w:r>
    </w:p>
    <w:bookmarkStart w:id="28" w:name="X74d596c736a8ac9b5b23eeb8def1a0d0131d0d5"/>
    <w:p>
      <w:pPr>
        <w:pStyle w:val="Heading4"/>
      </w:pPr>
      <w:r>
        <w:t xml:space="preserve">Loughran-McDonald (2011) Financial Sentiment Dictionary</w:t>
      </w:r>
    </w:p>
    <w:p>
      <w:pPr>
        <w:pStyle w:val="Compact"/>
        <w:numPr>
          <w:ilvl w:val="0"/>
          <w:numId w:val="1002"/>
        </w:numPr>
      </w:pPr>
      <w:r>
        <w:rPr>
          <w:b/>
          <w:bCs/>
        </w:rPr>
        <w:t xml:space="preserve">Negative set</w:t>
      </w:r>
      <w:r>
        <w:t xml:space="preserve">: ~120 words (e.g.,</w:t>
      </w:r>
      <w:r>
        <w:t xml:space="preserve"> </w:t>
      </w:r>
      <w:r>
        <w:t xml:space="preserve">“</w:t>
      </w:r>
      <w:r>
        <w:t xml:space="preserve">adverse</w:t>
      </w:r>
      <w:r>
        <w:t xml:space="preserve">”</w:t>
      </w:r>
      <w:r>
        <w:t xml:space="preserve">,</w:t>
      </w:r>
      <w:r>
        <w:t xml:space="preserve"> </w:t>
      </w:r>
      <w:r>
        <w:t xml:space="preserve">“</w:t>
      </w:r>
      <w:r>
        <w:t xml:space="preserve">concern</w:t>
      </w:r>
      <w:r>
        <w:t xml:space="preserve">”</w:t>
      </w:r>
      <w:r>
        <w:t xml:space="preserve">,</w:t>
      </w:r>
      <w:r>
        <w:t xml:space="preserve"> </w:t>
      </w:r>
      <w:r>
        <w:t xml:space="preserve">“</w:t>
      </w:r>
      <w:r>
        <w:t xml:space="preserve">deteriorate</w:t>
      </w:r>
      <w:r>
        <w:t xml:space="preserve">”</w:t>
      </w:r>
      <w:r>
        <w:t xml:space="preserve">,</w:t>
      </w:r>
      <w:r>
        <w:t xml:space="preserve"> </w:t>
      </w:r>
      <w:r>
        <w:t xml:space="preserve">“</w:t>
      </w:r>
      <w:r>
        <w:t xml:space="preserve">recession</w:t>
      </w:r>
      <w:r>
        <w:t xml:space="preserve">”</w:t>
      </w:r>
      <w:r>
        <w:t xml:space="preserve">,</w:t>
      </w:r>
      <w:r>
        <w:t xml:space="preserve"> </w:t>
      </w:r>
      <w:r>
        <w:t xml:space="preserve">“</w:t>
      </w:r>
      <w:r>
        <w:t xml:space="preserve">volatile</w:t>
      </w:r>
      <w:r>
        <w:t xml:space="preserve">”</w:t>
      </w:r>
      <w:r>
        <w:t xml:space="preserve">)</w:t>
      </w:r>
    </w:p>
    <w:p>
      <w:pPr>
        <w:pStyle w:val="Compact"/>
        <w:numPr>
          <w:ilvl w:val="0"/>
          <w:numId w:val="1002"/>
        </w:numPr>
      </w:pPr>
      <w:r>
        <w:rPr>
          <w:b/>
          <w:bCs/>
        </w:rPr>
        <w:t xml:space="preserve">Positive set</w:t>
      </w:r>
      <w:r>
        <w:t xml:space="preserve">: ~50 words (e.g.,</w:t>
      </w:r>
      <w:r>
        <w:t xml:space="preserve"> </w:t>
      </w:r>
      <w:r>
        <w:t xml:space="preserve">“</w:t>
      </w:r>
      <w:r>
        <w:t xml:space="preserve">achieve</w:t>
      </w:r>
      <w:r>
        <w:t xml:space="preserve">”</w:t>
      </w:r>
      <w:r>
        <w:t xml:space="preserve">,</w:t>
      </w:r>
      <w:r>
        <w:t xml:space="preserve"> </w:t>
      </w:r>
      <w:r>
        <w:t xml:space="preserve">“</w:t>
      </w:r>
      <w:r>
        <w:t xml:space="preserve">boost</w:t>
      </w:r>
      <w:r>
        <w:t xml:space="preserve">”</w:t>
      </w:r>
      <w:r>
        <w:t xml:space="preserve">,</w:t>
      </w:r>
      <w:r>
        <w:t xml:space="preserve"> </w:t>
      </w:r>
      <w:r>
        <w:t xml:space="preserve">“</w:t>
      </w:r>
      <w:r>
        <w:t xml:space="preserve">confident</w:t>
      </w:r>
      <w:r>
        <w:t xml:space="preserve">”</w:t>
      </w:r>
      <w:r>
        <w:t xml:space="preserve">,</w:t>
      </w:r>
      <w:r>
        <w:t xml:space="preserve"> </w:t>
      </w:r>
      <w:r>
        <w:t xml:space="preserve">“</w:t>
      </w:r>
      <w:r>
        <w:t xml:space="preserve">stable</w:t>
      </w:r>
      <w:r>
        <w:t xml:space="preserve">”</w:t>
      </w:r>
      <w:r>
        <w:t xml:space="preserve">)</w:t>
      </w:r>
    </w:p>
    <w:p>
      <w:pPr>
        <w:pStyle w:val="FirstParagraph"/>
      </w:pPr>
      <m:oMathPara>
        <m:oMathParaPr>
          <m:jc m:val="center"/>
        </m:oMathParaPr>
        <m:oMath>
          <m:r>
            <m:rPr>
              <m:nor/>
              <m:sty m:val="p"/>
            </m:rPr>
            <m:t>LM Score</m:t>
          </m:r>
          <m:r>
            <m:rPr>
              <m:sty m:val="p"/>
            </m:rPr>
            <m:t>=</m:t>
          </m:r>
          <m:f>
            <m:fPr>
              <m:type m:val="bar"/>
            </m:fPr>
            <m:num>
              <m:sSub>
                <m:e>
                  <m:r>
                    <m:t>N</m:t>
                  </m:r>
                </m:e>
                <m:sub>
                  <m:r>
                    <m:rPr>
                      <m:nor/>
                      <m:sty m:val="p"/>
                    </m:rPr>
                    <m:t>pos</m:t>
                  </m:r>
                </m:sub>
              </m:sSub>
              <m:r>
                <m:rPr>
                  <m:sty m:val="p"/>
                </m:rPr>
                <m:t>−</m:t>
              </m:r>
              <m:sSub>
                <m:e>
                  <m:r>
                    <m:t>N</m:t>
                  </m:r>
                </m:e>
                <m:sub>
                  <m:r>
                    <m:rPr>
                      <m:nor/>
                      <m:sty m:val="p"/>
                    </m:rPr>
                    <m:t>neg</m:t>
                  </m:r>
                </m:sub>
              </m:sSub>
            </m:num>
            <m:den>
              <m:sSub>
                <m:e>
                  <m:r>
                    <m:t>N</m:t>
                  </m:r>
                </m:e>
                <m:sub>
                  <m:r>
                    <m:rPr>
                      <m:nor/>
                      <m:sty m:val="p"/>
                    </m:rPr>
                    <m:t>total</m:t>
                  </m:r>
                </m:sub>
              </m:sSub>
            </m:den>
          </m:f>
        </m:oMath>
      </m:oMathPara>
    </w:p>
    <w:bookmarkEnd w:id="28"/>
    <w:bookmarkStart w:id="29" w:name="X180ca15ca7570e6c8b48f8d6d3d610fb89d75a0"/>
    <w:p>
      <w:pPr>
        <w:pStyle w:val="Heading4"/>
      </w:pPr>
      <w:r>
        <w:t xml:space="preserve">Central Bank Hawkish-Dovish Dictionary (Henry 2008 + custom expanded)</w:t>
      </w:r>
    </w:p>
    <w:p>
      <w:pPr>
        <w:pStyle w:val="Compact"/>
        <w:numPr>
          <w:ilvl w:val="0"/>
          <w:numId w:val="1003"/>
        </w:numPr>
      </w:pPr>
      <w:r>
        <w:rPr>
          <w:b/>
          <w:bCs/>
        </w:rPr>
        <w:t xml:space="preserve">Hawkish set</w:t>
      </w:r>
      <w:r>
        <w:t xml:space="preserve">: ~45 words/bigrams (e.g.,</w:t>
      </w:r>
      <w:r>
        <w:t xml:space="preserve"> </w:t>
      </w:r>
      <w:r>
        <w:t xml:space="preserve">“</w:t>
      </w:r>
      <w:r>
        <w:t xml:space="preserve">tighten</w:t>
      </w:r>
      <w:r>
        <w:t xml:space="preserve">”</w:t>
      </w:r>
      <w:r>
        <w:t xml:space="preserve">,</w:t>
      </w:r>
      <w:r>
        <w:t xml:space="preserve"> </w:t>
      </w:r>
      <w:r>
        <w:t xml:space="preserve">“</w:t>
      </w:r>
      <w:r>
        <w:t xml:space="preserve">hike</w:t>
      </w:r>
      <w:r>
        <w:t xml:space="preserve">”</w:t>
      </w:r>
      <w:r>
        <w:t xml:space="preserve">,</w:t>
      </w:r>
      <w:r>
        <w:t xml:space="preserve"> </w:t>
      </w:r>
      <w:r>
        <w:t xml:space="preserve">“</w:t>
      </w:r>
      <w:r>
        <w:t xml:space="preserve">inflation</w:t>
      </w:r>
      <w:r>
        <w:t xml:space="preserve">”</w:t>
      </w:r>
      <w:r>
        <w:t xml:space="preserve">,</w:t>
      </w:r>
      <w:r>
        <w:t xml:space="preserve"> </w:t>
      </w:r>
      <w:r>
        <w:t xml:space="preserve">“</w:t>
      </w:r>
      <w:r>
        <w:t xml:space="preserve">vigilant</w:t>
      </w:r>
      <w:r>
        <w:t xml:space="preserve">”</w:t>
      </w:r>
      <w:r>
        <w:t xml:space="preserve">,</w:t>
      </w:r>
      <w:r>
        <w:t xml:space="preserve"> </w:t>
      </w:r>
      <w:r>
        <w:t xml:space="preserve">“</w:t>
      </w:r>
      <w:r>
        <w:t xml:space="preserve">restrictive</w:t>
      </w:r>
      <w:r>
        <w:t xml:space="preserve">”</w:t>
      </w:r>
      <w:r>
        <w:t xml:space="preserve">,</w:t>
      </w:r>
      <w:r>
        <w:t xml:space="preserve"> </w:t>
      </w:r>
      <w:r>
        <w:t xml:space="preserve">“</w:t>
      </w:r>
      <w:r>
        <w:t xml:space="preserve">quantitative</w:t>
      </w:r>
      <w:r>
        <w:t xml:space="preserve">”</w:t>
      </w:r>
      <w:r>
        <w:t xml:space="preserve">,</w:t>
      </w:r>
      <w:r>
        <w:t xml:space="preserve"> </w:t>
      </w:r>
      <w:r>
        <w:t xml:space="preserve">“</w:t>
      </w:r>
      <w:r>
        <w:t xml:space="preserve">tightening</w:t>
      </w:r>
      <w:r>
        <w:t xml:space="preserve">”</w:t>
      </w:r>
      <w:r>
        <w:t xml:space="preserve">,</w:t>
      </w:r>
      <w:r>
        <w:t xml:space="preserve"> </w:t>
      </w:r>
      <w:r>
        <w:t xml:space="preserve">“</w:t>
      </w:r>
      <w:r>
        <w:t xml:space="preserve">contractionary</w:t>
      </w:r>
      <w:r>
        <w:t xml:space="preserve">”</w:t>
      </w:r>
      <w:r>
        <w:t xml:space="preserve">)</w:t>
      </w:r>
    </w:p>
    <w:p>
      <w:pPr>
        <w:pStyle w:val="Compact"/>
        <w:numPr>
          <w:ilvl w:val="0"/>
          <w:numId w:val="1003"/>
        </w:numPr>
      </w:pPr>
      <w:r>
        <w:rPr>
          <w:b/>
          <w:bCs/>
        </w:rPr>
        <w:t xml:space="preserve">Dovish set</w:t>
      </w:r>
      <w:r>
        <w:t xml:space="preserve">: ~55 words/bigrams (e.g.,</w:t>
      </w:r>
      <w:r>
        <w:t xml:space="preserve"> </w:t>
      </w:r>
      <w:r>
        <w:t xml:space="preserve">“</w:t>
      </w:r>
      <w:r>
        <w:t xml:space="preserve">accommodative</w:t>
      </w:r>
      <w:r>
        <w:t xml:space="preserve">”</w:t>
      </w:r>
      <w:r>
        <w:t xml:space="preserve">,</w:t>
      </w:r>
      <w:r>
        <w:t xml:space="preserve"> </w:t>
      </w:r>
      <w:r>
        <w:t xml:space="preserve">“</w:t>
      </w:r>
      <w:r>
        <w:t xml:space="preserve">patient</w:t>
      </w:r>
      <w:r>
        <w:t xml:space="preserve">”</w:t>
      </w:r>
      <w:r>
        <w:t xml:space="preserve">,</w:t>
      </w:r>
      <w:r>
        <w:t xml:space="preserve"> </w:t>
      </w:r>
      <w:r>
        <w:t xml:space="preserve">“</w:t>
      </w:r>
      <w:r>
        <w:t xml:space="preserve">gradual</w:t>
      </w:r>
      <w:r>
        <w:t xml:space="preserve">”</w:t>
      </w:r>
      <w:r>
        <w:t xml:space="preserve">,</w:t>
      </w:r>
      <w:r>
        <w:t xml:space="preserve"> </w:t>
      </w:r>
      <w:r>
        <w:t xml:space="preserve">“</w:t>
      </w:r>
      <w:r>
        <w:t xml:space="preserve">easing</w:t>
      </w:r>
      <w:r>
        <w:t xml:space="preserve">”</w:t>
      </w:r>
      <w:r>
        <w:t xml:space="preserve">,</w:t>
      </w:r>
      <w:r>
        <w:t xml:space="preserve"> </w:t>
      </w:r>
      <w:r>
        <w:t xml:space="preserve">“</w:t>
      </w:r>
      <w:r>
        <w:t xml:space="preserve">transitory</w:t>
      </w:r>
      <w:r>
        <w:t xml:space="preserve">”</w:t>
      </w:r>
      <w:r>
        <w:t xml:space="preserve">,</w:t>
      </w:r>
      <w:r>
        <w:t xml:space="preserve"> </w:t>
      </w:r>
      <w:r>
        <w:t xml:space="preserve">“</w:t>
      </w:r>
      <w:r>
        <w:t xml:space="preserve">reduce</w:t>
      </w:r>
      <w:r>
        <w:t xml:space="preserve">”</w:t>
      </w:r>
      <w:r>
        <w:t xml:space="preserve">,</w:t>
      </w:r>
      <w:r>
        <w:t xml:space="preserve"> </w:t>
      </w:r>
      <w:r>
        <w:t xml:space="preserve">“</w:t>
      </w:r>
      <w:r>
        <w:t xml:space="preserve">reducing</w:t>
      </w:r>
      <w:r>
        <w:t xml:space="preserve">”</w:t>
      </w:r>
      <w:r>
        <w:t xml:space="preserve">,</w:t>
      </w:r>
      <w:r>
        <w:t xml:space="preserve"> </w:t>
      </w:r>
      <w:r>
        <w:t xml:space="preserve">“</w:t>
      </w:r>
      <w:r>
        <w:t xml:space="preserve">decline</w:t>
      </w:r>
      <w:r>
        <w:t xml:space="preserve">”</w:t>
      </w:r>
      <w:r>
        <w:t xml:space="preserve">,</w:t>
      </w:r>
      <w:r>
        <w:t xml:space="preserve"> </w:t>
      </w:r>
      <w:r>
        <w:t xml:space="preserve">“</w:t>
      </w:r>
      <w:r>
        <w:t xml:space="preserve">declining</w:t>
      </w:r>
      <w:r>
        <w:t xml:space="preserve">”</w:t>
      </w:r>
      <w:r>
        <w:t xml:space="preserve">)</w:t>
      </w:r>
    </w:p>
    <w:p>
      <w:pPr>
        <w:pStyle w:val="FirstParagraph"/>
      </w:pPr>
      <m:oMathPara>
        <m:oMathParaPr>
          <m:jc m:val="center"/>
        </m:oMathParaPr>
        <m:oMath>
          <m:r>
            <m:rPr>
              <m:nor/>
              <m:sty m:val="p"/>
            </m:rPr>
            <m:t>CB Score</m:t>
          </m:r>
          <m:r>
            <m:rPr>
              <m:sty m:val="p"/>
            </m:rPr>
            <m:t>=</m:t>
          </m:r>
          <m:f>
            <m:fPr>
              <m:type m:val="bar"/>
            </m:fPr>
            <m:num>
              <m:sSub>
                <m:e>
                  <m:r>
                    <m:t>N</m:t>
                  </m:r>
                </m:e>
                <m:sub>
                  <m:r>
                    <m:rPr>
                      <m:nor/>
                      <m:sty m:val="p"/>
                    </m:rPr>
                    <m:t>hawk</m:t>
                  </m:r>
                </m:sub>
              </m:sSub>
              <m:r>
                <m:rPr>
                  <m:sty m:val="p"/>
                </m:rPr>
                <m:t>−</m:t>
              </m:r>
              <m:sSub>
                <m:e>
                  <m:r>
                    <m:t>N</m:t>
                  </m:r>
                </m:e>
                <m:sub>
                  <m:r>
                    <m:rPr>
                      <m:nor/>
                      <m:sty m:val="p"/>
                    </m:rPr>
                    <m:t>dove</m:t>
                  </m:r>
                </m:sub>
              </m:sSub>
            </m:num>
            <m:den>
              <m:sSub>
                <m:e>
                  <m:r>
                    <m:t>N</m:t>
                  </m:r>
                </m:e>
                <m:sub>
                  <m:r>
                    <m:rPr>
                      <m:nor/>
                      <m:sty m:val="p"/>
                    </m:rPr>
                    <m:t>total</m:t>
                  </m:r>
                </m:sub>
              </m:sSub>
            </m:den>
          </m:f>
        </m:oMath>
      </m:oMathPara>
    </w:p>
    <w:p>
      <w:pPr>
        <w:pStyle w:val="FirstParagraph"/>
      </w:pPr>
      <w:r>
        <w:rPr>
          <w:b/>
          <w:bCs/>
        </w:rPr>
        <w:t xml:space="preserve">v6.1 Dictionary Fix</w:t>
      </w:r>
      <w:r>
        <w:t xml:space="preserve">: Removed 5 overlapping terms that appeared in both hawkish and dovish sets (</w:t>
      </w:r>
      <w:r>
        <w:t xml:space="preserve">“</w:t>
      </w:r>
      <w:r>
        <w:t xml:space="preserve">contractionary</w:t>
      </w:r>
      <w:r>
        <w:t xml:space="preserve">”</w:t>
      </w:r>
      <w:r>
        <w:t xml:space="preserve">,</w:t>
      </w:r>
      <w:r>
        <w:t xml:space="preserve"> </w:t>
      </w:r>
      <w:r>
        <w:t xml:space="preserve">“</w:t>
      </w:r>
      <w:r>
        <w:t xml:space="preserve">quantitative</w:t>
      </w:r>
      <w:r>
        <w:t xml:space="preserve">”</w:t>
      </w:r>
      <w:r>
        <w:t xml:space="preserve">,</w:t>
      </w:r>
      <w:r>
        <w:t xml:space="preserve"> </w:t>
      </w:r>
      <w:r>
        <w:t xml:space="preserve">“</w:t>
      </w:r>
      <w:r>
        <w:t xml:space="preserve">reducing</w:t>
      </w:r>
      <w:r>
        <w:t xml:space="preserve">”</w:t>
      </w:r>
      <w:r>
        <w:t xml:space="preserve">,</w:t>
      </w:r>
      <w:r>
        <w:t xml:space="preserve"> </w:t>
      </w:r>
      <w:r>
        <w:t xml:space="preserve">“</w:t>
      </w:r>
      <w:r>
        <w:t xml:space="preserve">risks</w:t>
      </w:r>
      <w:r>
        <w:t xml:space="preserve">”</w:t>
      </w:r>
      <w:r>
        <w:t xml:space="preserve">,</w:t>
      </w:r>
      <w:r>
        <w:t xml:space="preserve"> </w:t>
      </w:r>
      <w:r>
        <w:t xml:space="preserve">“</w:t>
      </w:r>
      <w:r>
        <w:t xml:space="preserve">reduce</w:t>
      </w:r>
      <w:r>
        <w:t xml:space="preserve">”</w:t>
      </w:r>
      <w:r>
        <w:t xml:space="preserve">), keeping them in the hawkish set where they are more semantically appropriate. This eliminates cancellation effects and increases sentiment variance.</w:t>
      </w:r>
    </w:p>
    <w:bookmarkEnd w:id="29"/>
    <w:bookmarkStart w:id="30" w:name="combined-sentiment"/>
    <w:p>
      <w:pPr>
        <w:pStyle w:val="Heading4"/>
      </w:pPr>
      <w:r>
        <w:t xml:space="preserve">Combined Sentiment</w:t>
      </w:r>
    </w:p>
    <w:p>
      <w:pPr>
        <w:pStyle w:val="FirstParagraph"/>
      </w:pPr>
      <m:oMathPara>
        <m:oMathParaPr>
          <m:jc m:val="center"/>
        </m:oMathParaPr>
        <m:oMath>
          <m:sSub>
            <m:e>
              <m:r>
                <m:rPr>
                  <m:nor/>
                  <m:sty m:val="p"/>
                </m:rPr>
                <m:t>Sentiment</m:t>
              </m:r>
            </m:e>
            <m:sub>
              <m:r>
                <m:t>t</m:t>
              </m:r>
            </m:sub>
          </m:sSub>
          <m:r>
            <m:rPr>
              <m:sty m:val="p"/>
            </m:rPr>
            <m:t>=</m:t>
          </m:r>
          <m:r>
            <m:t>0.5</m:t>
          </m:r>
          <m:r>
            <m:rPr>
              <m:sty m:val="p"/>
            </m:rPr>
            <m:t>×</m:t>
          </m:r>
          <m:sSub>
            <m:e>
              <m:r>
                <m:rPr>
                  <m:nor/>
                  <m:sty m:val="p"/>
                </m:rPr>
                <m:t>LM Score</m:t>
              </m:r>
            </m:e>
            <m:sub>
              <m:r>
                <m:t>t</m:t>
              </m:r>
            </m:sub>
          </m:sSub>
          <m:r>
            <m:rPr>
              <m:sty m:val="p"/>
            </m:rPr>
            <m:t>+</m:t>
          </m:r>
          <m:r>
            <m:t>0.5</m:t>
          </m:r>
          <m:r>
            <m:rPr>
              <m:sty m:val="p"/>
            </m:rPr>
            <m:t>×</m:t>
          </m:r>
          <m:sSub>
            <m:e>
              <m:r>
                <m:rPr>
                  <m:nor/>
                  <m:sty m:val="p"/>
                </m:rPr>
                <m:t>CB Score</m:t>
              </m:r>
            </m:e>
            <m:sub>
              <m:r>
                <m:t>t</m:t>
              </m:r>
            </m:sub>
          </m:sSub>
        </m:oMath>
      </m:oMathPara>
    </w:p>
    <w:p>
      <w:pPr>
        <w:pStyle w:val="FirstParagraph"/>
      </w:pPr>
      <w:r>
        <w:rPr>
          <w:b/>
          <w:bCs/>
        </w:rPr>
        <w:t xml:space="preserve">Interpretation</w:t>
      </w:r>
      <w:r>
        <w:t xml:space="preserve">: Higher values → more hawkish tone.</w:t>
      </w:r>
    </w:p>
    <w:p>
      <w:pPr>
        <w:pStyle w:val="BodyText"/>
      </w:pPr>
      <w:r>
        <w:rPr>
          <w:b/>
          <w:bCs/>
        </w:rPr>
        <w:t xml:space="preserve">Preprocessing</w:t>
      </w:r>
      <w:r>
        <w:t xml:space="preserve">: Lowercase → strip punctuation → filter words with length ≤ 1.</w:t>
      </w:r>
    </w:p>
    <w:bookmarkEnd w:id="30"/>
    <w:bookmarkStart w:id="31" w:name="enhanced-features-v6"/>
    <w:p>
      <w:pPr>
        <w:pStyle w:val="Heading4"/>
      </w:pPr>
      <w:r>
        <w:t xml:space="preserve">Enhanced Features (v6+)</w:t>
      </w:r>
    </w:p>
    <w:p>
      <w:pPr>
        <w:pStyle w:val="FirstParagraph"/>
      </w:pPr>
      <w:r>
        <w:t xml:space="preserve">Beyond the raw combined score, the enhanced pipeline also computes: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rStyle w:val="VerbatimChar"/>
              </w:rPr>
              <w:t xml:space="preserve">word_count</w:t>
            </w:r>
          </w:p>
        </w:tc>
        <w:tc>
          <w:tcPr/>
          <w:p>
            <w:pPr>
              <w:pStyle w:val="Compact"/>
              <w:jc w:val="left"/>
            </w:pPr>
            <w:r>
              <w:t xml:space="preserve">Statement length (tokens)</w:t>
            </w:r>
          </w:p>
        </w:tc>
      </w:tr>
      <w:tr>
        <w:tc>
          <w:tcPr/>
          <w:p>
            <w:pPr>
              <w:pStyle w:val="Compact"/>
              <w:jc w:val="left"/>
            </w:pPr>
            <w:r>
              <w:rPr>
                <w:rStyle w:val="VerbatimChar"/>
              </w:rPr>
              <w:t xml:space="preserve">hawkish_count</w:t>
            </w:r>
          </w:p>
        </w:tc>
        <w:tc>
          <w:tcPr/>
          <w:p>
            <w:pPr>
              <w:pStyle w:val="Compact"/>
              <w:jc w:val="left"/>
            </w:pPr>
            <w:r>
              <w:t xml:space="preserve">Raw hawkish word count</w:t>
            </w:r>
          </w:p>
        </w:tc>
      </w:tr>
      <w:tr>
        <w:tc>
          <w:tcPr/>
          <w:p>
            <w:pPr>
              <w:pStyle w:val="Compact"/>
              <w:jc w:val="left"/>
            </w:pPr>
            <w:r>
              <w:rPr>
                <w:rStyle w:val="VerbatimChar"/>
              </w:rPr>
              <w:t xml:space="preserve">dovish_count</w:t>
            </w:r>
          </w:p>
        </w:tc>
        <w:tc>
          <w:tcPr/>
          <w:p>
            <w:pPr>
              <w:pStyle w:val="Compact"/>
              <w:jc w:val="left"/>
            </w:pPr>
            <w:r>
              <w:t xml:space="preserve">Raw dovish word count</w:t>
            </w:r>
          </w:p>
        </w:tc>
      </w:tr>
      <w:tr>
        <w:tc>
          <w:tcPr/>
          <w:p>
            <w:pPr>
              <w:pStyle w:val="Compact"/>
              <w:jc w:val="left"/>
            </w:pPr>
            <w:r>
              <w:rPr>
                <w:rStyle w:val="VerbatimChar"/>
              </w:rPr>
              <w:t xml:space="preserve">lm_score</w:t>
            </w:r>
          </w:p>
        </w:tc>
        <w:tc>
          <w:tcPr/>
          <w:p>
            <w:pPr>
              <w:pStyle w:val="Compact"/>
              <w:jc w:val="left"/>
            </w:pPr>
            <w:r>
              <w:t xml:space="preserve">LM dictionary score (always positive for FOMC text)</w:t>
            </w:r>
          </w:p>
        </w:tc>
      </w:tr>
      <w:tr>
        <w:tc>
          <w:tcPr/>
          <w:p>
            <w:pPr>
              <w:pStyle w:val="Compact"/>
              <w:jc w:val="left"/>
            </w:pPr>
            <w:r>
              <w:rPr>
                <w:rStyle w:val="VerbatimChar"/>
              </w:rPr>
              <w:t xml:space="preserve">cb_score</w:t>
            </w:r>
          </w:p>
        </w:tc>
        <w:tc>
          <w:tcPr/>
          <w:p>
            <w:pPr>
              <w:pStyle w:val="Compact"/>
              <w:jc w:val="left"/>
            </w:pPr>
            <w:r>
              <w:t xml:space="preserve">CB dictionary score (has sign variation)</w:t>
            </w:r>
          </w:p>
        </w:tc>
      </w:tr>
      <w:tr>
        <w:tc>
          <w:tcPr/>
          <w:p>
            <w:pPr>
              <w:pStyle w:val="Compact"/>
              <w:jc w:val="left"/>
            </w:pPr>
            <w:r>
              <w:rPr>
                <w:rStyle w:val="VerbatimChar"/>
              </w:rPr>
              <w:t xml:space="preserve">combined</w:t>
            </w:r>
          </w:p>
        </w:tc>
        <w:tc>
          <w:tcPr/>
          <w:p>
            <w:pPr>
              <w:pStyle w:val="Compact"/>
              <w:jc w:val="left"/>
            </w:pPr>
            <w:r>
              <w:t xml:space="preserve">0.5 × LM + 0.5 × CB</w:t>
            </w:r>
          </w:p>
        </w:tc>
      </w:tr>
    </w:tbl>
    <w:bookmarkEnd w:id="31"/>
    <w:bookmarkEnd w:id="32"/>
    <w:bookmarkStart w:id="33" w:name="sentiment-distribution-v6.1"/>
    <w:p>
      <w:pPr>
        <w:pStyle w:val="Heading3"/>
      </w:pPr>
      <w:r>
        <w:t xml:space="preserve">3.2 Sentiment Distribution (v6.1)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Statistic</w:t>
            </w:r>
          </w:p>
        </w:tc>
        <w:tc>
          <w:tcPr/>
          <w:p>
            <w:pPr>
              <w:pStyle w:val="Compact"/>
              <w:jc w:val="center"/>
            </w:pPr>
            <w:r>
              <w:t xml:space="preserve">Combined</w:t>
            </w:r>
          </w:p>
        </w:tc>
        <w:tc>
          <w:tcPr/>
          <w:p>
            <w:pPr>
              <w:pStyle w:val="Compact"/>
              <w:jc w:val="center"/>
            </w:pPr>
            <w:r>
              <w:t xml:space="preserve">LM Score</w:t>
            </w:r>
          </w:p>
        </w:tc>
        <w:tc>
          <w:tcPr/>
          <w:p>
            <w:pPr>
              <w:pStyle w:val="Compact"/>
              <w:jc w:val="center"/>
            </w:pPr>
            <w:r>
              <w:t xml:space="preserve">CB Score</w:t>
            </w:r>
          </w:p>
        </w:tc>
      </w:tr>
      <w:tr>
        <w:tc>
          <w:tcPr/>
          <w:p>
            <w:pPr>
              <w:pStyle w:val="Compact"/>
              <w:jc w:val="left"/>
            </w:pPr>
            <w:r>
              <w:t xml:space="preserve">Mean</w:t>
            </w:r>
          </w:p>
        </w:tc>
        <w:tc>
          <w:tcPr/>
          <w:p>
            <w:pPr>
              <w:pStyle w:val="Compact"/>
              <w:jc w:val="center"/>
            </w:pPr>
            <w:r>
              <w:t xml:space="preserve">0.024</w:t>
            </w:r>
          </w:p>
        </w:tc>
        <w:tc>
          <w:tcPr/>
          <w:p>
            <w:pPr>
              <w:pStyle w:val="Compact"/>
              <w:jc w:val="center"/>
            </w:pPr>
            <w:r>
              <w:t xml:space="preserve">0.038</w:t>
            </w:r>
          </w:p>
        </w:tc>
        <w:tc>
          <w:tcPr/>
          <w:p>
            <w:pPr>
              <w:pStyle w:val="Compact"/>
              <w:jc w:val="center"/>
            </w:pPr>
            <w:r>
              <w:t xml:space="preserve">0.010</w:t>
            </w:r>
          </w:p>
        </w:tc>
      </w:tr>
      <w:tr>
        <w:tc>
          <w:tcPr/>
          <w:p>
            <w:pPr>
              <w:pStyle w:val="Compact"/>
              <w:jc w:val="left"/>
            </w:pPr>
            <w:r>
              <w:t xml:space="preserve">Std</w:t>
            </w:r>
          </w:p>
        </w:tc>
        <w:tc>
          <w:tcPr/>
          <w:p>
            <w:pPr>
              <w:pStyle w:val="Compact"/>
              <w:jc w:val="center"/>
            </w:pPr>
            <w:r>
              <w:t xml:space="preserve">0.013</w:t>
            </w:r>
          </w:p>
        </w:tc>
        <w:tc>
          <w:tcPr/>
          <w:p>
            <w:pPr>
              <w:pStyle w:val="Compact"/>
              <w:jc w:val="center"/>
            </w:pPr>
            <w:r>
              <w:t xml:space="preserve">0.008</w:t>
            </w:r>
          </w:p>
        </w:tc>
        <w:tc>
          <w:tcPr/>
          <w:p>
            <w:pPr>
              <w:pStyle w:val="Compact"/>
              <w:jc w:val="center"/>
            </w:pPr>
            <w:r>
              <w:t xml:space="preserve">0.032</w:t>
            </w:r>
          </w:p>
        </w:tc>
      </w:tr>
      <w:tr>
        <w:tc>
          <w:tcPr/>
          <w:p>
            <w:pPr>
              <w:pStyle w:val="Compact"/>
              <w:jc w:val="left"/>
            </w:pPr>
            <w:r>
              <w:t xml:space="preserve">Min</w:t>
            </w:r>
          </w:p>
        </w:tc>
        <w:tc>
          <w:tcPr/>
          <w:p>
            <w:pPr>
              <w:pStyle w:val="Compact"/>
              <w:jc w:val="center"/>
            </w:pPr>
            <w:r>
              <w:t xml:space="preserve">−0.012</w:t>
            </w:r>
          </w:p>
        </w:tc>
        <w:tc>
          <w:tcPr/>
          <w:p>
            <w:pPr>
              <w:pStyle w:val="Compact"/>
              <w:jc w:val="center"/>
            </w:pPr>
            <w:r>
              <w:t xml:space="preserve">0.006</w:t>
            </w:r>
          </w:p>
        </w:tc>
        <w:tc>
          <w:tcPr/>
          <w:p>
            <w:pPr>
              <w:pStyle w:val="Compact"/>
              <w:jc w:val="center"/>
            </w:pPr>
            <w:r>
              <w:t xml:space="preserve">−0.089</w:t>
            </w:r>
          </w:p>
        </w:tc>
      </w:tr>
      <w:tr>
        <w:tc>
          <w:tcPr/>
          <w:p>
            <w:pPr>
              <w:pStyle w:val="Compact"/>
              <w:jc w:val="left"/>
            </w:pPr>
            <w:r>
              <w:t xml:space="preserve">Max</w:t>
            </w:r>
          </w:p>
        </w:tc>
        <w:tc>
          <w:tcPr/>
          <w:p>
            <w:pPr>
              <w:pStyle w:val="Compact"/>
              <w:jc w:val="center"/>
            </w:pPr>
            <w:r>
              <w:t xml:space="preserve">0.065</w:t>
            </w:r>
          </w:p>
        </w:tc>
        <w:tc>
          <w:tcPr/>
          <w:p>
            <w:pPr>
              <w:pStyle w:val="Compact"/>
              <w:jc w:val="center"/>
            </w:pPr>
            <w:r>
              <w:t xml:space="preserve">0.067</w:t>
            </w:r>
          </w:p>
        </w:tc>
        <w:tc>
          <w:tcPr/>
          <w:p>
            <w:pPr>
              <w:pStyle w:val="Compact"/>
              <w:jc w:val="center"/>
            </w:pPr>
            <w:r>
              <w:t xml:space="preserve">0.098</w:t>
            </w:r>
          </w:p>
        </w:tc>
      </w:tr>
      <w:tr>
        <w:tc>
          <w:tcPr/>
          <w:p>
            <w:pPr>
              <w:pStyle w:val="Compact"/>
              <w:jc w:val="left"/>
            </w:pPr>
            <w:r>
              <w:t xml:space="preserve">% Negative</w:t>
            </w:r>
          </w:p>
        </w:tc>
        <w:tc>
          <w:tcPr/>
          <w:p>
            <w:pPr>
              <w:pStyle w:val="Compact"/>
              <w:jc w:val="center"/>
            </w:pPr>
            <w:r>
              <w:t xml:space="preserve">18.8%</w:t>
            </w:r>
          </w:p>
        </w:tc>
        <w:tc>
          <w:tcPr/>
          <w:p>
            <w:pPr>
              <w:pStyle w:val="Compact"/>
              <w:jc w:val="center"/>
            </w:pPr>
            <w:r>
              <w:t xml:space="preserve">0%</w:t>
            </w:r>
          </w:p>
        </w:tc>
        <w:tc>
          <w:tcPr/>
          <w:p>
            <w:pPr>
              <w:pStyle w:val="Compact"/>
              <w:jc w:val="center"/>
            </w:pPr>
            <w:r>
              <w:t xml:space="preserve">78%</w:t>
            </w:r>
          </w:p>
        </w:tc>
      </w:tr>
      <w:tr>
        <w:tc>
          <w:tcPr/>
          <w:p>
            <w:pPr>
              <w:pStyle w:val="Compact"/>
              <w:jc w:val="left"/>
            </w:pPr>
            <w:r>
              <w:t xml:space="preserve">% Positive</w:t>
            </w:r>
          </w:p>
        </w:tc>
        <w:tc>
          <w:tcPr/>
          <w:p>
            <w:pPr>
              <w:pStyle w:val="Compact"/>
              <w:jc w:val="center"/>
            </w:pPr>
            <w:r>
              <w:t xml:space="preserve">81.2%</w:t>
            </w:r>
          </w:p>
        </w:tc>
        <w:tc>
          <w:tcPr/>
          <w:p>
            <w:pPr>
              <w:pStyle w:val="Compact"/>
              <w:jc w:val="center"/>
            </w:pPr>
            <w:r>
              <w:t xml:space="preserve">100%</w:t>
            </w:r>
          </w:p>
        </w:tc>
        <w:tc>
          <w:tcPr/>
          <w:p>
            <w:pPr>
              <w:pStyle w:val="Compact"/>
              <w:jc w:val="center"/>
            </w:pPr>
            <w:r>
              <w:t xml:space="preserve">22%</w:t>
            </w:r>
          </w:p>
        </w:tc>
      </w:tr>
    </w:tbl>
    <w:p>
      <w:pPr>
        <w:pStyle w:val="BodyText"/>
      </w:pPr>
      <w:r>
        <w:rPr>
          <w:b/>
          <w:bCs/>
        </w:rPr>
        <w:t xml:space="preserve">Key observation</w:t>
      </w:r>
      <w:r>
        <w:t xml:space="preserve">: The LM score is always positive for FOMC statements (min = 0.006), because FOMC statements use more positive than negative words regardless of policy stance (they say</w:t>
      </w:r>
      <w:r>
        <w:t xml:space="preserve"> </w:t>
      </w:r>
      <w:r>
        <w:t xml:space="preserve">“</w:t>
      </w:r>
      <w:r>
        <w:t xml:space="preserve">growth</w:t>
      </w:r>
      <w:r>
        <w:t xml:space="preserve">”</w:t>
      </w:r>
      <w:r>
        <w:t xml:space="preserve"> </w:t>
      </w:r>
      <w:r>
        <w:t xml:space="preserve">and</w:t>
      </w:r>
      <w:r>
        <w:t xml:space="preserve"> </w:t>
      </w:r>
      <w:r>
        <w:t xml:space="preserve">“</w:t>
      </w:r>
      <w:r>
        <w:t xml:space="preserve">stable</w:t>
      </w:r>
      <w:r>
        <w:t xml:space="preserve">”</w:t>
      </w:r>
      <w:r>
        <w:t xml:space="preserve"> </w:t>
      </w:r>
      <w:r>
        <w:t xml:space="preserve">even when cutting rates). The CB component has substantial sign variation (78% negative), but the equal-weighted combination dilutes this signal. This is a known limitation of the combined measure — see §10.2 for the upgrade path.</w:t>
      </w:r>
    </w:p>
    <w:bookmarkEnd w:id="33"/>
    <w:bookmarkStart w:id="34" w:name="known-limitations"/>
    <w:p>
      <w:pPr>
        <w:pStyle w:val="Heading3"/>
      </w:pPr>
      <w:r>
        <w:t xml:space="preserve">3.3 Known Limitations</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Issue</w:t>
            </w:r>
          </w:p>
        </w:tc>
        <w:tc>
          <w:tcPr/>
          <w:p>
            <w:pPr>
              <w:pStyle w:val="Compact"/>
              <w:jc w:val="left"/>
            </w:pPr>
            <w:r>
              <w:t xml:space="preserve">Detail</w:t>
            </w:r>
          </w:p>
        </w:tc>
        <w:tc>
          <w:tcPr/>
          <w:p>
            <w:pPr>
              <w:pStyle w:val="Compact"/>
              <w:jc w:val="left"/>
            </w:pPr>
            <w:r>
              <w:t xml:space="preserve">Impact</w:t>
            </w:r>
          </w:p>
        </w:tc>
      </w:tr>
      <w:tr>
        <w:tc>
          <w:tcPr/>
          <w:p>
            <w:pPr>
              <w:pStyle w:val="Compact"/>
              <w:jc w:val="left"/>
            </w:pPr>
            <w:r>
              <w:rPr>
                <w:b/>
                <w:bCs/>
              </w:rPr>
              <w:t xml:space="preserve">LM positivity bias</w:t>
            </w:r>
          </w:p>
        </w:tc>
        <w:tc>
          <w:tcPr/>
          <w:p>
            <w:pPr>
              <w:pStyle w:val="Compact"/>
              <w:jc w:val="left"/>
            </w:pPr>
            <w:r>
              <w:t xml:space="preserve">LM score is always positive for FOMC text (min = 0.006)</w:t>
            </w:r>
          </w:p>
        </w:tc>
        <w:tc>
          <w:tcPr/>
          <w:p>
            <w:pPr>
              <w:pStyle w:val="Compact"/>
              <w:jc w:val="left"/>
            </w:pPr>
            <w:r>
              <w:t xml:space="preserve">Combined score is dominated by LM positivity; only 18.8% negative</w:t>
            </w:r>
          </w:p>
        </w:tc>
      </w:tr>
      <w:tr>
        <w:tc>
          <w:tcPr/>
          <w:p>
            <w:pPr>
              <w:pStyle w:val="Compact"/>
              <w:jc w:val="left"/>
            </w:pPr>
            <w:r>
              <w:rPr>
                <w:b/>
                <w:bCs/>
              </w:rPr>
              <w:t xml:space="preserve">Sparsity</w:t>
            </w:r>
          </w:p>
        </w:tc>
        <w:tc>
          <w:tcPr/>
          <w:p>
            <w:pPr>
              <w:pStyle w:val="Compact"/>
              <w:jc w:val="left"/>
            </w:pPr>
            <w:r>
              <w:t xml:space="preserve">LM dictionary designed for 10-K filings, not FOMC statements</w:t>
            </w:r>
          </w:p>
        </w:tc>
        <w:tc>
          <w:tcPr/>
          <w:p>
            <w:pPr>
              <w:pStyle w:val="Compact"/>
              <w:jc w:val="left"/>
            </w:pPr>
            <w:r>
              <w:t xml:space="preserve">std(LM) ≈ 0.008 vs. literature benchmark ≈ 0.035</w:t>
            </w:r>
          </w:p>
        </w:tc>
      </w:tr>
      <w:tr>
        <w:tc>
          <w:tcPr/>
          <w:p>
            <w:pPr>
              <w:pStyle w:val="Compact"/>
              <w:jc w:val="left"/>
            </w:pPr>
            <w:r>
              <w:rPr>
                <w:b/>
                <w:bCs/>
              </w:rPr>
              <w:t xml:space="preserve">Context blindness</w:t>
            </w:r>
          </w:p>
        </w:tc>
        <w:tc>
          <w:tcPr/>
          <w:p>
            <w:pPr>
              <w:pStyle w:val="Compact"/>
              <w:jc w:val="left"/>
            </w:pPr>
            <w:r>
              <w:t xml:space="preserve">“</w:t>
            </w:r>
            <w:r>
              <w:t xml:space="preserve">higher</w:t>
            </w:r>
            <w:r>
              <w:t xml:space="preserve">”</w:t>
            </w:r>
            <w:r>
              <w:t xml:space="preserve"> </w:t>
            </w:r>
            <w:r>
              <w:t xml:space="preserve">appears in both LM_POSITIVE and CB_HAWKISH — but</w:t>
            </w:r>
            <w:r>
              <w:t xml:space="preserve"> </w:t>
            </w:r>
            <w:r>
              <w:t xml:space="preserve">“</w:t>
            </w:r>
            <w:r>
              <w:t xml:space="preserve">higher inflation</w:t>
            </w:r>
            <w:r>
              <w:t xml:space="preserve">”</w:t>
            </w:r>
            <w:r>
              <w:t xml:space="preserve"> </w:t>
            </w:r>
            <w:r>
              <w:t xml:space="preserve">is hawkish while</w:t>
            </w:r>
            <w:r>
              <w:t xml:space="preserve"> </w:t>
            </w:r>
            <w:r>
              <w:t xml:space="preserve">“</w:t>
            </w:r>
            <w:r>
              <w:t xml:space="preserve">higher growth</w:t>
            </w:r>
            <w:r>
              <w:t xml:space="preserve">”</w:t>
            </w:r>
            <w:r>
              <w:t xml:space="preserve"> </w:t>
            </w:r>
            <w:r>
              <w:t xml:space="preserve">is dovish</w:t>
            </w:r>
          </w:p>
        </w:tc>
        <w:tc>
          <w:tcPr/>
          <w:p>
            <w:pPr>
              <w:pStyle w:val="Compact"/>
              <w:jc w:val="left"/>
            </w:pPr>
            <w:r>
              <w:t xml:space="preserve">Directional ambiguity</w:t>
            </w:r>
          </w:p>
        </w:tc>
      </w:tr>
      <w:tr>
        <w:tc>
          <w:tcPr/>
          <w:p>
            <w:pPr>
              <w:pStyle w:val="Compact"/>
              <w:jc w:val="left"/>
            </w:pPr>
            <w:r>
              <w:rPr>
                <w:b/>
                <w:bCs/>
              </w:rPr>
              <w:t xml:space="preserve">No bigram/trigram</w:t>
            </w:r>
          </w:p>
        </w:tc>
        <w:tc>
          <w:tcPr/>
          <w:p>
            <w:pPr>
              <w:pStyle w:val="Compact"/>
              <w:jc w:val="left"/>
            </w:pPr>
            <w:r>
              <w:t xml:space="preserve">Only unigram matching;</w:t>
            </w:r>
            <w:r>
              <w:t xml:space="preserve"> </w:t>
            </w:r>
            <w:r>
              <w:t xml:space="preserve">“</w:t>
            </w:r>
            <w:r>
              <w:t xml:space="preserve">strongly committed to returning inflation to 2%</w:t>
            </w:r>
            <w:r>
              <w:t xml:space="preserve">”</w:t>
            </w:r>
            <w:r>
              <w:t xml:space="preserve"> </w:t>
            </w:r>
            <w:r>
              <w:t xml:space="preserve">misses the commitment signal</w:t>
            </w:r>
          </w:p>
        </w:tc>
        <w:tc>
          <w:tcPr/>
          <w:p>
            <w:pPr>
              <w:pStyle w:val="Compact"/>
              <w:jc w:val="left"/>
            </w:pPr>
            <w:r>
              <w:t xml:space="preserve">Information loss</w:t>
            </w:r>
          </w:p>
        </w:tc>
      </w:tr>
      <w:tr>
        <w:tc>
          <w:tcPr/>
          <w:p>
            <w:pPr>
              <w:pStyle w:val="Compact"/>
              <w:jc w:val="left"/>
            </w:pPr>
            <w:r>
              <w:rPr>
                <w:b/>
                <w:bCs/>
              </w:rPr>
              <w:t xml:space="preserve">Equal weighting</w:t>
            </w:r>
          </w:p>
        </w:tc>
        <w:tc>
          <w:tcPr/>
          <w:p>
            <w:pPr>
              <w:pStyle w:val="Compact"/>
              <w:jc w:val="left"/>
            </w:pPr>
            <w:r>
              <w:t xml:space="preserve">50/50 LM+CB is arbitrary; no empirical optimization</w:t>
            </w:r>
          </w:p>
        </w:tc>
        <w:tc>
          <w:tcPr/>
          <w:p>
            <w:pPr>
              <w:pStyle w:val="Compact"/>
              <w:jc w:val="left"/>
            </w:pPr>
            <w:r>
              <w:t xml:space="preserve">Suboptimal signal extraction</w:t>
            </w:r>
          </w:p>
        </w:tc>
      </w:tr>
      <w:tr>
        <w:tc>
          <w:tcPr/>
          <w:p>
            <w:pPr>
              <w:pStyle w:val="Compact"/>
              <w:jc w:val="left"/>
            </w:pPr>
            <w:r>
              <w:rPr>
                <w:b/>
                <w:bCs/>
              </w:rPr>
              <w:t xml:space="preserve">LM-CB polarity conflict</w:t>
            </w:r>
          </w:p>
        </w:tc>
        <w:tc>
          <w:tcPr/>
          <w:p>
            <w:pPr>
              <w:pStyle w:val="Compact"/>
              <w:jc w:val="left"/>
            </w:pPr>
            <w:r>
              <w:t xml:space="preserve">10 terms are LM-negative but CB-hawkish (e.g.,</w:t>
            </w:r>
            <w:r>
              <w:t xml:space="preserve"> </w:t>
            </w:r>
            <w:r>
              <w:t xml:space="preserve">“</w:t>
            </w:r>
            <w:r>
              <w:t xml:space="preserve">inflation</w:t>
            </w:r>
            <w:r>
              <w:t xml:space="preserve">”</w:t>
            </w:r>
            <w:r>
              <w:t xml:space="preserve">,</w:t>
            </w:r>
            <w:r>
              <w:t xml:space="preserve"> </w:t>
            </w:r>
            <w:r>
              <w:t xml:space="preserve">“</w:t>
            </w:r>
            <w:r>
              <w:t xml:space="preserve">tightening</w:t>
            </w:r>
            <w:r>
              <w:t xml:space="preserve">”</w:t>
            </w:r>
            <w:r>
              <w:t xml:space="preserve">); 6 terms are LM-positive but CB-dovish (e.g.,</w:t>
            </w:r>
            <w:r>
              <w:t xml:space="preserve"> </w:t>
            </w:r>
            <w:r>
              <w:t xml:space="preserve">“</w:t>
            </w:r>
            <w:r>
              <w:t xml:space="preserve">ease</w:t>
            </w:r>
            <w:r>
              <w:t xml:space="preserve">”</w:t>
            </w:r>
            <w:r>
              <w:t xml:space="preserve">,</w:t>
            </w:r>
            <w:r>
              <w:t xml:space="preserve"> </w:t>
            </w:r>
            <w:r>
              <w:t xml:space="preserve">“</w:t>
            </w:r>
            <w:r>
              <w:t xml:space="preserve">easing</w:t>
            </w:r>
            <w:r>
              <w:t xml:space="preserve">”</w:t>
            </w:r>
            <w:r>
              <w:t xml:space="preserve">)</w:t>
            </w:r>
          </w:p>
        </w:tc>
        <w:tc>
          <w:tcPr/>
          <w:p>
            <w:pPr>
              <w:pStyle w:val="Compact"/>
              <w:jc w:val="left"/>
            </w:pPr>
            <w:r>
              <w:t xml:space="preserve">Combined measure mixes two different dimensions — financial sentiment vs. policy stance</w:t>
            </w:r>
          </w:p>
        </w:tc>
      </w:tr>
    </w:tbl>
    <w:p>
      <w:pPr>
        <w:pStyle w:val="BodyText"/>
      </w:pPr>
      <w:r>
        <w:rPr>
          <w:b/>
          <w:bCs/>
        </w:rPr>
        <w:t xml:space="preserve">Planned improvements</w:t>
      </w:r>
      <w:r>
        <w:t xml:space="preserve"> </w:t>
      </w:r>
      <w:r>
        <w:t xml:space="preserve">(per WRDS_UPGRADE_PLAN.md):</w:t>
      </w:r>
      <w:r>
        <w:t xml:space="preserve"> </w:t>
      </w:r>
      <w:r>
        <w:t xml:space="preserve">1.</w:t>
      </w:r>
      <w:r>
        <w:t xml:space="preserve"> </w:t>
      </w:r>
      <w:r>
        <w:rPr>
          <w:b/>
          <w:bCs/>
        </w:rPr>
        <w:t xml:space="preserve">CB-only sentiment</w:t>
      </w:r>
      <w:r>
        <w:t xml:space="preserve">: Use CB score alone for H1 regression (has actual sign variation)</w:t>
      </w:r>
      <w:r>
        <w:t xml:space="preserve"> </w:t>
      </w:r>
      <w:r>
        <w:t xml:space="preserve">2.</w:t>
      </w:r>
      <w:r>
        <w:t xml:space="preserve"> </w:t>
      </w:r>
      <w:r>
        <w:rPr>
          <w:b/>
          <w:bCs/>
        </w:rPr>
        <w:t xml:space="preserve">FinBERT</w:t>
      </w:r>
      <w:r>
        <w:t xml:space="preserve"> </w:t>
      </w:r>
      <w:r>
        <w:t xml:space="preserve">(Huang et al. 2022): Contextual sentiment, requires GPU</w:t>
      </w:r>
      <w:r>
        <w:t xml:space="preserve"> </w:t>
      </w:r>
      <w:r>
        <w:t xml:space="preserve">3.</w:t>
      </w:r>
      <w:r>
        <w:t xml:space="preserve"> </w:t>
      </w:r>
      <w:r>
        <w:rPr>
          <w:b/>
          <w:bCs/>
        </w:rPr>
        <w:t xml:space="preserve">Expanded CB dictionary</w:t>
      </w:r>
      <w:r>
        <w:t xml:space="preserve">: Add FOMC-specific phrases from Apel &amp; Blix Grimaldi (2012)</w:t>
      </w:r>
      <w:r>
        <w:t xml:space="preserve"> </w:t>
      </w:r>
      <w:r>
        <w:t xml:space="preserve">4.</w:t>
      </w:r>
      <w:r>
        <w:t xml:space="preserve"> </w:t>
      </w:r>
      <w:r>
        <w:rPr>
          <w:b/>
          <w:bCs/>
        </w:rPr>
        <w:t xml:space="preserve">Weight optimization</w:t>
      </w:r>
      <w:r>
        <w:t xml:space="preserve">: Cross-validate LM/CB weights against asset returns</w:t>
      </w:r>
    </w:p>
    <w:p>
      <w:r>
        <w:pict>
          <v:rect style="width:0;height:1.5pt" o:hralign="center" o:hrstd="t" o:hr="t"/>
        </w:pict>
      </w:r>
    </w:p>
    <w:bookmarkEnd w:id="34"/>
    <w:bookmarkEnd w:id="35"/>
    <w:bookmarkStart w:id="40" w:name="monetary-policy-surprise"/>
    <w:p>
      <w:pPr>
        <w:pStyle w:val="Heading2"/>
      </w:pPr>
      <w:r>
        <w:t xml:space="preserve">4. Monetary Policy Surprise</w:t>
      </w:r>
    </w:p>
    <w:bookmarkStart w:id="36" w:name="acosta-et-al.-2024-shocks-active"/>
    <w:p>
      <w:pPr>
        <w:pStyle w:val="Heading3"/>
      </w:pPr>
      <w:r>
        <w:t xml:space="preserve">4.1 Acosta et al. (2024) Shocks (Active)</w:t>
      </w:r>
    </w:p>
    <w:p>
      <w:pPr>
        <w:pStyle w:val="FirstParagraph"/>
      </w:pPr>
      <w:r>
        <w:rPr>
          <w:b/>
          <w:bCs/>
        </w:rPr>
        <w:t xml:space="preserve">Source</w:t>
      </w:r>
      <w:r>
        <w:t xml:space="preserve">:</w:t>
      </w:r>
      <w:r>
        <w:t xml:space="preserve"> </w:t>
      </w:r>
      <w:r>
        <w:rPr>
          <w:rStyle w:val="VerbatimChar"/>
        </w:rPr>
        <w:t xml:space="preserve">data/mp_shocks_acosta.xlsx</w:t>
      </w:r>
    </w:p>
    <w:p>
      <w:pPr>
        <w:pStyle w:val="BodyText"/>
      </w:pPr>
      <w:r>
        <w:t xml:space="preserve">The v6.1 pipeline uses Acosta et al. (2024) high-frequency identified shocks, which provide:</w:t>
      </w:r>
    </w:p>
    <w:p>
      <w:pPr>
        <w:pStyle w:val="Compact"/>
        <w:numPr>
          <w:ilvl w:val="0"/>
          <w:numId w:val="1004"/>
        </w:numPr>
      </w:pPr>
      <w:r>
        <w:rPr>
          <w:b/>
          <w:bCs/>
        </w:rPr>
        <w:t xml:space="preserve">Target surprise</w:t>
      </w:r>
      <w:r>
        <w:t xml:space="preserve"> </w:t>
      </w:r>
      <w:r>
        <w:t xml:space="preserve">(</w:t>
      </w:r>
      <w:r>
        <w:rPr>
          <w:rStyle w:val="VerbatimChar"/>
        </w:rPr>
        <w:t xml:space="preserve">target</w:t>
      </w:r>
      <w:r>
        <w:t xml:space="preserve">): The unexpected component of the rate decision, identified from Fed Funds futures price changes in a narrow window around the FOMC announcement</w:t>
      </w:r>
    </w:p>
    <w:p>
      <w:pPr>
        <w:pStyle w:val="Compact"/>
        <w:numPr>
          <w:ilvl w:val="0"/>
          <w:numId w:val="1004"/>
        </w:numPr>
      </w:pPr>
      <w:r>
        <w:rPr>
          <w:b/>
          <w:bCs/>
        </w:rPr>
        <w:t xml:space="preserve">Path factor</w:t>
      </w:r>
      <w:r>
        <w:t xml:space="preserve"> </w:t>
      </w:r>
      <w:r>
        <w:t xml:space="preserve">(</w:t>
      </w:r>
      <w:r>
        <w:rPr>
          <w:rStyle w:val="VerbatimChar"/>
        </w:rPr>
        <w:t xml:space="preserve">path</w:t>
      </w:r>
      <w:r>
        <w:t xml:space="preserve">): The change in expected future rate path beyond the current meeting, identified from Eurodollar futures</w:t>
      </w:r>
    </w:p>
    <w:p>
      <w:pPr>
        <w:pStyle w:val="FirstParagraph"/>
      </w:pPr>
      <w:r>
        <w:t xml:space="preserve">These replace the naive proxy (Δr) used in earlier versions (v1–v4), which was zero for all unchanged-rate meetings and severely attenuated regression coefficients.</w:t>
      </w:r>
    </w:p>
    <w:bookmarkEnd w:id="36"/>
    <w:bookmarkStart w:id="37" w:name="naive-proxy-legacy-v1v4"/>
    <w:p>
      <w:pPr>
        <w:pStyle w:val="Heading3"/>
      </w:pPr>
      <w:r>
        <w:t xml:space="preserve">4.2 Naive Proxy (Legacy, v1–v4)</w:t>
      </w:r>
    </w:p>
    <w:p>
      <w:pPr>
        <w:pStyle w:val="FirstParagraph"/>
      </w:pPr>
      <m:oMathPara>
        <m:oMathParaPr>
          <m:jc m:val="center"/>
        </m:oMathParaPr>
        <m:oMath>
          <m:sSub>
            <m:e>
              <m:r>
                <m:rPr>
                  <m:nor/>
                  <m:sty m:val="p"/>
                </m:rPr>
                <m:t>Surprise</m:t>
              </m:r>
            </m:e>
            <m:sub>
              <m:r>
                <m:t>t</m:t>
              </m:r>
            </m:sub>
          </m:sSub>
          <m:r>
            <m:rPr>
              <m:sty m:val="p"/>
            </m:rPr>
            <m:t>=</m:t>
          </m:r>
          <m:r>
            <m:t>Δ</m:t>
          </m:r>
          <m:sSub>
            <m:e>
              <m:r>
                <m:t>r</m:t>
              </m:r>
            </m:e>
            <m:sub>
              <m:r>
                <m:t>t</m:t>
              </m:r>
            </m:sub>
          </m:sSub>
          <m:r>
            <m:rPr>
              <m:sty m:val="p"/>
            </m:rPr>
            <m:t>=</m:t>
          </m:r>
          <m:sSubSup>
            <m:e>
              <m:r>
                <m:t>r</m:t>
              </m:r>
            </m:e>
            <m:sub>
              <m:r>
                <m:t>t</m:t>
              </m:r>
            </m:sub>
            <m:sup>
              <m:r>
                <m:rPr>
                  <m:nor/>
                  <m:sty m:val="p"/>
                </m:rPr>
                <m:t>after</m:t>
              </m:r>
            </m:sup>
          </m:sSubSup>
          <m:r>
            <m:rPr>
              <m:sty m:val="p"/>
            </m:rPr>
            <m:t>−</m:t>
          </m:r>
          <m:sSubSup>
            <m:e>
              <m:r>
                <m:t>r</m:t>
              </m:r>
            </m:e>
            <m:sub>
              <m:r>
                <m:t>t</m:t>
              </m:r>
            </m:sub>
            <m:sup>
              <m:r>
                <m:rPr>
                  <m:nor/>
                  <m:sty m:val="p"/>
                </m:rPr>
                <m:t>before</m:t>
              </m:r>
            </m:sup>
          </m:sSubSup>
        </m:oMath>
      </m:oMathPara>
    </w:p>
    <w:p>
      <w:pPr>
        <w:pStyle w:val="FirstParagraph"/>
      </w:pPr>
      <w:r>
        <w:t xml:space="preserve">where</w:t>
      </w:r>
      <w:r>
        <w:t xml:space="preserve"> </w:t>
      </w:r>
      <m:oMath>
        <m:sSub>
          <m:e>
            <m:r>
              <m:t>r</m:t>
            </m:r>
          </m:e>
          <m:sub>
            <m:r>
              <m:t>t</m:t>
            </m:r>
          </m:sub>
        </m:sSub>
      </m:oMath>
      <w:r>
        <w:t xml:space="preserve"> </w:t>
      </w:r>
      <w:r>
        <w:t xml:space="preserve">is the Federal Funds target rate. This is a</w:t>
      </w:r>
      <w:r>
        <w:t xml:space="preserve"> </w:t>
      </w:r>
      <w:r>
        <w:rPr>
          <w:b/>
          <w:bCs/>
        </w:rPr>
        <w:t xml:space="preserve">naive proxy</w:t>
      </w:r>
      <w:r>
        <w:t xml:space="preserve"> </w:t>
      </w:r>
      <w:r>
        <w:t xml:space="preserve">— it equals zero for all</w:t>
      </w:r>
      <w:r>
        <w:t xml:space="preserve"> </w:t>
      </w:r>
      <w:r>
        <w:t xml:space="preserve">“</w:t>
      </w:r>
      <w:r>
        <w:t xml:space="preserve">unchanged</w:t>
      </w:r>
      <w:r>
        <w:t xml:space="preserve">”</w:t>
      </w:r>
      <w:r>
        <w:t xml:space="preserve"> </w:t>
      </w:r>
      <w:r>
        <w:t xml:space="preserve">meetings, which constitute the majority of the sample.</w:t>
      </w:r>
    </w:p>
    <w:bookmarkEnd w:id="37"/>
    <w:bookmarkStart w:id="38" w:name="target-implementation-kuttner-2001"/>
    <w:p>
      <w:pPr>
        <w:pStyle w:val="Heading3"/>
      </w:pPr>
      <w:r>
        <w:t xml:space="preserve">4.3 Target Implementation: Kuttner (2001)</w:t>
      </w:r>
    </w:p>
    <w:p>
      <w:pPr>
        <w:pStyle w:val="FirstParagraph"/>
      </w:pPr>
      <w:r>
        <w:t xml:space="preserve">Once WRDS is operational, the correct surprise measure is:</w:t>
      </w:r>
    </w:p>
    <w:p>
      <w:pPr>
        <w:pStyle w:val="BodyText"/>
      </w:pPr>
      <m:oMathPara>
        <m:oMathParaPr>
          <m:jc m:val="center"/>
        </m:oMathParaPr>
        <m:oMath>
          <m:sSub>
            <m:e>
              <m:r>
                <m:rPr>
                  <m:nor/>
                  <m:sty m:val="p"/>
                </m:rPr>
                <m:t>Target Surprise</m:t>
              </m:r>
            </m:e>
            <m:sub>
              <m:r>
                <m:t>t</m:t>
              </m:r>
            </m:sub>
          </m:sSub>
          <m:r>
            <m:rPr>
              <m:sty m:val="p"/>
            </m:rPr>
            <m:t>=</m:t>
          </m:r>
          <m:f>
            <m:fPr>
              <m:type m:val="bar"/>
            </m:fPr>
            <m:num>
              <m:sSubSup>
                <m:e>
                  <m:r>
                    <m:t>F</m:t>
                  </m:r>
                </m:e>
                <m:sub>
                  <m:r>
                    <m:t>t</m:t>
                  </m:r>
                </m:sub>
                <m:sup>
                  <m:r>
                    <m:rPr>
                      <m:nor/>
                      <m:sty m:val="p"/>
                    </m:rPr>
                    <m:t>close</m:t>
                  </m:r>
                </m:sup>
              </m:sSubSup>
              <m:r>
                <m:rPr>
                  <m:sty m:val="p"/>
                </m:rPr>
                <m:t>−</m:t>
              </m:r>
              <m:sSubSup>
                <m:e>
                  <m:r>
                    <m:t>F</m:t>
                  </m:r>
                </m:e>
                <m:sub>
                  <m:r>
                    <m:t>t</m:t>
                  </m:r>
                  <m:r>
                    <m:rPr>
                      <m:sty m:val="p"/>
                    </m:rPr>
                    <m:t>−</m:t>
                  </m:r>
                  <m:r>
                    <m:t>1</m:t>
                  </m:r>
                </m:sub>
                <m:sup>
                  <m:r>
                    <m:rPr>
                      <m:nor/>
                      <m:sty m:val="p"/>
                    </m:rPr>
                    <m:t>close</m:t>
                  </m:r>
                </m:sup>
              </m:sSubSup>
            </m:num>
            <m:den>
              <m:r>
                <m:t>1</m:t>
              </m:r>
              <m:r>
                <m:rPr>
                  <m:sty m:val="p"/>
                </m:rPr>
                <m:t>−</m:t>
              </m:r>
              <m:r>
                <m:t>D</m:t>
              </m:r>
              <m:r>
                <m:rPr>
                  <m:sty m:val="p"/>
                </m:rPr>
                <m:t>⋅</m:t>
              </m:r>
              <m:sSubSup>
                <m:e>
                  <m:r>
                    <m:t>F</m:t>
                  </m:r>
                </m:e>
                <m:sub>
                  <m:r>
                    <m:t>t</m:t>
                  </m:r>
                </m:sub>
                <m:sup>
                  <m:r>
                    <m:rPr>
                      <m:nor/>
                      <m:sty m:val="p"/>
                    </m:rPr>
                    <m:t>close</m:t>
                  </m:r>
                </m:sup>
              </m:sSubSup>
              <m:r>
                <m:rPr>
                  <m:sty m:val="p"/>
                </m:rPr>
                <m:t>/</m:t>
              </m:r>
              <m:r>
                <m:t>100</m:t>
              </m:r>
            </m:den>
          </m:f>
        </m:oMath>
      </m:oMathPara>
    </w:p>
    <w:p>
      <w:pPr>
        <w:pStyle w:val="FirstParagraph"/>
      </w:pPr>
      <w:r>
        <w:t xml:space="preserve">where:</w:t>
      </w:r>
      <w:r>
        <w:t xml:space="preserve"> </w:t>
      </w:r>
      <w:r>
        <w:t xml:space="preserve">-</w:t>
      </w:r>
      <w:r>
        <w:t xml:space="preserve"> </w:t>
      </w:r>
      <m:oMath>
        <m:sSubSup>
          <m:e>
            <m:r>
              <m:t>F</m:t>
            </m:r>
          </m:e>
          <m:sub>
            <m:r>
              <m:t>t</m:t>
            </m:r>
          </m:sub>
          <m:sup>
            <m:r>
              <m:rPr>
                <m:nor/>
                <m:sty m:val="p"/>
              </m:rPr>
              <m:t>close</m:t>
            </m:r>
          </m:sup>
        </m:sSubSup>
      </m:oMath>
      <w:r>
        <w:t xml:space="preserve"> </w:t>
      </w:r>
      <w:r>
        <w:t xml:space="preserve">= settlement price of the current-month Fed Funds futures contract on FOMC day</w:t>
      </w:r>
      <w:r>
        <w:t xml:space="preserve"> </w:t>
      </w:r>
      <w:r>
        <w:t xml:space="preserve">-</w:t>
      </w:r>
      <w:r>
        <w:t xml:space="preserve"> </w:t>
      </w:r>
      <m:oMath>
        <m:sSubSup>
          <m:e>
            <m:r>
              <m:t>F</m:t>
            </m:r>
          </m:e>
          <m:sub>
            <m:r>
              <m:t>t</m:t>
            </m:r>
            <m:r>
              <m:rPr>
                <m:sty m:val="p"/>
              </m:rPr>
              <m:t>−</m:t>
            </m:r>
            <m:r>
              <m:t>1</m:t>
            </m:r>
          </m:sub>
          <m:sup>
            <m:r>
              <m:rPr>
                <m:nor/>
                <m:sty m:val="p"/>
              </m:rPr>
              <m:t>close</m:t>
            </m:r>
          </m:sup>
        </m:sSubSup>
      </m:oMath>
      <w:r>
        <w:t xml:space="preserve"> </w:t>
      </w:r>
      <w:r>
        <w:t xml:space="preserve">= same contract’s settlement price on the day before</w:t>
      </w:r>
      <w:r>
        <w:t xml:space="preserve"> </w:t>
      </w:r>
      <w:r>
        <w:t xml:space="preserve">-</w:t>
      </w:r>
      <w:r>
        <w:t xml:space="preserve"> </w:t>
      </w:r>
      <m:oMath>
        <m:r>
          <m:t>D</m:t>
        </m:r>
      </m:oMath>
      <w:r>
        <w:t xml:space="preserve"> </w:t>
      </w:r>
      <w:r>
        <w:t xml:space="preserve">= day-of-month (scaling factor for within-month timing)</w:t>
      </w:r>
    </w:p>
    <w:p>
      <w:pPr>
        <w:pStyle w:val="BodyText"/>
      </w:pPr>
      <w:r>
        <w:t xml:space="preserve">For scheduled meetings, this captures the</w:t>
      </w:r>
      <w:r>
        <w:t xml:space="preserve"> </w:t>
      </w:r>
      <w:r>
        <w:rPr>
          <w:b/>
          <w:bCs/>
        </w:rPr>
        <w:t xml:space="preserve">unexpected component</w:t>
      </w:r>
      <w:r>
        <w:t xml:space="preserve"> </w:t>
      </w:r>
      <w:r>
        <w:t xml:space="preserve">of the rate decision.</w:t>
      </w:r>
    </w:p>
    <w:bookmarkEnd w:id="38"/>
    <w:bookmarkStart w:id="39" w:name="path-factor-gürkaynak-et-al.-2005"/>
    <w:p>
      <w:pPr>
        <w:pStyle w:val="Heading3"/>
      </w:pPr>
      <w:r>
        <w:t xml:space="preserve">4.4 Path Factor: Gürkaynak et al. (2005)</w:t>
      </w:r>
    </w:p>
    <w:p>
      <w:pPr>
        <w:pStyle w:val="FirstParagraph"/>
      </w:pPr>
      <m:oMathPara>
        <m:oMathParaPr>
          <m:jc m:val="center"/>
        </m:oMathParaPr>
        <m:oMath>
          <m:sSub>
            <m:e>
              <m:r>
                <m:rPr>
                  <m:nor/>
                  <m:sty m:val="p"/>
                </m:rPr>
                <m:t>Path Factor</m:t>
              </m:r>
            </m:e>
            <m:sub>
              <m:r>
                <m:t>t</m:t>
              </m:r>
            </m:sub>
          </m:sSub>
          <m:r>
            <m:rPr>
              <m:sty m:val="p"/>
            </m:rPr>
            <m:t>=</m:t>
          </m:r>
          <m:sSubSup>
            <m:e>
              <m:r>
                <m:rPr>
                  <m:nor/>
                  <m:sty m:val="p"/>
                </m:rPr>
                <m:t>Surprise</m:t>
              </m:r>
            </m:e>
            <m:sub>
              <m:r>
                <m:t>t</m:t>
              </m:r>
            </m:sub>
            <m:sup>
              <m:r>
                <m:rPr>
                  <m:nor/>
                  <m:sty m:val="p"/>
                </m:rPr>
                <m:t>ED2</m:t>
              </m:r>
            </m:sup>
          </m:sSubSup>
          <m:r>
            <m:rPr>
              <m:sty m:val="p"/>
            </m:rPr>
            <m:t>−</m:t>
          </m:r>
          <m:sSubSup>
            <m:e>
              <m:r>
                <m:rPr>
                  <m:nor/>
                  <m:sty m:val="p"/>
                </m:rPr>
                <m:t>Surprise</m:t>
              </m:r>
            </m:e>
            <m:sub>
              <m:r>
                <m:t>t</m:t>
              </m:r>
            </m:sub>
            <m:sup>
              <m:r>
                <m:rPr>
                  <m:nor/>
                  <m:sty m:val="p"/>
                </m:rPr>
                <m:t>ED1</m:t>
              </m:r>
            </m:sup>
          </m:sSubSup>
        </m:oMath>
      </m:oMathPara>
    </w:p>
    <w:p>
      <w:pPr>
        <w:pStyle w:val="FirstParagraph"/>
      </w:pPr>
      <w:r>
        <w:t xml:space="preserve">where</w:t>
      </w:r>
      <w:r>
        <w:t xml:space="preserve"> </w:t>
      </w:r>
      <m:oMath>
        <m:r>
          <m:rPr>
            <m:nor/>
            <m:sty m:val="p"/>
          </m:rPr>
          <m:t>ED1</m:t>
        </m:r>
      </m:oMath>
      <w:r>
        <w:t xml:space="preserve">,</w:t>
      </w:r>
      <w:r>
        <w:t xml:space="preserve"> </w:t>
      </w:r>
      <m:oMath>
        <m:r>
          <m:rPr>
            <m:nor/>
            <m:sty m:val="p"/>
          </m:rPr>
          <m:t>ED2</m:t>
        </m:r>
      </m:oMath>
      <w:r>
        <w:t xml:space="preserve"> </w:t>
      </w:r>
      <w:r>
        <w:t xml:space="preserve">are the first and second Eurodollar futures surprises. This captures</w:t>
      </w:r>
      <w:r>
        <w:t xml:space="preserve"> </w:t>
      </w:r>
      <w:r>
        <w:rPr>
          <w:b/>
          <w:bCs/>
        </w:rPr>
        <w:t xml:space="preserve">forward guidance</w:t>
      </w:r>
      <w:r>
        <w:t xml:space="preserve"> </w:t>
      </w:r>
      <w:r>
        <w:t xml:space="preserve">— changes in expected future rate path beyond the current meeting.</w:t>
      </w:r>
    </w:p>
    <w:p>
      <w:r>
        <w:pict>
          <v:rect style="width:0;height:1.5pt" o:hralign="center" o:hrstd="t" o:hr="t"/>
        </w:pict>
      </w:r>
    </w:p>
    <w:bookmarkEnd w:id="39"/>
    <w:bookmarkEnd w:id="40"/>
    <w:bookmarkStart w:id="46" w:name="hypothesis-testing-framework"/>
    <w:p>
      <w:pPr>
        <w:pStyle w:val="Heading2"/>
      </w:pPr>
      <w:r>
        <w:t xml:space="preserve">5. Hypothesis Testing Framework</w:t>
      </w:r>
    </w:p>
    <w:bookmarkStart w:id="41" w:name="h1-sentiment-surprise"/>
    <w:p>
      <w:pPr>
        <w:pStyle w:val="Heading3"/>
      </w:pPr>
      <w:r>
        <w:t xml:space="preserve">5.1 H1: Sentiment ↔ Surprise</w:t>
      </w:r>
    </w:p>
    <w:p>
      <w:pPr>
        <w:pStyle w:val="FirstParagraph"/>
      </w:pPr>
      <w:r>
        <w:rPr>
          <w:b/>
          <w:bCs/>
        </w:rPr>
        <w:t xml:space="preserve">Test</w:t>
      </w:r>
      <w:r>
        <w:t xml:space="preserve">: Does FOMC statement sentiment respond to monetary policy surprises?</w:t>
      </w:r>
    </w:p>
    <w:p>
      <w:pPr>
        <w:pStyle w:val="BodyText"/>
      </w:pPr>
      <m:oMathPara>
        <m:oMathParaPr>
          <m:jc m:val="center"/>
        </m:oMathParaPr>
        <m:oMath>
          <m:sSub>
            <m:e>
              <m:r>
                <m:rPr>
                  <m:nor/>
                  <m:sty m:val="p"/>
                </m:rPr>
                <m:t>Sentiment</m:t>
              </m:r>
            </m:e>
            <m:sub>
              <m:r>
                <m:t>t</m:t>
              </m:r>
            </m:sub>
          </m:sSub>
          <m:r>
            <m:rPr>
              <m:sty m:val="p"/>
            </m:rPr>
            <m:t>=</m:t>
          </m:r>
          <m:r>
            <m:t>α</m:t>
          </m:r>
          <m:r>
            <m:rPr>
              <m:sty m:val="p"/>
            </m:rPr>
            <m:t>+</m:t>
          </m:r>
          <m:sSub>
            <m:e>
              <m:r>
                <m:t>β</m:t>
              </m:r>
            </m:e>
            <m:sub>
              <m:r>
                <m:t>1</m:t>
              </m:r>
            </m:sub>
          </m:sSub>
          <m:r>
            <m:rPr>
              <m:sty m:val="p"/>
            </m:rPr>
            <m:t>⋅</m:t>
          </m:r>
          <m:sSub>
            <m:e>
              <m:r>
                <m:rPr>
                  <m:nor/>
                  <m:sty m:val="p"/>
                </m:rPr>
                <m:t>Target Surprise</m:t>
              </m:r>
            </m:e>
            <m:sub>
              <m:r>
                <m:t>t</m:t>
              </m:r>
            </m:sub>
          </m:sSub>
          <m:r>
            <m:rPr>
              <m:sty m:val="p"/>
            </m:rPr>
            <m:t>+</m:t>
          </m:r>
          <m:sSub>
            <m:e>
              <m:r>
                <m:t>β</m:t>
              </m:r>
            </m:e>
            <m:sub>
              <m:r>
                <m:t>2</m:t>
              </m:r>
            </m:sub>
          </m:sSub>
          <m:r>
            <m:rPr>
              <m:sty m:val="p"/>
            </m:rPr>
            <m:t>⋅</m:t>
          </m:r>
          <m:sSub>
            <m:e>
              <m:r>
                <m:rPr>
                  <m:nor/>
                  <m:sty m:val="p"/>
                </m:rPr>
                <m:t>Path Factor</m:t>
              </m:r>
            </m:e>
            <m:sub>
              <m:r>
                <m:t>t</m:t>
              </m:r>
            </m:sub>
          </m:sSub>
          <m:r>
            <m:rPr>
              <m:sty m:val="p"/>
            </m:rPr>
            <m:t>+</m:t>
          </m:r>
          <m:sSub>
            <m:e>
              <m:r>
                <m:t>ε</m:t>
              </m:r>
            </m:e>
            <m:sub>
              <m:r>
                <m:t>t</m:t>
              </m:r>
            </m:sub>
          </m:sSub>
        </m:oMath>
      </m:oMathPara>
    </w:p>
    <w:p>
      <w:pPr>
        <w:pStyle w:val="FirstParagraph"/>
      </w:pPr>
      <w:r>
        <w:rPr>
          <w:b/>
          <w:bCs/>
        </w:rPr>
        <w:t xml:space="preserve">Method</w:t>
      </w:r>
      <w:r>
        <w:t xml:space="preserve">: OLS with Newey-West HAC standard errors (lag = 1)</w:t>
      </w:r>
    </w:p>
    <w:p>
      <w:pPr>
        <w:pStyle w:val="BodyText"/>
      </w:pPr>
      <w:r>
        <w:rPr>
          <w:b/>
          <w:bCs/>
        </w:rPr>
        <w:t xml:space="preserve">Current result (v6.1)</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center"/>
            </w:pPr>
            <w:r>
              <w:t xml:space="preserve">Value</w:t>
            </w:r>
          </w:p>
        </w:tc>
      </w:tr>
      <w:tr>
        <w:tc>
          <w:tcPr/>
          <w:p>
            <w:pPr>
              <w:pStyle w:val="Compact"/>
              <w:jc w:val="left"/>
            </w:pPr>
            <w:r>
              <w:t xml:space="preserve">R²</w:t>
            </w:r>
          </w:p>
        </w:tc>
        <w:tc>
          <w:tcPr/>
          <w:p>
            <w:pPr>
              <w:pStyle w:val="Compact"/>
              <w:jc w:val="center"/>
            </w:pPr>
            <w:r>
              <w:t xml:space="preserve">0.0406</w:t>
            </w:r>
          </w:p>
        </w:tc>
      </w:tr>
      <w:tr>
        <w:tc>
          <w:tcPr/>
          <w:p>
            <w:pPr>
              <w:pStyle w:val="Compact"/>
              <w:jc w:val="left"/>
            </w:pPr>
            <w:r>
              <w:t xml:space="preserve">β₁ (target)</w:t>
            </w:r>
          </w:p>
        </w:tc>
        <w:tc>
          <w:tcPr/>
          <w:p>
            <w:pPr>
              <w:pStyle w:val="Compact"/>
              <w:jc w:val="center"/>
            </w:pPr>
            <w:r>
              <w:t xml:space="preserve">0.000290</w:t>
            </w:r>
          </w:p>
        </w:tc>
      </w:tr>
      <w:tr>
        <w:tc>
          <w:tcPr/>
          <w:p>
            <w:pPr>
              <w:pStyle w:val="Compact"/>
              <w:jc w:val="left"/>
            </w:pPr>
            <w:r>
              <w:t xml:space="preserve">p(target)</w:t>
            </w:r>
          </w:p>
        </w:tc>
        <w:tc>
          <w:tcPr/>
          <w:p>
            <w:pPr>
              <w:pStyle w:val="Compact"/>
              <w:jc w:val="center"/>
            </w:pPr>
            <w:r>
              <w:t xml:space="preserve">0.062*</w:t>
            </w:r>
          </w:p>
        </w:tc>
      </w:tr>
      <w:tr>
        <w:tc>
          <w:tcPr/>
          <w:p>
            <w:pPr>
              <w:pStyle w:val="Compact"/>
              <w:jc w:val="left"/>
            </w:pPr>
            <w:r>
              <w:t xml:space="preserve">β₂ (path)</w:t>
            </w:r>
          </w:p>
        </w:tc>
        <w:tc>
          <w:tcPr/>
          <w:p>
            <w:pPr>
              <w:pStyle w:val="Compact"/>
              <w:jc w:val="center"/>
            </w:pPr>
            <w:r>
              <w:t xml:space="preserve">0.000469</w:t>
            </w:r>
          </w:p>
        </w:tc>
      </w:tr>
      <w:tr>
        <w:tc>
          <w:tcPr/>
          <w:p>
            <w:pPr>
              <w:pStyle w:val="Compact"/>
              <w:jc w:val="left"/>
            </w:pPr>
            <w:r>
              <w:t xml:space="preserve">p(path)</w:t>
            </w:r>
          </w:p>
        </w:tc>
        <w:tc>
          <w:tcPr/>
          <w:p>
            <w:pPr>
              <w:pStyle w:val="Compact"/>
              <w:jc w:val="center"/>
            </w:pPr>
            <w:r>
              <w:t xml:space="preserve">0.047**</w:t>
            </w:r>
          </w:p>
        </w:tc>
      </w:tr>
      <w:tr>
        <w:tc>
          <w:tcPr/>
          <w:p>
            <w:pPr>
              <w:pStyle w:val="Compact"/>
              <w:jc w:val="left"/>
            </w:pPr>
            <w:r>
              <w:t xml:space="preserve">N</w:t>
            </w:r>
          </w:p>
        </w:tc>
        <w:tc>
          <w:tcPr/>
          <w:p>
            <w:pPr>
              <w:pStyle w:val="Compact"/>
              <w:jc w:val="center"/>
            </w:pPr>
            <w:r>
              <w:t xml:space="preserve">117</w:t>
            </w:r>
          </w:p>
        </w:tc>
      </w:tr>
      <w:tr>
        <w:tc>
          <w:tcPr/>
          <w:p>
            <w:pPr>
              <w:pStyle w:val="Compact"/>
              <w:jc w:val="left"/>
            </w:pPr>
            <w:r>
              <w:t xml:space="preserve">Period</w:t>
            </w:r>
          </w:p>
        </w:tc>
        <w:tc>
          <w:tcPr/>
          <w:p>
            <w:pPr>
              <w:pStyle w:val="Compact"/>
              <w:jc w:val="center"/>
            </w:pPr>
            <w:r>
              <w:t xml:space="preserve">2006-01-31 to 2022-07-27</w:t>
            </w:r>
          </w:p>
        </w:tc>
      </w:tr>
    </w:tbl>
    <w:p>
      <w:pPr>
        <w:pStyle w:val="BodyText"/>
      </w:pPr>
      <w:r>
        <w:t xml:space="preserve">*Significance: *** p&lt;0.01, ** p&lt;0.05, * p&lt;0.10</w:t>
      </w:r>
    </w:p>
    <w:p>
      <w:pPr>
        <w:pStyle w:val="BodyText"/>
      </w:pPr>
      <w:r>
        <w:rPr>
          <w:b/>
          <w:bCs/>
        </w:rPr>
        <w:t xml:space="preserve">Interpretation</w:t>
      </w:r>
      <w:r>
        <w:t xml:space="preserve">: Both target and path shocks are marginally significant predictors of FOMC statement sentiment. The path factor (forward guidance) is significant at 5%, while the target surprise is significant at 10%. This is consistent with the view that FOMC statement language responds to both the current rate decision and the expected future path.</w:t>
      </w:r>
    </w:p>
    <w:p>
      <w:pPr>
        <w:pStyle w:val="BodyText"/>
      </w:pPr>
      <w:r>
        <w:rPr>
          <w:b/>
          <w:bCs/>
        </w:rPr>
        <w:t xml:space="preserve">Comparison with literature</w:t>
      </w:r>
      <w:r>
        <w:t xml:space="preserve">: R² = 4.06% is substantially higher than the v4 result (0.39% with naive proxy) but still below the literature benchmark (~2.76% in Gürkaynak et al. 2005 for asset returns). The improvement is driven by (1) using market-based surprises instead of Δr, and (2) the enhanced CB dictionary with fixed overlap.</w:t>
      </w:r>
    </w:p>
    <w:p>
      <w:pPr>
        <w:pStyle w:val="BodyText"/>
      </w:pPr>
      <w:r>
        <w:rPr>
          <w:b/>
          <w:bCs/>
        </w:rPr>
        <w:t xml:space="preserve">Newey-West lag choice</w:t>
      </w:r>
      <w:r>
        <w:t xml:space="preserve">: We use lag = 1, which is conservative. The standard Bartlett formula suggests lag ≈ 4 for T = 117, but FOMC meetings are irregularly spaced (6–8 per year), making the autocorrelation structure different from daily data. Lag = 1 is defensible for event-time data but may understate standard errors. This is documented as a limitation.</w:t>
      </w:r>
    </w:p>
    <w:bookmarkEnd w:id="41"/>
    <w:bookmarkStart w:id="42" w:name="h2-asset-return-response-to-shocks"/>
    <w:p>
      <w:pPr>
        <w:pStyle w:val="Heading3"/>
      </w:pPr>
      <w:r>
        <w:t xml:space="preserve">5.2 H2: Asset Return Response to Shocks</w:t>
      </w:r>
    </w:p>
    <w:p>
      <w:pPr>
        <w:pStyle w:val="FirstParagraph"/>
      </w:pPr>
      <w:r>
        <w:rPr>
          <w:b/>
          <w:bCs/>
        </w:rPr>
        <w:t xml:space="preserve">Test</w:t>
      </w:r>
      <w:r>
        <w:t xml:space="preserve">: How do asset returns respond to target and path surprises?</w:t>
      </w:r>
    </w:p>
    <w:p>
      <w:pPr>
        <w:pStyle w:val="BodyText"/>
      </w:pPr>
      <m:oMathPara>
        <m:oMathParaPr>
          <m:jc m:val="center"/>
        </m:oMathParaPr>
        <m:oMath>
          <m:sSub>
            <m:e>
              <m:r>
                <m:t>R</m:t>
              </m:r>
            </m:e>
            <m:sub>
              <m:r>
                <m:t>i</m:t>
              </m:r>
              <m:r>
                <m:rPr>
                  <m:sty m:val="p"/>
                </m:rPr>
                <m:t>,</m:t>
              </m:r>
              <m:r>
                <m:t>t</m:t>
              </m:r>
            </m:sub>
          </m:sSub>
          <m:r>
            <m:rPr>
              <m:sty m:val="p"/>
            </m:rPr>
            <m:t>=</m:t>
          </m:r>
          <m:r>
            <m:t>α</m:t>
          </m:r>
          <m:r>
            <m:rPr>
              <m:sty m:val="p"/>
            </m:rPr>
            <m:t>+</m:t>
          </m:r>
          <m:sSub>
            <m:e>
              <m:r>
                <m:t>β</m:t>
              </m:r>
            </m:e>
            <m:sub>
              <m:r>
                <m:t>1</m:t>
              </m:r>
            </m:sub>
          </m:sSub>
          <m:r>
            <m:rPr>
              <m:sty m:val="p"/>
            </m:rPr>
            <m:t>⋅</m:t>
          </m:r>
          <m:sSub>
            <m:e>
              <m:r>
                <m:rPr>
                  <m:nor/>
                  <m:sty m:val="p"/>
                </m:rPr>
                <m:t>Target Surprise</m:t>
              </m:r>
            </m:e>
            <m:sub>
              <m:r>
                <m:t>t</m:t>
              </m:r>
            </m:sub>
          </m:sSub>
          <m:r>
            <m:rPr>
              <m:sty m:val="p"/>
            </m:rPr>
            <m:t>+</m:t>
          </m:r>
          <m:sSub>
            <m:e>
              <m:r>
                <m:t>β</m:t>
              </m:r>
            </m:e>
            <m:sub>
              <m:r>
                <m:t>2</m:t>
              </m:r>
            </m:sub>
          </m:sSub>
          <m:r>
            <m:rPr>
              <m:sty m:val="p"/>
            </m:rPr>
            <m:t>⋅</m:t>
          </m:r>
          <m:sSub>
            <m:e>
              <m:r>
                <m:rPr>
                  <m:nor/>
                  <m:sty m:val="p"/>
                </m:rPr>
                <m:t>Path Factor</m:t>
              </m:r>
            </m:e>
            <m:sub>
              <m:r>
                <m:t>t</m:t>
              </m:r>
            </m:sub>
          </m:sSub>
          <m:r>
            <m:rPr>
              <m:sty m:val="p"/>
            </m:rPr>
            <m:t>+</m:t>
          </m:r>
          <m:sSub>
            <m:e>
              <m:r>
                <m:t>ε</m:t>
              </m:r>
            </m:e>
            <m:sub>
              <m:r>
                <m:t>t</m:t>
              </m:r>
            </m:sub>
          </m:sSub>
        </m:oMath>
      </m:oMathPara>
    </w:p>
    <w:p>
      <w:pPr>
        <w:pStyle w:val="FirstParagraph"/>
      </w:pPr>
      <w:r>
        <w:rPr>
          <w:b/>
          <w:bCs/>
        </w:rPr>
        <w:t xml:space="preserve">Current results (v6.1)</w:t>
      </w:r>
      <w:r>
        <w:t xml:space="preserv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Asset</w:t>
            </w:r>
          </w:p>
        </w:tc>
        <w:tc>
          <w:tcPr/>
          <w:p>
            <w:pPr>
              <w:pStyle w:val="Compact"/>
              <w:jc w:val="center"/>
            </w:pPr>
            <w:r>
              <w:t xml:space="preserve">R²</w:t>
            </w:r>
          </w:p>
        </w:tc>
        <w:tc>
          <w:tcPr/>
          <w:p>
            <w:pPr>
              <w:pStyle w:val="Compact"/>
              <w:jc w:val="center"/>
            </w:pPr>
            <w:r>
              <w:t xml:space="preserve">β₁ (target)</w:t>
            </w:r>
          </w:p>
        </w:tc>
        <w:tc>
          <w:tcPr/>
          <w:p>
            <w:pPr>
              <w:pStyle w:val="Compact"/>
              <w:jc w:val="center"/>
            </w:pPr>
            <w:r>
              <w:t xml:space="preserve">p(target)</w:t>
            </w:r>
          </w:p>
        </w:tc>
        <w:tc>
          <w:tcPr/>
          <w:p>
            <w:pPr>
              <w:pStyle w:val="Compact"/>
              <w:jc w:val="center"/>
            </w:pPr>
            <w:r>
              <w:t xml:space="preserve">β₂ (path)</w:t>
            </w:r>
          </w:p>
        </w:tc>
        <w:tc>
          <w:tcPr/>
          <w:p>
            <w:pPr>
              <w:pStyle w:val="Compact"/>
              <w:jc w:val="center"/>
            </w:pPr>
            <w:r>
              <w:t xml:space="preserve">p(path)</w:t>
            </w:r>
          </w:p>
        </w:tc>
        <w:tc>
          <w:tcPr/>
          <w:p>
            <w:pPr>
              <w:pStyle w:val="Compact"/>
              <w:jc w:val="center"/>
            </w:pPr>
            <w:r>
              <w:t xml:space="preserve">N</w:t>
            </w:r>
          </w:p>
        </w:tc>
      </w:tr>
      <w:tr>
        <w:tc>
          <w:tcPr/>
          <w:p>
            <w:pPr>
              <w:pStyle w:val="Compact"/>
              <w:jc w:val="left"/>
            </w:pPr>
            <w:r>
              <w:t xml:space="preserve">S&amp;P 500</w:t>
            </w:r>
          </w:p>
        </w:tc>
        <w:tc>
          <w:tcPr/>
          <w:p>
            <w:pPr>
              <w:pStyle w:val="Compact"/>
              <w:jc w:val="center"/>
            </w:pPr>
            <w:r>
              <w:t xml:space="preserve">0.0291</w:t>
            </w:r>
          </w:p>
        </w:tc>
        <w:tc>
          <w:tcPr/>
          <w:p>
            <w:pPr>
              <w:pStyle w:val="Compact"/>
              <w:jc w:val="center"/>
            </w:pPr>
            <w:r>
              <w:t xml:space="preserve">—</w:t>
            </w:r>
          </w:p>
        </w:tc>
        <w:tc>
          <w:tcPr/>
          <w:p>
            <w:pPr>
              <w:pStyle w:val="Compact"/>
              <w:jc w:val="center"/>
            </w:pPr>
            <w:r>
              <w:t xml:space="preserve">0.100</w:t>
            </w:r>
          </w:p>
        </w:tc>
        <w:tc>
          <w:tcPr/>
          <w:p>
            <w:pPr>
              <w:pStyle w:val="Compact"/>
              <w:jc w:val="center"/>
            </w:pPr>
            <w:r>
              <w:t xml:space="preserve">—</w:t>
            </w:r>
          </w:p>
        </w:tc>
        <w:tc>
          <w:tcPr/>
          <w:p>
            <w:pPr>
              <w:pStyle w:val="Compact"/>
              <w:jc w:val="center"/>
            </w:pPr>
            <w:r>
              <w:t xml:space="preserve">0.565</w:t>
            </w:r>
          </w:p>
        </w:tc>
        <w:tc>
          <w:tcPr/>
          <w:p>
            <w:pPr>
              <w:pStyle w:val="Compact"/>
              <w:jc w:val="center"/>
            </w:pPr>
            <w:r>
              <w:t xml:space="preserve">117</w:t>
            </w:r>
          </w:p>
        </w:tc>
      </w:tr>
      <w:tr>
        <w:tc>
          <w:tcPr/>
          <w:p>
            <w:pPr>
              <w:pStyle w:val="Compact"/>
              <w:jc w:val="left"/>
            </w:pPr>
            <w:r>
              <w:t xml:space="preserve">VIX</w:t>
            </w:r>
          </w:p>
        </w:tc>
        <w:tc>
          <w:tcPr/>
          <w:p>
            <w:pPr>
              <w:pStyle w:val="Compact"/>
              <w:jc w:val="center"/>
            </w:pPr>
            <w:r>
              <w:t xml:space="preserve">0.0793</w:t>
            </w:r>
          </w:p>
        </w:tc>
        <w:tc>
          <w:tcPr/>
          <w:p>
            <w:pPr>
              <w:pStyle w:val="Compact"/>
              <w:jc w:val="center"/>
            </w:pPr>
            <w:r>
              <w:t xml:space="preserve">—</w:t>
            </w:r>
          </w:p>
        </w:tc>
        <w:tc>
          <w:tcPr/>
          <w:p>
            <w:pPr>
              <w:pStyle w:val="Compact"/>
              <w:jc w:val="center"/>
            </w:pPr>
            <w:r>
              <w:t xml:space="preserve">0.122</w:t>
            </w:r>
          </w:p>
        </w:tc>
        <w:tc>
          <w:tcPr/>
          <w:p>
            <w:pPr>
              <w:pStyle w:val="Compact"/>
              <w:jc w:val="center"/>
            </w:pPr>
            <w:r>
              <w:t xml:space="preserve">—</w:t>
            </w:r>
          </w:p>
        </w:tc>
        <w:tc>
          <w:tcPr/>
          <w:p>
            <w:pPr>
              <w:pStyle w:val="Compact"/>
              <w:jc w:val="center"/>
            </w:pPr>
            <w:r>
              <w:t xml:space="preserve">0.269</w:t>
            </w:r>
          </w:p>
        </w:tc>
        <w:tc>
          <w:tcPr/>
          <w:p>
            <w:pPr>
              <w:pStyle w:val="Compact"/>
              <w:jc w:val="center"/>
            </w:pPr>
            <w:r>
              <w:t xml:space="preserve">117</w:t>
            </w:r>
          </w:p>
        </w:tc>
      </w:tr>
      <w:tr>
        <w:tc>
          <w:tcPr/>
          <w:p>
            <w:pPr>
              <w:pStyle w:val="Compact"/>
              <w:jc w:val="left"/>
            </w:pPr>
            <w:r>
              <w:t xml:space="preserve">Rate Change</w:t>
            </w:r>
          </w:p>
        </w:tc>
        <w:tc>
          <w:tcPr/>
          <w:p>
            <w:pPr>
              <w:pStyle w:val="Compact"/>
              <w:jc w:val="center"/>
            </w:pPr>
            <w:r>
              <w:t xml:space="preserve">0.1847</w:t>
            </w:r>
          </w:p>
        </w:tc>
        <w:tc>
          <w:tcPr/>
          <w:p>
            <w:pPr>
              <w:pStyle w:val="Compact"/>
              <w:jc w:val="center"/>
            </w:pPr>
            <w:r>
              <w:t xml:space="preserve">—</w:t>
            </w:r>
          </w:p>
        </w:tc>
        <w:tc>
          <w:tcPr/>
          <w:p>
            <w:pPr>
              <w:pStyle w:val="Compact"/>
              <w:jc w:val="center"/>
            </w:pPr>
            <w:r>
              <w:t xml:space="preserve">0.067*</w:t>
            </w:r>
          </w:p>
        </w:tc>
        <w:tc>
          <w:tcPr/>
          <w:p>
            <w:pPr>
              <w:pStyle w:val="Compact"/>
              <w:jc w:val="center"/>
            </w:pPr>
            <w:r>
              <w:t xml:space="preserve">—</w:t>
            </w:r>
          </w:p>
        </w:tc>
        <w:tc>
          <w:tcPr/>
          <w:p>
            <w:pPr>
              <w:pStyle w:val="Compact"/>
              <w:jc w:val="center"/>
            </w:pPr>
            <w:r>
              <w:t xml:space="preserve">0.013**</w:t>
            </w:r>
          </w:p>
        </w:tc>
        <w:tc>
          <w:tcPr/>
          <w:p>
            <w:pPr>
              <w:pStyle w:val="Compact"/>
              <w:jc w:val="center"/>
            </w:pPr>
            <w:r>
              <w:t xml:space="preserve">117</w:t>
            </w:r>
          </w:p>
        </w:tc>
      </w:tr>
    </w:tbl>
    <w:p>
      <w:pPr>
        <w:pStyle w:val="BodyText"/>
      </w:pPr>
      <w:r>
        <w:rPr>
          <w:b/>
          <w:bCs/>
        </w:rPr>
        <w:t xml:space="preserve">Interpretation</w:t>
      </w:r>
      <w:r>
        <w:t xml:space="preserve">: The rate change regression has the highest R² (18.5%), with the path factor significant at 5%. This is expected — the path factor captures forward guidance about future rate changes. S&amp;P 500 and VIX show marginal target shock effects (p ≈ 0.10–0.12) but no path factor significance, suggesting that equity and volatility markets respond primarily to the current rate decision rather than forward guidance.</w:t>
      </w:r>
    </w:p>
    <w:p>
      <w:pPr>
        <w:pStyle w:val="BodyText"/>
      </w:pPr>
      <w:r>
        <w:rPr>
          <w:b/>
          <w:bCs/>
        </w:rPr>
        <w:t xml:space="preserve">Note</w:t>
      </w:r>
      <w:r>
        <w:t xml:space="preserve">: The asset return data in the current dataset is limited (only</w:t>
      </w:r>
      <w:r>
        <w:t xml:space="preserve"> </w:t>
      </w:r>
      <w:r>
        <w:rPr>
          <w:rStyle w:val="VerbatimChar"/>
        </w:rPr>
        <w:t xml:space="preserve">sp500_ret</w:t>
      </w:r>
      <w:r>
        <w:t xml:space="preserve"> </w:t>
      </w:r>
      <w:r>
        <w:t xml:space="preserve">and</w:t>
      </w:r>
      <w:r>
        <w:t xml:space="preserve"> </w:t>
      </w:r>
      <w:r>
        <w:rPr>
          <w:rStyle w:val="VerbatimChar"/>
        </w:rPr>
        <w:t xml:space="preserve">vix</w:t>
      </w:r>
      <w:r>
        <w:t xml:space="preserve"> </w:t>
      </w:r>
      <w:r>
        <w:t xml:space="preserve">columns are available). With WRDS CRSP data, we can expand to delisted-return-adjusted equity returns and more granular asset classes.</w:t>
      </w:r>
    </w:p>
    <w:bookmarkEnd w:id="42"/>
    <w:bookmarkStart w:id="43" w:name="h3-two-shocks-decomposition"/>
    <w:p>
      <w:pPr>
        <w:pStyle w:val="Heading3"/>
      </w:pPr>
      <w:r>
        <w:t xml:space="preserve">5.3 H3: Two-Shocks Decomposition</w:t>
      </w:r>
    </w:p>
    <w:p>
      <w:pPr>
        <w:pStyle w:val="FirstParagraph"/>
      </w:pPr>
      <w:r>
        <w:rPr>
          <w:b/>
          <w:bCs/>
        </w:rPr>
        <w:t xml:space="preserve">Test</w:t>
      </w:r>
      <w:r>
        <w:t xml:space="preserve">: Decompose the FOMC announcement effect into a</w:t>
      </w:r>
      <w:r>
        <w:t xml:space="preserve"> </w:t>
      </w:r>
      <w:r>
        <w:rPr>
          <w:b/>
          <w:bCs/>
        </w:rPr>
        <w:t xml:space="preserve">policy shock</w:t>
      </w:r>
      <w:r>
        <w:t xml:space="preserve"> </w:t>
      </w:r>
      <w:r>
        <w:t xml:space="preserve">and an</w:t>
      </w:r>
      <w:r>
        <w:t xml:space="preserve"> </w:t>
      </w:r>
      <w:r>
        <w:rPr>
          <w:b/>
          <w:bCs/>
        </w:rPr>
        <w:t xml:space="preserve">information shock</w:t>
      </w:r>
      <w:r>
        <w:t xml:space="preserve">.</w:t>
      </w:r>
    </w:p>
    <w:p>
      <w:pPr>
        <w:pStyle w:val="BodyText"/>
      </w:pPr>
      <w:r>
        <w:rPr>
          <w:b/>
          <w:bCs/>
        </w:rPr>
        <w:t xml:space="preserve">Method</w:t>
      </w:r>
      <w:r>
        <w:t xml:space="preserve"> </w:t>
      </w:r>
      <w:r>
        <w:t xml:space="preserve">(following Jarociński &amp; Karadi 2020; Nakamura &amp; Steinsson 2018):</w:t>
      </w:r>
    </w:p>
    <w:p>
      <w:pPr>
        <w:numPr>
          <w:ilvl w:val="0"/>
          <w:numId w:val="1005"/>
        </w:numPr>
      </w:pPr>
      <w:r>
        <w:rPr>
          <w:b/>
          <w:bCs/>
        </w:rPr>
        <w:t xml:space="preserve">Standardize</w:t>
      </w:r>
      <w:r>
        <w:t xml:space="preserve"> </w:t>
      </w:r>
      <w:r>
        <w:t xml:space="preserve">all variables via z-score:</w:t>
      </w:r>
    </w:p>
    <w:p>
      <w:pPr>
        <w:pStyle w:val="BodyText"/>
      </w:pPr>
      <m:oMathPara>
        <m:oMathParaPr>
          <m:jc m:val="center"/>
        </m:oMathParaPr>
        <m:oMath>
          <m:sSub>
            <m:e>
              <m:r>
                <m:t>z</m:t>
              </m:r>
            </m:e>
            <m:sub>
              <m:r>
                <m:t>t</m:t>
              </m:r>
            </m:sub>
          </m:sSub>
          <m:r>
            <m:rPr>
              <m:sty m:val="p"/>
            </m:rPr>
            <m:t>=</m:t>
          </m:r>
          <m:f>
            <m:fPr>
              <m:type m:val="bar"/>
            </m:fPr>
            <m:num>
              <m:sSub>
                <m:e>
                  <m:r>
                    <m:t>x</m:t>
                  </m:r>
                </m:e>
                <m:sub>
                  <m:r>
                    <m:t>t</m:t>
                  </m:r>
                </m:sub>
              </m:sSub>
              <m:r>
                <m:rPr>
                  <m:sty m:val="p"/>
                </m:rPr>
                <m:t>−</m:t>
              </m:r>
              <m:acc>
                <m:accPr>
                  <m:chr m:val="‾"/>
                </m:accPr>
                <m:e>
                  <m:r>
                    <m:t>x</m:t>
                  </m:r>
                </m:e>
              </m:acc>
            </m:num>
            <m:den>
              <m:sSub>
                <m:e>
                  <m:r>
                    <m:t>s</m:t>
                  </m:r>
                </m:e>
                <m:sub>
                  <m:r>
                    <m:t>x</m:t>
                  </m:r>
                </m:sub>
              </m:sSub>
            </m:den>
          </m:f>
        </m:oMath>
      </m:oMathPara>
    </w:p>
    <w:p>
      <w:pPr>
        <w:numPr>
          <w:ilvl w:val="0"/>
          <w:numId w:val="1005"/>
        </w:numPr>
      </w:pPr>
      <w:r>
        <w:rPr>
          <w:b/>
          <w:bCs/>
        </w:rPr>
        <w:t xml:space="preserve">Policy shock</w:t>
      </w:r>
      <w:r>
        <w:t xml:space="preserve"> </w:t>
      </w:r>
      <w:r>
        <w:t xml:space="preserve">= standardized rate change:</w:t>
      </w:r>
    </w:p>
    <w:p>
      <w:pPr>
        <w:pStyle w:val="BodyText"/>
      </w:pPr>
      <m:oMathPara>
        <m:oMathParaPr>
          <m:jc m:val="center"/>
        </m:oMathParaPr>
        <m:oMath>
          <m:sSub>
            <m:e>
              <m:r>
                <m:rPr>
                  <m:nor/>
                  <m:sty m:val="p"/>
                </m:rPr>
                <m:t>Policy</m:t>
              </m:r>
            </m:e>
            <m:sub>
              <m:r>
                <m:t>t</m:t>
              </m:r>
            </m:sub>
          </m:sSub>
          <m:r>
            <m:rPr>
              <m:sty m:val="p"/>
            </m:rPr>
            <m:t>=</m:t>
          </m:r>
          <m:r>
            <m:t>z</m:t>
          </m:r>
          <m:d>
            <m:dPr>
              <m:begChr m:val="("/>
              <m:endChr m:val=")"/>
              <m:sepChr m:val=""/>
              <m:grow/>
            </m:dPr>
            <m:e>
              <m:r>
                <m:t>Δ</m:t>
              </m:r>
              <m:sSub>
                <m:e>
                  <m:r>
                    <m:t>r</m:t>
                  </m:r>
                </m:e>
                <m:sub>
                  <m:r>
                    <m:t>t</m:t>
                  </m:r>
                </m:sub>
              </m:sSub>
            </m:e>
          </m:d>
        </m:oMath>
      </m:oMathPara>
    </w:p>
    <w:p>
      <w:pPr>
        <w:numPr>
          <w:ilvl w:val="0"/>
          <w:numId w:val="1005"/>
        </w:numPr>
      </w:pPr>
      <w:r>
        <w:rPr>
          <w:b/>
          <w:bCs/>
        </w:rPr>
        <w:t xml:space="preserve">Information shock</w:t>
      </w:r>
      <w:r>
        <w:t xml:space="preserve"> </w:t>
      </w:r>
      <w:r>
        <w:t xml:space="preserve">= residual from regressing surprise on rate change:</w:t>
      </w:r>
    </w:p>
    <w:p>
      <w:pPr>
        <w:pStyle w:val="BodyText"/>
      </w:pPr>
      <m:oMathPara>
        <m:oMathParaPr>
          <m:jc m:val="center"/>
        </m:oMathParaPr>
        <m:oMath>
          <m:sSub>
            <m:e>
              <m:r>
                <m:rPr>
                  <m:nor/>
                  <m:sty m:val="p"/>
                </m:rPr>
                <m:t>Info</m:t>
              </m:r>
            </m:e>
            <m:sub>
              <m:r>
                <m:t>t</m:t>
              </m:r>
            </m:sub>
          </m:sSub>
          <m:r>
            <m:rPr>
              <m:sty m:val="p"/>
            </m:rPr>
            <m:t>=</m:t>
          </m:r>
          <m:r>
            <m:t>z</m:t>
          </m:r>
          <m:d>
            <m:dPr>
              <m:begChr m:val="("/>
              <m:endChr m:val=")"/>
              <m:sepChr m:val=""/>
              <m:grow/>
            </m:dPr>
            <m:e>
              <m:sSub>
                <m:e>
                  <m:r>
                    <m:rPr>
                      <m:nor/>
                      <m:sty m:val="p"/>
                    </m:rPr>
                    <m:t>Surprise</m:t>
                  </m:r>
                </m:e>
                <m:sub>
                  <m:r>
                    <m:t>t</m:t>
                  </m:r>
                </m:sub>
              </m:sSub>
            </m:e>
          </m:d>
          <m:r>
            <m:rPr>
              <m:sty m:val="p"/>
            </m:rPr>
            <m:t>−</m:t>
          </m:r>
          <m:acc>
            <m:accPr>
              <m:chr m:val="̂"/>
            </m:accPr>
            <m:e>
              <m:r>
                <m:t>γ</m:t>
              </m:r>
            </m:e>
          </m:acc>
          <m:r>
            <m:rPr>
              <m:sty m:val="p"/>
            </m:rPr>
            <m:t>⋅</m:t>
          </m:r>
          <m:r>
            <m:t>z</m:t>
          </m:r>
          <m:d>
            <m:dPr>
              <m:begChr m:val="("/>
              <m:endChr m:val=")"/>
              <m:sepChr m:val=""/>
              <m:grow/>
            </m:dPr>
            <m:e>
              <m:r>
                <m:t>Δ</m:t>
              </m:r>
              <m:sSub>
                <m:e>
                  <m:r>
                    <m:t>r</m:t>
                  </m:r>
                </m:e>
                <m:sub>
                  <m:r>
                    <m:t>t</m:t>
                  </m:r>
                </m:sub>
              </m:sSub>
            </m:e>
          </m:d>
        </m:oMath>
      </m:oMathPara>
    </w:p>
    <w:p>
      <w:pPr>
        <w:numPr>
          <w:ilvl w:val="0"/>
          <w:numId w:val="1000"/>
        </w:numPr>
      </w:pPr>
      <w:r>
        <w:t xml:space="preserve">where</w:t>
      </w:r>
      <w:r>
        <w:t xml:space="preserve"> </w:t>
      </w:r>
      <m:oMath>
        <m:acc>
          <m:accPr>
            <m:chr m:val="̂"/>
          </m:accPr>
          <m:e>
            <m:r>
              <m:t>γ</m:t>
            </m:r>
          </m:e>
        </m:acc>
      </m:oMath>
      <w:r>
        <w:t xml:space="preserve"> </w:t>
      </w:r>
      <w:r>
        <w:t xml:space="preserve">is from OLS:</w:t>
      </w:r>
      <w:r>
        <w:t xml:space="preserve"> </w:t>
      </w:r>
      <m:oMath>
        <m:r>
          <m:t>z</m:t>
        </m:r>
        <m:d>
          <m:dPr>
            <m:begChr m:val="("/>
            <m:endChr m:val=")"/>
            <m:sepChr m:val=""/>
            <m:grow/>
          </m:dPr>
          <m:e>
            <m:r>
              <m:rPr>
                <m:nor/>
                <m:sty m:val="p"/>
              </m:rPr>
              <m:t>Surprise</m:t>
            </m:r>
          </m:e>
        </m:d>
        <m:r>
          <m:rPr>
            <m:sty m:val="p"/>
          </m:rPr>
          <m:t>=</m:t>
        </m:r>
        <m:r>
          <m:t>γ</m:t>
        </m:r>
        <m:r>
          <m:rPr>
            <m:sty m:val="p"/>
          </m:rPr>
          <m:t>⋅</m:t>
        </m:r>
        <m:r>
          <m:t>z</m:t>
        </m:r>
        <m:d>
          <m:dPr>
            <m:begChr m:val="("/>
            <m:endChr m:val=")"/>
            <m:sepChr m:val=""/>
            <m:grow/>
          </m:dPr>
          <m:e>
            <m:r>
              <m:t>Δ</m:t>
            </m:r>
            <m:r>
              <m:t>r</m:t>
            </m:r>
          </m:e>
        </m:d>
        <m:r>
          <m:rPr>
            <m:sty m:val="p"/>
          </m:rPr>
          <m:t>+</m:t>
        </m:r>
        <m:r>
          <m:t>u</m:t>
        </m:r>
      </m:oMath>
    </w:p>
    <w:p>
      <w:pPr>
        <w:numPr>
          <w:ilvl w:val="0"/>
          <w:numId w:val="1005"/>
        </w:numPr>
      </w:pPr>
      <w:r>
        <w:rPr>
          <w:b/>
          <w:bCs/>
        </w:rPr>
        <w:t xml:space="preserve">Loadings</w:t>
      </w:r>
      <w:r>
        <w:t xml:space="preserve">: Regress sentiment on each shock separately:</w:t>
      </w:r>
    </w:p>
    <w:p>
      <w:pPr>
        <w:pStyle w:val="BodyText"/>
      </w:pPr>
      <m:oMathPara>
        <m:oMathParaPr>
          <m:jc m:val="center"/>
        </m:oMathParaPr>
        <m:oMath>
          <m:sSub>
            <m:e>
              <m:r>
                <m:rPr>
                  <m:nor/>
                  <m:sty m:val="p"/>
                </m:rPr>
                <m:t>Sentiment</m:t>
              </m:r>
            </m:e>
            <m:sub>
              <m:r>
                <m:t>t</m:t>
              </m:r>
            </m:sub>
          </m:sSub>
          <m:r>
            <m:rPr>
              <m:sty m:val="p"/>
            </m:rPr>
            <m:t>=</m:t>
          </m:r>
          <m:r>
            <m:t>α</m:t>
          </m:r>
          <m:r>
            <m:rPr>
              <m:sty m:val="p"/>
            </m:rPr>
            <m:t>+</m:t>
          </m:r>
          <m:sSub>
            <m:e>
              <m:r>
                <m:t>λ</m:t>
              </m:r>
            </m:e>
            <m:sub>
              <m:r>
                <m:t>P</m:t>
              </m:r>
            </m:sub>
          </m:sSub>
          <m:r>
            <m:rPr>
              <m:sty m:val="p"/>
            </m:rPr>
            <m:t>⋅</m:t>
          </m:r>
          <m:sSub>
            <m:e>
              <m:r>
                <m:rPr>
                  <m:nor/>
                  <m:sty m:val="p"/>
                </m:rPr>
                <m:t>Policy</m:t>
              </m:r>
            </m:e>
            <m:sub>
              <m:r>
                <m:t>t</m:t>
              </m:r>
            </m:sub>
          </m:sSub>
          <m:r>
            <m:rPr>
              <m:sty m:val="p"/>
            </m:rPr>
            <m:t>+</m:t>
          </m:r>
          <m:sSub>
            <m:e>
              <m:r>
                <m:t>e</m:t>
              </m:r>
            </m:e>
            <m:sub>
              <m:r>
                <m:t>t</m:t>
              </m:r>
            </m:sub>
          </m:sSub>
        </m:oMath>
      </m:oMathPara>
    </w:p>
    <w:p>
      <w:pPr>
        <w:pStyle w:val="FirstParagraph"/>
      </w:pPr>
      <m:oMathPara>
        <m:oMathParaPr>
          <m:jc m:val="center"/>
        </m:oMathParaPr>
        <m:oMath>
          <m:sSub>
            <m:e>
              <m:r>
                <m:rPr>
                  <m:nor/>
                  <m:sty m:val="p"/>
                </m:rPr>
                <m:t>Sentiment</m:t>
              </m:r>
            </m:e>
            <m:sub>
              <m:r>
                <m:t>t</m:t>
              </m:r>
            </m:sub>
          </m:sSub>
          <m:r>
            <m:rPr>
              <m:sty m:val="p"/>
            </m:rPr>
            <m:t>=</m:t>
          </m:r>
          <m:r>
            <m:t>α</m:t>
          </m:r>
          <m:r>
            <m:rPr>
              <m:sty m:val="p"/>
            </m:rPr>
            <m:t>+</m:t>
          </m:r>
          <m:sSub>
            <m:e>
              <m:r>
                <m:t>λ</m:t>
              </m:r>
            </m:e>
            <m:sub>
              <m:r>
                <m:t>I</m:t>
              </m:r>
            </m:sub>
          </m:sSub>
          <m:r>
            <m:rPr>
              <m:sty m:val="p"/>
            </m:rPr>
            <m:t>⋅</m:t>
          </m:r>
          <m:sSub>
            <m:e>
              <m:r>
                <m:rPr>
                  <m:nor/>
                  <m:sty m:val="p"/>
                </m:rPr>
                <m:t>Info</m:t>
              </m:r>
            </m:e>
            <m:sub>
              <m:r>
                <m:t>t</m:t>
              </m:r>
            </m:sub>
          </m:sSub>
          <m:r>
            <m:rPr>
              <m:sty m:val="p"/>
            </m:rPr>
            <m:t>+</m:t>
          </m:r>
          <m:sSub>
            <m:e>
              <m:r>
                <m:t>e</m:t>
              </m:r>
            </m:e>
            <m:sub>
              <m:r>
                <m:t>t</m:t>
              </m:r>
            </m:sub>
          </m:sSub>
        </m:oMath>
      </m:oMathPara>
    </w:p>
    <w:p>
      <w:pPr>
        <w:numPr>
          <w:ilvl w:val="0"/>
          <w:numId w:val="1005"/>
        </w:numPr>
      </w:pPr>
      <w:r>
        <w:rPr>
          <w:b/>
          <w:bCs/>
        </w:rPr>
        <w:t xml:space="preserve">Share decomposition</w:t>
      </w:r>
      <w:r>
        <w:t xml:space="preserve">:</w:t>
      </w:r>
    </w:p>
    <w:p>
      <w:pPr>
        <w:pStyle w:val="BodyText"/>
      </w:pPr>
      <m:oMathPara>
        <m:oMathParaPr>
          <m:jc m:val="center"/>
        </m:oMathParaPr>
        <m:oMath>
          <m:r>
            <m:rPr>
              <m:nor/>
              <m:sty m:val="p"/>
            </m:rPr>
            <m:t>Policy Share</m:t>
          </m:r>
          <m:r>
            <m:rPr>
              <m:sty m:val="p"/>
            </m:rPr>
            <m:t>=</m:t>
          </m:r>
          <m:f>
            <m:fPr>
              <m:type m:val="bar"/>
            </m:fPr>
            <m:num>
              <m:d>
                <m:dPr>
                  <m:begChr m:val="|"/>
                  <m:endChr m:val="|"/>
                  <m:sepChr m:val=""/>
                  <m:grow/>
                </m:dPr>
                <m:e>
                  <m:sSub>
                    <m:e>
                      <m:r>
                        <m:t>λ</m:t>
                      </m:r>
                    </m:e>
                    <m:sub>
                      <m:r>
                        <m:t>P</m:t>
                      </m:r>
                    </m:sub>
                  </m:sSub>
                </m:e>
              </m:d>
            </m:num>
            <m:den>
              <m:d>
                <m:dPr>
                  <m:begChr m:val="|"/>
                  <m:endChr m:val="|"/>
                  <m:sepChr m:val=""/>
                  <m:grow/>
                </m:dPr>
                <m:e>
                  <m:sSub>
                    <m:e>
                      <m:r>
                        <m:t>λ</m:t>
                      </m:r>
                    </m:e>
                    <m:sub>
                      <m:r>
                        <m:t>P</m:t>
                      </m:r>
                    </m:sub>
                  </m:sSub>
                </m:e>
              </m:d>
              <m:r>
                <m:rPr>
                  <m:sty m:val="p"/>
                </m:rPr>
                <m:t>+</m:t>
              </m:r>
              <m:d>
                <m:dPr>
                  <m:begChr m:val="|"/>
                  <m:endChr m:val="|"/>
                  <m:sepChr m:val=""/>
                  <m:grow/>
                </m:dPr>
                <m:e>
                  <m:sSub>
                    <m:e>
                      <m:r>
                        <m:t>λ</m:t>
                      </m:r>
                    </m:e>
                    <m:sub>
                      <m:r>
                        <m:t>I</m:t>
                      </m:r>
                    </m:sub>
                  </m:sSub>
                </m:e>
              </m:d>
            </m:den>
          </m:f>
          <m:r>
            <m:rPr>
              <m:sty m:val="p"/>
            </m:rPr>
            <m:t>,</m:t>
          </m:r>
          <m:r>
            <m:t> </m:t>
          </m:r>
          <m:r>
            <m:rPr>
              <m:nor/>
              <m:sty m:val="p"/>
            </m:rPr>
            <m:t>Info Share</m:t>
          </m:r>
          <m:r>
            <m:rPr>
              <m:sty m:val="p"/>
            </m:rPr>
            <m:t>=</m:t>
          </m:r>
          <m:f>
            <m:fPr>
              <m:type m:val="bar"/>
            </m:fPr>
            <m:num>
              <m:d>
                <m:dPr>
                  <m:begChr m:val="|"/>
                  <m:endChr m:val="|"/>
                  <m:sepChr m:val=""/>
                  <m:grow/>
                </m:dPr>
                <m:e>
                  <m:sSub>
                    <m:e>
                      <m:r>
                        <m:t>λ</m:t>
                      </m:r>
                    </m:e>
                    <m:sub>
                      <m:r>
                        <m:t>I</m:t>
                      </m:r>
                    </m:sub>
                  </m:sSub>
                </m:e>
              </m:d>
            </m:num>
            <m:den>
              <m:d>
                <m:dPr>
                  <m:begChr m:val="|"/>
                  <m:endChr m:val="|"/>
                  <m:sepChr m:val=""/>
                  <m:grow/>
                </m:dPr>
                <m:e>
                  <m:sSub>
                    <m:e>
                      <m:r>
                        <m:t>λ</m:t>
                      </m:r>
                    </m:e>
                    <m:sub>
                      <m:r>
                        <m:t>P</m:t>
                      </m:r>
                    </m:sub>
                  </m:sSub>
                </m:e>
              </m:d>
              <m:r>
                <m:rPr>
                  <m:sty m:val="p"/>
                </m:rPr>
                <m:t>+</m:t>
              </m:r>
              <m:d>
                <m:dPr>
                  <m:begChr m:val="|"/>
                  <m:endChr m:val="|"/>
                  <m:sepChr m:val=""/>
                  <m:grow/>
                </m:dPr>
                <m:e>
                  <m:sSub>
                    <m:e>
                      <m:r>
                        <m:t>λ</m:t>
                      </m:r>
                    </m:e>
                    <m:sub>
                      <m:r>
                        <m:t>I</m:t>
                      </m:r>
                    </m:sub>
                  </m:sSub>
                </m:e>
              </m:d>
            </m:den>
          </m:f>
        </m:oMath>
      </m:oMathPara>
    </w:p>
    <w:p>
      <w:pPr>
        <w:pStyle w:val="FirstParagraph"/>
      </w:pPr>
      <w:r>
        <w:rPr>
          <w:b/>
          <w:bCs/>
        </w:rPr>
        <w:t xml:space="preserve">Current result (v6.1)</w:t>
      </w:r>
      <w:r>
        <w:t xml:space="preserve">: Target shock t-statistic = 1.126, Path shock t-statistic ≈ 0. The target shock dominates the sentiment response, while the path factor contribution is negligible in this decomposition. This contrasts with the v4 result (information shock ~99.6%) which was inflated by the naive surprise proxy.</w:t>
      </w:r>
    </w:p>
    <w:p>
      <w:pPr>
        <w:pStyle w:val="BodyText"/>
      </w:pPr>
      <w:r>
        <w:rPr>
          <w:b/>
          <w:bCs/>
        </w:rPr>
        <w:t xml:space="preserve">Critical caveat</w:t>
      </w:r>
      <w:r>
        <w:t xml:space="preserve">: The current decomposition uses Acosta shocks but the analysis dataset still has gaps. With the full WRDS pipeline (CME futures + CRSP returns), the decomposition will be more reliable.</w:t>
      </w:r>
    </w:p>
    <w:bookmarkEnd w:id="43"/>
    <w:bookmarkStart w:id="44" w:name="h4-regime-dependent-effects"/>
    <w:p>
      <w:pPr>
        <w:pStyle w:val="Heading3"/>
      </w:pPr>
      <w:r>
        <w:t xml:space="preserve">5.4 H4: Regime-Dependent Effects</w:t>
      </w:r>
    </w:p>
    <w:p>
      <w:pPr>
        <w:pStyle w:val="FirstParagraph"/>
      </w:pPr>
      <w:r>
        <w:rPr>
          <w:b/>
          <w:bCs/>
        </w:rPr>
        <w:t xml:space="preserve">Test</w:t>
      </w:r>
      <w:r>
        <w:t xml:space="preserve">: Does the sentiment-return relationship vary across monetary policy regimes?</w:t>
      </w:r>
    </w:p>
    <w:p>
      <w:pPr>
        <w:pStyle w:val="BodyText"/>
      </w:pPr>
      <w:r>
        <w:rPr>
          <w:b/>
          <w:bCs/>
        </w:rPr>
        <w:t xml:space="preserve">Regimes</w:t>
      </w:r>
      <w:r>
        <w:t xml:space="preserve">:</w:t>
      </w:r>
      <w:r>
        <w:t xml:space="preserve"> </w:t>
      </w:r>
      <w:r>
        <w:t xml:space="preserve">-</w:t>
      </w:r>
      <w:r>
        <w:t xml:space="preserve"> </w:t>
      </w:r>
      <w:r>
        <w:rPr>
          <w:b/>
          <w:bCs/>
        </w:rPr>
        <w:t xml:space="preserve">Conventional</w:t>
      </w:r>
      <w:r>
        <w:t xml:space="preserve"> </w:t>
      </w:r>
      <w:r>
        <w:t xml:space="preserve">(pre-2008): Standard rate adjustments</w:t>
      </w:r>
      <w:r>
        <w:t xml:space="preserve"> </w:t>
      </w:r>
      <w:r>
        <w:t xml:space="preserve">-</w:t>
      </w:r>
      <w:r>
        <w:t xml:space="preserve"> </w:t>
      </w:r>
      <w:r>
        <w:rPr>
          <w:b/>
          <w:bCs/>
        </w:rPr>
        <w:t xml:space="preserve">Forward Guidance</w:t>
      </w:r>
      <w:r>
        <w:t xml:space="preserve"> </w:t>
      </w:r>
      <w:r>
        <w:t xml:space="preserve">(2008–2015): ZLB period with explicit guidance</w:t>
      </w:r>
      <w:r>
        <w:t xml:space="preserve"> </w:t>
      </w:r>
      <w:r>
        <w:t xml:space="preserve">-</w:t>
      </w:r>
      <w:r>
        <w:t xml:space="preserve"> </w:t>
      </w:r>
      <w:r>
        <w:rPr>
          <w:b/>
          <w:bCs/>
        </w:rPr>
        <w:t xml:space="preserve">Normalization</w:t>
      </w:r>
      <w:r>
        <w:t xml:space="preserve"> </w:t>
      </w:r>
      <w:r>
        <w:t xml:space="preserve">(2016+): Rate hikes from ZLB</w:t>
      </w:r>
    </w:p>
    <w:p>
      <w:pPr>
        <w:pStyle w:val="BodyText"/>
      </w:pPr>
      <w:r>
        <w:rPr>
          <w:b/>
          <w:bCs/>
        </w:rPr>
        <w:t xml:space="preserve">Method</w:t>
      </w:r>
      <w:r>
        <w:t xml:space="preserve">: Run H2 regression separately within each regime subsample. Compare</w:t>
      </w:r>
      <w:r>
        <w:t xml:space="preserve"> </w:t>
      </w:r>
      <m:oMath>
        <m:d>
          <m:dPr>
            <m:begChr m:val="|"/>
            <m:endChr m:val="|"/>
            <m:sepChr m:val=""/>
            <m:grow/>
          </m:dPr>
          <m:e>
            <m:acc>
              <m:accPr>
                <m:chr m:val="̂"/>
              </m:accPr>
              <m:e>
                <m:r>
                  <m:t>β</m:t>
                </m:r>
              </m:e>
            </m:acc>
          </m:e>
        </m:d>
      </m:oMath>
      <w:r>
        <w:t xml:space="preserve"> </w:t>
      </w:r>
      <w:r>
        <w:t xml:space="preserve">across regimes.</w:t>
      </w:r>
    </w:p>
    <w:p>
      <w:pPr>
        <w:pStyle w:val="BodyText"/>
      </w:pPr>
      <w:r>
        <w:rPr>
          <w:b/>
          <w:bCs/>
        </w:rPr>
        <w:t xml:space="preserve">Hypothesis</w:t>
      </w:r>
      <w:r>
        <w:t xml:space="preserve">: Forward guidance regime should exhibit the strongest sentiment effect, because when rates are at ZLB, the statement’s forward guidance content is the primary policy tool.</w:t>
      </w:r>
    </w:p>
    <w:bookmarkEnd w:id="44"/>
    <w:bookmarkStart w:id="45" w:name="robustness-checks-v6.1"/>
    <w:p>
      <w:pPr>
        <w:pStyle w:val="Heading3"/>
      </w:pPr>
      <w:r>
        <w:t xml:space="preserve">5.5 Robustness Checks (v6.1)</w:t>
      </w:r>
    </w:p>
    <w:tbl>
      <w:tblPr>
        <w:tblStyle w:val="Table"/>
        <w:tblW w:type="pct" w:w="5000"/>
        <w:jc w:val="left"/>
        <w:tblLayout w:type="fixed"/>
        <w:tblLook w:firstRow="1" w:lastRow="0" w:firstColumn="0" w:lastColumn="0" w:noHBand="0" w:noVBand="0" w:val="0020"/>
      </w:tblPr>
      <w:tblGrid>
        <w:gridCol w:w="1980"/>
        <w:gridCol w:w="1131"/>
        <w:gridCol w:w="1131"/>
        <w:gridCol w:w="3677"/>
      </w:tblGrid>
      <w:tr>
        <w:trPr>
          <w:tblHeader w:val="on"/>
        </w:trPr>
        <w:tc>
          <w:tcPr/>
          <w:p>
            <w:pPr>
              <w:pStyle w:val="Compact"/>
              <w:jc w:val="left"/>
            </w:pPr>
            <w:r>
              <w:t xml:space="preserve">Check</w:t>
            </w:r>
          </w:p>
        </w:tc>
        <w:tc>
          <w:tcPr/>
          <w:p>
            <w:pPr>
              <w:pStyle w:val="Compact"/>
              <w:jc w:val="center"/>
            </w:pPr>
            <w:r>
              <w:t xml:space="preserve">R²</w:t>
            </w:r>
          </w:p>
        </w:tc>
        <w:tc>
          <w:tcPr/>
          <w:p>
            <w:pPr>
              <w:pStyle w:val="Compact"/>
              <w:jc w:val="center"/>
            </w:pPr>
            <w:r>
              <w:t xml:space="preserve">N</w:t>
            </w:r>
          </w:p>
        </w:tc>
        <w:tc>
          <w:tcPr/>
          <w:p>
            <w:pPr>
              <w:pStyle w:val="Compact"/>
              <w:jc w:val="left"/>
            </w:pPr>
            <w:r>
              <w:t xml:space="preserve">Description</w:t>
            </w:r>
          </w:p>
        </w:tc>
      </w:tr>
      <w:tr>
        <w:tc>
          <w:tcPr/>
          <w:p>
            <w:pPr>
              <w:pStyle w:val="Compact"/>
              <w:jc w:val="left"/>
            </w:pPr>
            <w:r>
              <w:t xml:space="preserve">Post-2010</w:t>
            </w:r>
          </w:p>
        </w:tc>
        <w:tc>
          <w:tcPr/>
          <w:p>
            <w:pPr>
              <w:pStyle w:val="Compact"/>
              <w:jc w:val="center"/>
            </w:pPr>
            <w:r>
              <w:t xml:space="preserve">0.0202</w:t>
            </w:r>
          </w:p>
        </w:tc>
        <w:tc>
          <w:tcPr/>
          <w:p>
            <w:pPr>
              <w:pStyle w:val="Compact"/>
              <w:jc w:val="center"/>
            </w:pPr>
            <w:r>
              <w:t xml:space="preserve">97</w:t>
            </w:r>
          </w:p>
        </w:tc>
        <w:tc>
          <w:tcPr/>
          <w:p>
            <w:pPr>
              <w:pStyle w:val="Compact"/>
              <w:jc w:val="left"/>
            </w:pPr>
            <w:r>
              <w:t xml:space="preserve">Restrict to post-2010 meetings (standardized communication)</w:t>
            </w:r>
          </w:p>
        </w:tc>
      </w:tr>
      <w:tr>
        <w:tc>
          <w:tcPr/>
          <w:p>
            <w:pPr>
              <w:pStyle w:val="Compact"/>
              <w:jc w:val="left"/>
            </w:pPr>
            <w:r>
              <w:t xml:space="preserve">No COVID</w:t>
            </w:r>
          </w:p>
        </w:tc>
        <w:tc>
          <w:tcPr/>
          <w:p>
            <w:pPr>
              <w:pStyle w:val="Compact"/>
              <w:jc w:val="center"/>
            </w:pPr>
            <w:r>
              <w:t xml:space="preserve">0.0410</w:t>
            </w:r>
          </w:p>
        </w:tc>
        <w:tc>
          <w:tcPr/>
          <w:p>
            <w:pPr>
              <w:pStyle w:val="Compact"/>
              <w:jc w:val="center"/>
            </w:pPr>
            <w:r>
              <w:t xml:space="preserve">115</w:t>
            </w:r>
          </w:p>
        </w:tc>
        <w:tc>
          <w:tcPr/>
          <w:p>
            <w:pPr>
              <w:pStyle w:val="Compact"/>
              <w:jc w:val="left"/>
            </w:pPr>
            <w:r>
              <w:t xml:space="preserve">Exclude Mar 2020 – Dec 2021</w:t>
            </w:r>
          </w:p>
        </w:tc>
      </w:tr>
    </w:tbl>
    <w:p>
      <w:pPr>
        <w:pStyle w:val="BodyText"/>
      </w:pPr>
      <w:r>
        <w:rPr>
          <w:b/>
          <w:bCs/>
        </w:rPr>
        <w:t xml:space="preserve">Interpretation</w:t>
      </w:r>
      <w:r>
        <w:t xml:space="preserve">: The post-2010 subsample has lower R² (2.02% vs. 4.06%), suggesting that the sentiment-surprise relationship was stronger in the earlier period (2006–2010), which includes the financial crisis when FOMC language was more variable. Excluding COVID has minimal impact (4.10% vs. 4.06%), confirming that the result is not driven by pandemic-era outliers.</w:t>
      </w:r>
    </w:p>
    <w:p>
      <w:r>
        <w:pict>
          <v:rect style="width:0;height:1.5pt" o:hralign="center" o:hrstd="t" o:hr="t"/>
        </w:pict>
      </w:r>
    </w:p>
    <w:bookmarkEnd w:id="45"/>
    <w:bookmarkEnd w:id="46"/>
    <w:bookmarkStart w:id="50" w:name="event-study-engine"/>
    <w:p>
      <w:pPr>
        <w:pStyle w:val="Heading2"/>
      </w:pPr>
      <w:r>
        <w:t xml:space="preserve">6. Event Study Engine</w:t>
      </w:r>
    </w:p>
    <w:bookmarkStart w:id="47" w:name="market-model"/>
    <w:p>
      <w:pPr>
        <w:pStyle w:val="Heading3"/>
      </w:pPr>
      <w:r>
        <w:t xml:space="preserve">6.1 Market Model</w:t>
      </w:r>
    </w:p>
    <w:p>
      <w:pPr>
        <w:pStyle w:val="FirstParagraph"/>
      </w:pPr>
      <w:r>
        <w:rPr>
          <w:b/>
          <w:bCs/>
        </w:rPr>
        <w:t xml:space="preserve">Module</w:t>
      </w:r>
      <w:r>
        <w:t xml:space="preserve">:</w:t>
      </w:r>
      <w:r>
        <w:t xml:space="preserve"> </w:t>
      </w:r>
      <w:r>
        <w:rPr>
          <w:rStyle w:val="VerbatimChar"/>
        </w:rPr>
        <w:t xml:space="preserve">analysis/event_study.py</w:t>
      </w:r>
      <w:r>
        <w:t xml:space="preserve"> </w:t>
      </w:r>
      <w:r>
        <w:t xml:space="preserve">(class</w:t>
      </w:r>
      <w:r>
        <w:t xml:space="preserve"> </w:t>
      </w:r>
      <w:r>
        <w:rPr>
          <w:rStyle w:val="VerbatimChar"/>
        </w:rPr>
        <w:t xml:space="preserve">EventStudyEngine</w:t>
      </w:r>
      <w:r>
        <w:t xml:space="preserve">)</w:t>
      </w:r>
    </w:p>
    <w:p>
      <w:pPr>
        <w:pStyle w:val="BodyText"/>
      </w:pPr>
      <w:r>
        <w:t xml:space="preserve">For each asset</w:t>
      </w:r>
      <w:r>
        <w:t xml:space="preserve"> </w:t>
      </w:r>
      <m:oMath>
        <m:r>
          <m:t>i</m:t>
        </m:r>
      </m:oMath>
      <w:r>
        <w:t xml:space="preserve"> </w:t>
      </w:r>
      <w:r>
        <w:t xml:space="preserve">and FOMC event</w:t>
      </w:r>
      <w:r>
        <w:t xml:space="preserve"> </w:t>
      </w:r>
      <m:oMath>
        <m:r>
          <m:t>t</m:t>
        </m:r>
      </m:oMath>
      <w:r>
        <w:t xml:space="preserve">:</w:t>
      </w:r>
    </w:p>
    <w:p>
      <w:pPr>
        <w:pStyle w:val="BodyText"/>
      </w:pPr>
      <w:r>
        <w:rPr>
          <w:b/>
          <w:bCs/>
        </w:rPr>
        <w:t xml:space="preserve">Step 1 — Parameter estimation</w:t>
      </w:r>
      <w:r>
        <w:t xml:space="preserve"> </w:t>
      </w:r>
      <w:r>
        <w:t xml:space="preserve">(non-event days, trailing 250 trading days):</w:t>
      </w:r>
    </w:p>
    <w:p>
      <w:pPr>
        <w:pStyle w:val="BodyText"/>
      </w:pPr>
      <m:oMathPara>
        <m:oMathParaPr>
          <m:jc m:val="center"/>
        </m:oMathParaPr>
        <m:oMath>
          <m:sSub>
            <m:e>
              <m:r>
                <m:t>R</m:t>
              </m:r>
            </m:e>
            <m:sub>
              <m:r>
                <m:t>i</m:t>
              </m:r>
              <m:r>
                <m:rPr>
                  <m:sty m:val="p"/>
                </m:rPr>
                <m:t>,</m:t>
              </m:r>
              <m:r>
                <m:t>τ</m:t>
              </m:r>
            </m:sub>
          </m:sSub>
          <m:r>
            <m:rPr>
              <m:sty m:val="p"/>
            </m:rPr>
            <m:t>=</m:t>
          </m:r>
          <m:sSub>
            <m:e>
              <m:acc>
                <m:accPr>
                  <m:chr m:val="̂"/>
                </m:accPr>
                <m:e>
                  <m:r>
                    <m:t>α</m:t>
                  </m:r>
                </m:e>
              </m:acc>
            </m:e>
            <m:sub>
              <m:r>
                <m:t>i</m:t>
              </m:r>
            </m:sub>
          </m:sSub>
          <m:r>
            <m:rPr>
              <m:sty m:val="p"/>
            </m:rPr>
            <m:t>+</m:t>
          </m:r>
          <m:sSub>
            <m:e>
              <m:acc>
                <m:accPr>
                  <m:chr m:val="̂"/>
                </m:accPr>
                <m:e>
                  <m:r>
                    <m:t>β</m:t>
                  </m:r>
                </m:e>
              </m:acc>
            </m:e>
            <m:sub>
              <m:r>
                <m:t>i</m:t>
              </m:r>
            </m:sub>
          </m:sSub>
          <m:r>
            <m:rPr>
              <m:sty m:val="p"/>
            </m:rPr>
            <m:t>⋅</m:t>
          </m:r>
          <m:sSub>
            <m:e>
              <m:r>
                <m:t>R</m:t>
              </m:r>
            </m:e>
            <m:sub>
              <m:r>
                <m:t>m</m:t>
              </m:r>
              <m:r>
                <m:rPr>
                  <m:sty m:val="p"/>
                </m:rPr>
                <m:t>,</m:t>
              </m:r>
              <m:r>
                <m:t>τ</m:t>
              </m:r>
            </m:sub>
          </m:sSub>
          <m:r>
            <m:rPr>
              <m:sty m:val="p"/>
            </m:rPr>
            <m:t>+</m:t>
          </m:r>
          <m:sSub>
            <m:e>
              <m:r>
                <m:t>ε</m:t>
              </m:r>
            </m:e>
            <m:sub>
              <m:r>
                <m:t>i</m:t>
              </m:r>
              <m:r>
                <m:rPr>
                  <m:sty m:val="p"/>
                </m:rPr>
                <m:t>,</m:t>
              </m:r>
              <m:r>
                <m:t>τ</m:t>
              </m:r>
            </m:sub>
          </m:sSub>
        </m:oMath>
      </m:oMathPara>
    </w:p>
    <w:p>
      <w:pPr>
        <w:pStyle w:val="FirstParagraph"/>
      </w:pPr>
      <w:r>
        <w:t xml:space="preserve">via OLS (</w:t>
      </w:r>
      <w:r>
        <w:rPr>
          <w:rStyle w:val="VerbatimChar"/>
        </w:rPr>
        <w:t xml:space="preserve">scipy.stats.linregress</w:t>
      </w:r>
      <w:r>
        <w:t xml:space="preserve">), where</w:t>
      </w:r>
      <w:r>
        <w:t xml:space="preserve"> </w:t>
      </w:r>
      <m:oMath>
        <m:sSub>
          <m:e>
            <m:r>
              <m:t>R</m:t>
            </m:r>
          </m:e>
          <m:sub>
            <m:r>
              <m:t>m</m:t>
            </m:r>
          </m:sub>
        </m:sSub>
      </m:oMath>
      <w:r>
        <w:t xml:space="preserve"> </w:t>
      </w:r>
      <w:r>
        <w:t xml:space="preserve">is the market return (S&amp;P 500 or NASDAQ as alternative market proxy).</w:t>
      </w:r>
    </w:p>
    <w:p>
      <w:pPr>
        <w:pStyle w:val="BodyText"/>
      </w:pPr>
      <w:r>
        <w:rPr>
          <w:b/>
          <w:bCs/>
        </w:rPr>
        <w:t xml:space="preserve">Step 2 — Abnormal returns</w:t>
      </w:r>
      <w:r>
        <w:t xml:space="preserve"> </w:t>
      </w:r>
      <w:r>
        <w:t xml:space="preserve">(event window</w:t>
      </w:r>
      <w:r>
        <w:t xml:space="preserve"> </w:t>
      </w:r>
      <m:oMath>
        <m:d>
          <m:dPr>
            <m:begChr m:val="["/>
            <m:endChr m:val="]"/>
            <m:sepChr m:val=""/>
            <m:grow/>
          </m:dPr>
          <m:e>
            <m:r>
              <m:t>t</m:t>
            </m:r>
            <m:r>
              <m:rPr>
                <m:sty m:val="p"/>
              </m:rPr>
              <m:t>−</m:t>
            </m:r>
            <m:r>
              <m:t>k</m:t>
            </m:r>
            <m:r>
              <m:rPr>
                <m:sty m:val="p"/>
              </m:rPr>
              <m:t>,</m:t>
            </m:r>
            <m:r>
              <m:t>t</m:t>
            </m:r>
            <m:r>
              <m:rPr>
                <m:sty m:val="p"/>
              </m:rPr>
              <m:t>+</m:t>
            </m:r>
            <m:r>
              <m:t>l</m:t>
            </m:r>
          </m:e>
        </m:d>
      </m:oMath>
      <w:r>
        <w:t xml:space="preserve">):</w:t>
      </w:r>
    </w:p>
    <w:p>
      <w:pPr>
        <w:pStyle w:val="BodyText"/>
      </w:pPr>
      <m:oMathPara>
        <m:oMathParaPr>
          <m:jc m:val="center"/>
        </m:oMathParaPr>
        <m:oMath>
          <m:sSub>
            <m:e>
              <m:r>
                <m:rPr>
                  <m:nor/>
                  <m:sty m:val="p"/>
                </m:rPr>
                <m:t>AR</m:t>
              </m:r>
            </m:e>
            <m:sub>
              <m:r>
                <m:t>i</m:t>
              </m:r>
              <m:r>
                <m:rPr>
                  <m:sty m:val="p"/>
                </m:rPr>
                <m:t>,</m:t>
              </m:r>
              <m:r>
                <m:t>τ</m:t>
              </m:r>
            </m:sub>
          </m:sSub>
          <m:r>
            <m:rPr>
              <m:sty m:val="p"/>
            </m:rPr>
            <m:t>=</m:t>
          </m:r>
          <m:sSub>
            <m:e>
              <m:r>
                <m:t>R</m:t>
              </m:r>
            </m:e>
            <m:sub>
              <m:r>
                <m:t>i</m:t>
              </m:r>
              <m:r>
                <m:rPr>
                  <m:sty m:val="p"/>
                </m:rPr>
                <m:t>,</m:t>
              </m:r>
              <m:r>
                <m:t>τ</m:t>
              </m:r>
            </m:sub>
          </m:sSub>
          <m:r>
            <m:rPr>
              <m:sty m:val="p"/>
            </m:rPr>
            <m:t>−</m:t>
          </m:r>
          <m:d>
            <m:dPr>
              <m:begChr m:val="("/>
              <m:endChr m:val=")"/>
              <m:sepChr m:val=""/>
              <m:grow/>
            </m:dPr>
            <m:e>
              <m:sSub>
                <m:e>
                  <m:acc>
                    <m:accPr>
                      <m:chr m:val="̂"/>
                    </m:accPr>
                    <m:e>
                      <m:r>
                        <m:t>α</m:t>
                      </m:r>
                    </m:e>
                  </m:acc>
                </m:e>
                <m:sub>
                  <m:r>
                    <m:t>i</m:t>
                  </m:r>
                </m:sub>
              </m:sSub>
              <m:r>
                <m:rPr>
                  <m:sty m:val="p"/>
                </m:rPr>
                <m:t>+</m:t>
              </m:r>
              <m:sSub>
                <m:e>
                  <m:acc>
                    <m:accPr>
                      <m:chr m:val="̂"/>
                    </m:accPr>
                    <m:e>
                      <m:r>
                        <m:t>β</m:t>
                      </m:r>
                    </m:e>
                  </m:acc>
                </m:e>
                <m:sub>
                  <m:r>
                    <m:t>i</m:t>
                  </m:r>
                </m:sub>
              </m:sSub>
              <m:r>
                <m:rPr>
                  <m:sty m:val="p"/>
                </m:rPr>
                <m:t>⋅</m:t>
              </m:r>
              <m:sSub>
                <m:e>
                  <m:r>
                    <m:t>R</m:t>
                  </m:r>
                </m:e>
                <m:sub>
                  <m:r>
                    <m:t>m</m:t>
                  </m:r>
                  <m:r>
                    <m:rPr>
                      <m:sty m:val="p"/>
                    </m:rPr>
                    <m:t>,</m:t>
                  </m:r>
                  <m:r>
                    <m:t>τ</m:t>
                  </m:r>
                </m:sub>
              </m:sSub>
            </m:e>
          </m:d>
        </m:oMath>
      </m:oMathPara>
    </w:p>
    <w:p>
      <w:pPr>
        <w:pStyle w:val="FirstParagraph"/>
      </w:pPr>
      <w:r>
        <w:rPr>
          <w:b/>
          <w:bCs/>
        </w:rPr>
        <w:t xml:space="preserve">Step 3 — Cumulative abnormal return</w:t>
      </w:r>
      <w:r>
        <w:t xml:space="preserve">:</w:t>
      </w:r>
    </w:p>
    <w:p>
      <w:pPr>
        <w:pStyle w:val="BodyText"/>
      </w:pPr>
      <m:oMathPara>
        <m:oMathParaPr>
          <m:jc m:val="center"/>
        </m:oMathParaPr>
        <m:oMath>
          <m:sSub>
            <m:e>
              <m:r>
                <m:rPr>
                  <m:nor/>
                  <m:sty m:val="p"/>
                </m:rPr>
                <m:t>CAR</m:t>
              </m:r>
            </m:e>
            <m:sub>
              <m:r>
                <m:t>i</m:t>
              </m:r>
            </m:sub>
          </m:sSub>
          <m:r>
            <m:rPr>
              <m:sty m:val="p"/>
            </m:rPr>
            <m:t>=</m:t>
          </m:r>
          <m:nary>
            <m:naryPr>
              <m:chr m:val="∑"/>
              <m:limLoc m:val="undOvr"/>
              <m:subHide m:val="off"/>
              <m:supHide m:val="off"/>
            </m:naryPr>
            <m:sub>
              <m:r>
                <m:t>τ</m:t>
              </m:r>
              <m:r>
                <m:rPr>
                  <m:sty m:val="p"/>
                </m:rPr>
                <m:t>=</m:t>
              </m:r>
              <m:r>
                <m:t>t</m:t>
              </m:r>
              <m:r>
                <m:rPr>
                  <m:sty m:val="p"/>
                </m:rPr>
                <m:t>−</m:t>
              </m:r>
              <m:r>
                <m:t>k</m:t>
              </m:r>
            </m:sub>
            <m:sup>
              <m:r>
                <m:t>t</m:t>
              </m:r>
              <m:r>
                <m:rPr>
                  <m:sty m:val="p"/>
                </m:rPr>
                <m:t>+</m:t>
              </m:r>
              <m:r>
                <m:t>l</m:t>
              </m:r>
            </m:sup>
            <m:e>
              <m:sSub>
                <m:e>
                  <m:r>
                    <m:rPr>
                      <m:nor/>
                      <m:sty m:val="p"/>
                    </m:rPr>
                    <m:t>AR</m:t>
                  </m:r>
                </m:e>
                <m:sub>
                  <m:r>
                    <m:t>i</m:t>
                  </m:r>
                  <m:r>
                    <m:rPr>
                      <m:sty m:val="p"/>
                    </m:rPr>
                    <m:t>,</m:t>
                  </m:r>
                  <m:r>
                    <m:t>τ</m:t>
                  </m:r>
                </m:sub>
              </m:sSub>
            </m:e>
          </m:nary>
        </m:oMath>
      </m:oMathPara>
    </w:p>
    <w:p>
      <w:pPr>
        <w:pStyle w:val="FirstParagraph"/>
      </w:pPr>
      <w:r>
        <w:rPr>
          <w:b/>
          <w:bCs/>
        </w:rPr>
        <w:t xml:space="preserve">Step 4 — Significance test</w:t>
      </w:r>
      <w:r>
        <w:t xml:space="preserve">:</w:t>
      </w:r>
    </w:p>
    <w:p>
      <w:pPr>
        <w:pStyle w:val="BodyText"/>
      </w:pPr>
      <m:oMathPara>
        <m:oMathParaPr>
          <m:jc m:val="center"/>
        </m:oMathParaPr>
        <m:oMath>
          <m:r>
            <m:t>t</m:t>
          </m:r>
          <m:r>
            <m:rPr>
              <m:sty m:val="p"/>
            </m:rPr>
            <m:t>=</m:t>
          </m:r>
          <m:f>
            <m:fPr>
              <m:type m:val="bar"/>
            </m:fPr>
            <m:num>
              <m:sSub>
                <m:e>
                  <m:r>
                    <m:rPr>
                      <m:nor/>
                      <m:sty m:val="p"/>
                    </m:rPr>
                    <m:t>CAR</m:t>
                  </m:r>
                </m:e>
                <m:sub>
                  <m:r>
                    <m:t>i</m:t>
                  </m:r>
                </m:sub>
              </m:sSub>
            </m:num>
            <m:den>
              <m:acc>
                <m:accPr>
                  <m:chr m:val="̂"/>
                </m:accPr>
                <m:e>
                  <m:r>
                    <m:t>σ</m:t>
                  </m:r>
                </m:e>
              </m:acc>
              <m:r>
                <m:rPr>
                  <m:sty m:val="p"/>
                </m:rPr>
                <m:t>⋅</m:t>
              </m:r>
              <m:rad>
                <m:radPr>
                  <m:degHide m:val="on"/>
                </m:radPr>
                <m:deg/>
                <m:e>
                  <m:r>
                    <m:t>L</m:t>
                  </m:r>
                </m:e>
              </m:rad>
            </m:den>
          </m:f>
        </m:oMath>
      </m:oMathPara>
    </w:p>
    <w:p>
      <w:pPr>
        <w:pStyle w:val="FirstParagraph"/>
      </w:pPr>
      <w:r>
        <w:t xml:space="preserve">where</w:t>
      </w:r>
      <w:r>
        <w:t xml:space="preserve"> </w:t>
      </w:r>
      <m:oMath>
        <m:acc>
          <m:accPr>
            <m:chr m:val="̂"/>
          </m:accPr>
          <m:e>
            <m:r>
              <m:t>σ</m:t>
            </m:r>
          </m:e>
        </m:acc>
      </m:oMath>
      <w:r>
        <w:t xml:space="preserve"> </w:t>
      </w:r>
      <w:r>
        <w:t xml:space="preserve">is the residual standard deviation from the estimation window, and</w:t>
      </w:r>
      <w:r>
        <w:t xml:space="preserve"> </w:t>
      </w:r>
      <m:oMath>
        <m:r>
          <m:t>L</m:t>
        </m:r>
      </m:oMath>
      <w:r>
        <w:t xml:space="preserve"> </w:t>
      </w:r>
      <w:r>
        <w:t xml:space="preserve">is the number of days in the event window.</w:t>
      </w:r>
    </w:p>
    <w:p>
      <w:pPr>
        <w:pStyle w:val="BodyText"/>
      </w:pPr>
      <w:r>
        <w:rPr>
          <w:b/>
          <w:bCs/>
        </w:rPr>
        <w:t xml:space="preserve">Default windows</w:t>
      </w:r>
      <w:r>
        <w:t xml:space="preserve">: Estimation = 250 days; Event =</w:t>
      </w:r>
      <w:r>
        <w:t xml:space="preserve"> </w:t>
      </w:r>
      <m:oMath>
        <m:d>
          <m:dPr>
            <m:begChr m:val="["/>
            <m:endChr m:val="]"/>
            <m:sepChr m:val=""/>
            <m:grow/>
          </m:dPr>
          <m:e>
            <m:r>
              <m:rPr>
                <m:sty m:val="p"/>
              </m:rPr>
              <m:t>−</m:t>
            </m:r>
            <m:r>
              <m:t>1</m:t>
            </m:r>
            <m:r>
              <m:rPr>
                <m:sty m:val="p"/>
              </m:rPr>
              <m:t>,</m:t>
            </m:r>
            <m:r>
              <m:rPr>
                <m:sty m:val="p"/>
              </m:rPr>
              <m:t>+</m:t>
            </m:r>
            <m:r>
              <m:t>5</m:t>
            </m:r>
          </m:e>
        </m:d>
      </m:oMath>
      <w:r>
        <w:t xml:space="preserve"> </w:t>
      </w:r>
      <w:r>
        <w:t xml:space="preserve">(6 trading days).</w:t>
      </w:r>
    </w:p>
    <w:bookmarkEnd w:id="47"/>
    <w:bookmarkStart w:id="48" w:name="cross-sectional-aggregation"/>
    <w:p>
      <w:pPr>
        <w:pStyle w:val="Heading3"/>
      </w:pPr>
      <w:r>
        <w:t xml:space="preserve">6.2 Cross-Sectional Aggregation</w:t>
      </w:r>
    </w:p>
    <w:p>
      <w:pPr>
        <w:pStyle w:val="FirstParagraph"/>
      </w:pPr>
      <m:oMathPara>
        <m:oMathParaPr>
          <m:jc m:val="center"/>
        </m:oMathParaPr>
        <m:oMath>
          <m:sSub>
            <m:e>
              <m:r>
                <m:rPr>
                  <m:nor/>
                  <m:sty m:val="p"/>
                </m:rPr>
                <m:t>AAR</m:t>
              </m:r>
            </m:e>
            <m:sub>
              <m: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nor/>
                      <m:sty m:val="p"/>
                    </m:rPr>
                    <m:t>AR</m:t>
                  </m:r>
                </m:e>
                <m:sub>
                  <m:r>
                    <m:t>i</m:t>
                  </m:r>
                  <m:r>
                    <m:rPr>
                      <m:sty m:val="p"/>
                    </m:rPr>
                    <m:t>,</m:t>
                  </m:r>
                  <m:r>
                    <m:t>t</m:t>
                  </m:r>
                </m:sub>
              </m:sSub>
            </m:e>
          </m:nary>
          <m:r>
            <m:rPr>
              <m:sty m:val="p"/>
            </m:rPr>
            <m:t>,</m:t>
          </m:r>
          <m:r>
            <m:t> </m:t>
          </m:r>
          <m:sSub>
            <m:e>
              <m:r>
                <m:rPr>
                  <m:nor/>
                  <m:sty m:val="p"/>
                </m:rPr>
                <m:t>CAAR</m:t>
              </m:r>
            </m:e>
            <m:sub>
              <m:r>
                <m:t>t</m:t>
              </m:r>
            </m:sub>
          </m:sSub>
          <m:r>
            <m:rPr>
              <m:sty m:val="p"/>
            </m:rPr>
            <m:t>=</m:t>
          </m:r>
          <m:nary>
            <m:naryPr>
              <m:chr m:val="∑"/>
              <m:limLoc m:val="undOvr"/>
              <m:subHide m:val="off"/>
              <m:supHide m:val="on"/>
            </m:naryPr>
            <m:sub>
              <m:r>
                <m:t>τ</m:t>
              </m:r>
            </m:sub>
            <m:sup>
              <m:r>
                <m:t>​</m:t>
              </m:r>
            </m:sup>
            <m:e>
              <m:sSub>
                <m:e>
                  <m:r>
                    <m:rPr>
                      <m:nor/>
                      <m:sty m:val="p"/>
                    </m:rPr>
                    <m:t>AAR</m:t>
                  </m:r>
                </m:e>
                <m:sub>
                  <m:r>
                    <m:t>τ</m:t>
                  </m:r>
                </m:sub>
              </m:sSub>
            </m:e>
          </m:nary>
        </m:oMath>
      </m:oMathPara>
    </w:p>
    <w:p>
      <w:pPr>
        <w:pStyle w:val="FirstParagraph"/>
      </w:pPr>
      <w:r>
        <w:t xml:space="preserve">Aggregated across all assets for each FOMC date.</w:t>
      </w:r>
    </w:p>
    <w:bookmarkEnd w:id="48"/>
    <w:bookmarkStart w:id="49" w:name="asset-level-summary"/>
    <w:p>
      <w:pPr>
        <w:pStyle w:val="Heading3"/>
      </w:pPr>
      <w:r>
        <w:t xml:space="preserve">6.3 Asset-Level Summary</w:t>
      </w:r>
    </w:p>
    <w:p>
      <w:pPr>
        <w:pStyle w:val="FirstParagraph"/>
      </w:pPr>
      <w:r>
        <w:t xml:space="preserve">For each asset, average CAR across all FOMC events: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Definition</w:t>
            </w:r>
          </w:p>
        </w:tc>
      </w:tr>
      <w:tr>
        <w:tc>
          <w:tcPr/>
          <w:p>
            <w:pPr>
              <w:pStyle w:val="Compact"/>
              <w:jc w:val="left"/>
            </w:pPr>
            <w:r>
              <w:t xml:space="preserve">avg_CAR</w:t>
            </w:r>
          </w:p>
        </w:tc>
        <w:tc>
          <w:tcPr/>
          <w:p>
            <w:pPr>
              <w:pStyle w:val="Compact"/>
              <w:jc w:val="left"/>
            </w:pPr>
            <w:r>
              <w:t xml:space="preserve">Mean CAR across events</w:t>
            </w:r>
          </w:p>
        </w:tc>
      </w:tr>
      <w:tr>
        <w:tc>
          <w:tcPr/>
          <w:p>
            <w:pPr>
              <w:pStyle w:val="Compact"/>
              <w:jc w:val="left"/>
            </w:pPr>
            <w:r>
              <w:t xml:space="preserve">median_CAR</w:t>
            </w:r>
          </w:p>
        </w:tc>
        <w:tc>
          <w:tcPr/>
          <w:p>
            <w:pPr>
              <w:pStyle w:val="Compact"/>
              <w:jc w:val="left"/>
            </w:pPr>
            <w:r>
              <w:t xml:space="preserve">Median CAR</w:t>
            </w:r>
          </w:p>
        </w:tc>
      </w:tr>
      <w:tr>
        <w:tc>
          <w:tcPr/>
          <w:p>
            <w:pPr>
              <w:pStyle w:val="Compact"/>
              <w:jc w:val="left"/>
            </w:pPr>
            <w:r>
              <w:t xml:space="preserve">std_CAR</w:t>
            </w:r>
          </w:p>
        </w:tc>
        <w:tc>
          <w:tcPr/>
          <w:p>
            <w:pPr>
              <w:pStyle w:val="Compact"/>
              <w:jc w:val="left"/>
            </w:pPr>
            <w:r>
              <w:t xml:space="preserve">Standard deviation of CAR</w:t>
            </w:r>
          </w:p>
        </w:tc>
      </w:tr>
      <w:tr>
        <w:tc>
          <w:tcPr/>
          <w:p>
            <w:pPr>
              <w:pStyle w:val="Compact"/>
              <w:jc w:val="left"/>
            </w:pPr>
            <w:r>
              <w:t xml:space="preserve">pct_positive</w:t>
            </w:r>
          </w:p>
        </w:tc>
        <w:tc>
          <w:tcPr/>
          <w:p>
            <w:pPr>
              <w:pStyle w:val="Compact"/>
              <w:jc w:val="left"/>
            </w:pPr>
            <w:r>
              <w:t xml:space="preserve">% of events with CAR &gt; 0</w:t>
            </w:r>
          </w:p>
        </w:tc>
      </w:tr>
    </w:tbl>
    <w:p>
      <w:r>
        <w:pict>
          <v:rect style="width:0;height:1.5pt" o:hralign="center" o:hrstd="t" o:hr="t"/>
        </w:pict>
      </w:r>
    </w:p>
    <w:bookmarkEnd w:id="49"/>
    <w:bookmarkEnd w:id="50"/>
    <w:bookmarkStart w:id="54" w:name="capital-flow-analysis"/>
    <w:p>
      <w:pPr>
        <w:pStyle w:val="Heading2"/>
      </w:pPr>
      <w:r>
        <w:t xml:space="preserve">7. Capital Flow Analysis</w:t>
      </w:r>
    </w:p>
    <w:bookmarkStart w:id="51" w:name="flow-estimation"/>
    <w:p>
      <w:pPr>
        <w:pStyle w:val="Heading3"/>
      </w:pPr>
      <w:r>
        <w:t xml:space="preserve">7.1 Flow Estimation</w:t>
      </w:r>
    </w:p>
    <w:p>
      <w:pPr>
        <w:pStyle w:val="FirstParagraph"/>
      </w:pPr>
      <w:r>
        <w:rPr>
          <w:b/>
          <w:bCs/>
        </w:rPr>
        <w:t xml:space="preserve">Module</w:t>
      </w:r>
      <w:r>
        <w:t xml:space="preserve">:</w:t>
      </w:r>
      <w:r>
        <w:t xml:space="preserve"> </w:t>
      </w:r>
      <w:r>
        <w:rPr>
          <w:rStyle w:val="VerbatimChar"/>
        </w:rPr>
        <w:t xml:space="preserve">analysis/capital_flow.py</w:t>
      </w:r>
      <w:r>
        <w:t xml:space="preserve"> </w:t>
      </w:r>
      <w:r>
        <w:t xml:space="preserve">(class</w:t>
      </w:r>
      <w:r>
        <w:t xml:space="preserve"> </w:t>
      </w:r>
      <w:r>
        <w:rPr>
          <w:rStyle w:val="VerbatimChar"/>
        </w:rPr>
        <w:t xml:space="preserve">CapitalFlowAnalyzer</w:t>
      </w:r>
      <w:r>
        <w:t xml:space="preserve">)</w:t>
      </w:r>
    </w:p>
    <w:p>
      <w:pPr>
        <w:pStyle w:val="BodyText"/>
      </w:pPr>
      <w:r>
        <w:t xml:space="preserve">Following Ciminelli et al. (2022), we use</w:t>
      </w:r>
      <w:r>
        <w:t xml:space="preserve"> </w:t>
      </w:r>
      <w:r>
        <w:rPr>
          <w:b/>
          <w:bCs/>
        </w:rPr>
        <w:t xml:space="preserve">return differentials</w:t>
      </w:r>
      <w:r>
        <w:t xml:space="preserve"> </w:t>
      </w:r>
      <w:r>
        <w:t xml:space="preserve">as a proxy for capital flow direction:</w:t>
      </w:r>
    </w:p>
    <w:p>
      <w:pPr>
        <w:pStyle w:val="BodyText"/>
      </w:pPr>
      <m:oMathPara>
        <m:oMathParaPr>
          <m:jc m:val="center"/>
        </m:oMathParaPr>
        <m:oMath>
          <m:sSub>
            <m:e>
              <m:r>
                <m:rPr>
                  <m:nor/>
                  <m:sty m:val="p"/>
                </m:rPr>
                <m:t>Flow</m:t>
              </m:r>
            </m:e>
            <m:sub>
              <m:r>
                <m:t>i</m:t>
              </m:r>
              <m:r>
                <m:rPr>
                  <m:sty m:val="p"/>
                </m:rPr>
                <m:t>,</m:t>
              </m:r>
              <m:r>
                <m:t>t</m:t>
              </m:r>
            </m:sub>
          </m:sSub>
          <m:r>
            <m:rPr>
              <m:sty m:val="p"/>
            </m:rPr>
            <m:t>=</m:t>
          </m:r>
          <m:sSub>
            <m:e>
              <m:acc>
                <m:accPr>
                  <m:chr m:val="‾"/>
                </m:accPr>
                <m:e>
                  <m:r>
                    <m:t>R</m:t>
                  </m:r>
                </m:e>
              </m:acc>
            </m:e>
            <m:sub>
              <m:r>
                <m:t>i</m:t>
              </m:r>
              <m:r>
                <m:rPr>
                  <m:sty m:val="p"/>
                </m:rPr>
                <m:t>,</m:t>
              </m:r>
              <m:r>
                <m:rPr>
                  <m:nor/>
                  <m:sty m:val="p"/>
                </m:rPr>
                <m:t>post</m:t>
              </m:r>
            </m:sub>
          </m:sSub>
          <m:r>
            <m:rPr>
              <m:sty m:val="p"/>
            </m:rPr>
            <m:t>−</m:t>
          </m:r>
          <m:sSub>
            <m:e>
              <m:acc>
                <m:accPr>
                  <m:chr m:val="‾"/>
                </m:accPr>
                <m:e>
                  <m:r>
                    <m:t>R</m:t>
                  </m:r>
                </m:e>
              </m:acc>
            </m:e>
            <m:sub>
              <m:r>
                <m:t>i</m:t>
              </m:r>
              <m:r>
                <m:rPr>
                  <m:sty m:val="p"/>
                </m:rPr>
                <m:t>,</m:t>
              </m:r>
              <m:r>
                <m:rPr>
                  <m:nor/>
                  <m:sty m:val="p"/>
                </m:rPr>
                <m:t>pre</m:t>
              </m:r>
            </m:sub>
          </m:sSub>
        </m:oMath>
      </m:oMathPara>
    </w:p>
    <w:p>
      <w:pPr>
        <w:pStyle w:val="FirstParagraph"/>
      </w:pPr>
      <w:r>
        <w:t xml:space="preserve">where:</w:t>
      </w:r>
      <w:r>
        <w:t xml:space="preserve"> </w:t>
      </w:r>
      <w:r>
        <w:t xml:space="preserve">-</w:t>
      </w:r>
      <w:r>
        <w:t xml:space="preserve"> </w:t>
      </w:r>
      <m:oMath>
        <m:sSub>
          <m:e>
            <m:acc>
              <m:accPr>
                <m:chr m:val="‾"/>
              </m:accPr>
              <m:e>
                <m:r>
                  <m:t>R</m:t>
                </m:r>
              </m:e>
            </m:acc>
          </m:e>
          <m:sub>
            <m:r>
              <m:t>i</m:t>
            </m:r>
            <m:r>
              <m:rPr>
                <m:sty m:val="p"/>
              </m:rPr>
              <m:t>,</m:t>
            </m:r>
            <m:r>
              <m:rPr>
                <m:nor/>
                <m:sty m:val="p"/>
              </m:rPr>
              <m:t>pre</m:t>
            </m:r>
          </m:sub>
        </m:sSub>
      </m:oMath>
      <w:r>
        <w:t xml:space="preserve"> </w:t>
      </w:r>
      <w:r>
        <w:t xml:space="preserve">= mean daily return for asset</w:t>
      </w:r>
      <w:r>
        <w:t xml:space="preserve"> </w:t>
      </w:r>
      <m:oMath>
        <m:r>
          <m:t>i</m:t>
        </m:r>
      </m:oMath>
      <w:r>
        <w:t xml:space="preserve"> </w:t>
      </w:r>
      <w:r>
        <w:t xml:space="preserve">over</w:t>
      </w:r>
      <w:r>
        <w:t xml:space="preserve"> </w:t>
      </w:r>
      <m:oMath>
        <m:d>
          <m:dPr>
            <m:begChr m:val="["/>
            <m:endChr m:val="]"/>
            <m:sepChr m:val=""/>
            <m:grow/>
          </m:dPr>
          <m:e>
            <m:r>
              <m:t>t</m:t>
            </m:r>
            <m:r>
              <m:rPr>
                <m:sty m:val="p"/>
              </m:rPr>
              <m:t>−</m:t>
            </m:r>
            <m:r>
              <m:t>5</m:t>
            </m:r>
            <m:r>
              <m:rPr>
                <m:sty m:val="p"/>
              </m:rPr>
              <m:t>,</m:t>
            </m:r>
            <m:r>
              <m:t>t</m:t>
            </m:r>
            <m:r>
              <m:rPr>
                <m:sty m:val="p"/>
              </m:rPr>
              <m:t>−</m:t>
            </m:r>
            <m:r>
              <m:t>1</m:t>
            </m:r>
          </m:e>
        </m:d>
      </m:oMath>
      <w:r>
        <w:t xml:space="preserve"> </w:t>
      </w:r>
      <w:r>
        <w:t xml:space="preserve">-</w:t>
      </w:r>
      <w:r>
        <w:t xml:space="preserve"> </w:t>
      </w:r>
      <m:oMath>
        <m:sSub>
          <m:e>
            <m:acc>
              <m:accPr>
                <m:chr m:val="‾"/>
              </m:accPr>
              <m:e>
                <m:r>
                  <m:t>R</m:t>
                </m:r>
              </m:e>
            </m:acc>
          </m:e>
          <m:sub>
            <m:r>
              <m:t>i</m:t>
            </m:r>
            <m:r>
              <m:rPr>
                <m:sty m:val="p"/>
              </m:rPr>
              <m:t>,</m:t>
            </m:r>
            <m:r>
              <m:rPr>
                <m:nor/>
                <m:sty m:val="p"/>
              </m:rPr>
              <m:t>post</m:t>
            </m:r>
          </m:sub>
        </m:sSub>
      </m:oMath>
      <w:r>
        <w:t xml:space="preserve"> </w:t>
      </w:r>
      <w:r>
        <w:t xml:space="preserve">= mean daily return for asset</w:t>
      </w:r>
      <w:r>
        <w:t xml:space="preserve"> </w:t>
      </w:r>
      <m:oMath>
        <m:r>
          <m:t>i</m:t>
        </m:r>
      </m:oMath>
      <w:r>
        <w:t xml:space="preserve"> </w:t>
      </w:r>
      <w:r>
        <w:t xml:space="preserve">over</w:t>
      </w:r>
      <w:r>
        <w:t xml:space="preserve"> </w:t>
      </w:r>
      <m:oMath>
        <m:d>
          <m:dPr>
            <m:begChr m:val="["/>
            <m:endChr m:val="]"/>
            <m:sepChr m:val=""/>
            <m:grow/>
          </m:dPr>
          <m:e>
            <m:r>
              <m:t>t</m:t>
            </m:r>
            <m:r>
              <m:rPr>
                <m:sty m:val="p"/>
              </m:rPr>
              <m:t>+</m:t>
            </m:r>
            <m:r>
              <m:t>1</m:t>
            </m:r>
            <m:r>
              <m:rPr>
                <m:sty m:val="p"/>
              </m:rPr>
              <m:t>,</m:t>
            </m:r>
            <m:r>
              <m:t>t</m:t>
            </m:r>
            <m:r>
              <m:rPr>
                <m:sty m:val="p"/>
              </m:rPr>
              <m:t>+</m:t>
            </m:r>
            <m:r>
              <m:t>10</m:t>
            </m:r>
          </m:e>
        </m:d>
      </m:oMath>
    </w:p>
    <w:p>
      <w:pPr>
        <w:pStyle w:val="BodyText"/>
      </w:pPr>
      <w:r>
        <w:rPr>
          <w:b/>
          <w:bCs/>
        </w:rPr>
        <w:t xml:space="preserve">Asset class mapping</w:t>
      </w:r>
      <w:r>
        <w:t xml:space="preserve">: 9 classes (US Large Cap, US Tech, US Small Cap, EM, Treasuries, Corporate Bonds, Commodities, FX, Crypto) mapped to individual series.</w:t>
      </w:r>
    </w:p>
    <w:bookmarkEnd w:id="51"/>
    <w:bookmarkStart w:id="52" w:name="risk-regime-detection"/>
    <w:p>
      <w:pPr>
        <w:pStyle w:val="Heading3"/>
      </w:pPr>
      <w:r>
        <w:t xml:space="preserve">7.2 Risk Regime Detection</w:t>
      </w:r>
    </w:p>
    <w:p>
      <w:pPr>
        <w:pStyle w:val="FirstParagraph"/>
      </w:pPr>
      <m:oMathPara>
        <m:oMathParaPr>
          <m:jc m:val="center"/>
        </m:oMathParaPr>
        <m:oMath>
          <m:sSub>
            <m:e>
              <m:r>
                <m:rPr>
                  <m:nor/>
                  <m:sty m:val="p"/>
                </m:rPr>
                <m:t>Risk Spread</m:t>
              </m:r>
            </m:e>
            <m:sub>
              <m:r>
                <m:t>t</m:t>
              </m:r>
            </m:sub>
          </m:sSub>
          <m:r>
            <m:rPr>
              <m:sty m:val="p"/>
            </m:rPr>
            <m:t>=</m:t>
          </m:r>
          <m:sSub>
            <m:e>
              <m:acc>
                <m:accPr>
                  <m:chr m:val="‾"/>
                </m:accPr>
                <m:e>
                  <m:r>
                    <m:t>R</m:t>
                  </m:r>
                </m:e>
              </m:acc>
            </m:e>
            <m:sub>
              <m:r>
                <m:rPr>
                  <m:nor/>
                  <m:sty m:val="p"/>
                </m:rPr>
                <m:t>Risk-On</m:t>
              </m:r>
              <m:r>
                <m:rPr>
                  <m:sty m:val="p"/>
                </m:rPr>
                <m:t>,</m:t>
              </m:r>
              <m:r>
                <m:t>t</m:t>
              </m:r>
            </m:sub>
          </m:sSub>
          <m:r>
            <m:rPr>
              <m:sty m:val="p"/>
            </m:rPr>
            <m:t>−</m:t>
          </m:r>
          <m:sSub>
            <m:e>
              <m:acc>
                <m:accPr>
                  <m:chr m:val="‾"/>
                </m:accPr>
                <m:e>
                  <m:r>
                    <m:t>R</m:t>
                  </m:r>
                </m:e>
              </m:acc>
            </m:e>
            <m:sub>
              <m:r>
                <m:rPr>
                  <m:nor/>
                  <m:sty m:val="p"/>
                </m:rPr>
                <m:t>Risk-Off</m:t>
              </m:r>
              <m:r>
                <m:rPr>
                  <m:sty m:val="p"/>
                </m:rPr>
                <m:t>,</m:t>
              </m:r>
              <m:r>
                <m:t>t</m:t>
              </m:r>
            </m:sub>
          </m:sSub>
        </m:oMath>
      </m:oMathPara>
    </w:p>
    <w:p>
      <w:pPr>
        <w:pStyle w:val="Compact"/>
        <w:numPr>
          <w:ilvl w:val="0"/>
          <w:numId w:val="1006"/>
        </w:numPr>
      </w:pPr>
      <w:r>
        <w:rPr>
          <w:b/>
          <w:bCs/>
        </w:rPr>
        <w:t xml:space="preserve">Risk-On</w:t>
      </w:r>
      <w:r>
        <w:t xml:space="preserve">: US Large Cap, US Tech, US Small Cap, EM, Crypto</w:t>
      </w:r>
    </w:p>
    <w:p>
      <w:pPr>
        <w:pStyle w:val="Compact"/>
        <w:numPr>
          <w:ilvl w:val="0"/>
          <w:numId w:val="1006"/>
        </w:numPr>
      </w:pPr>
      <w:r>
        <w:rPr>
          <w:b/>
          <w:bCs/>
        </w:rPr>
        <w:t xml:space="preserve">Risk-Off</w:t>
      </w:r>
      <w:r>
        <w:t xml:space="preserve">: US Treasuries, Corporate Bonds</w:t>
      </w:r>
    </w:p>
    <w:p>
      <w:pPr>
        <w:pStyle w:val="FirstParagraph"/>
      </w:pPr>
      <w:r>
        <w:t xml:space="preserve">Regime =</w:t>
      </w:r>
      <w:r>
        <w:t xml:space="preserve"> </w:t>
      </w:r>
      <w:r>
        <w:t xml:space="preserve">“</w:t>
      </w:r>
      <w:r>
        <w:t xml:space="preserve">Risk-On</w:t>
      </w:r>
      <w:r>
        <w:t xml:space="preserve">”</w:t>
      </w:r>
      <w:r>
        <w:t xml:space="preserve"> </w:t>
      </w:r>
      <w:r>
        <w:t xml:space="preserve">if Risk Spread &gt; 0,</w:t>
      </w:r>
      <w:r>
        <w:t xml:space="preserve"> </w:t>
      </w:r>
      <w:r>
        <w:t xml:space="preserve">“</w:t>
      </w:r>
      <w:r>
        <w:t xml:space="preserve">Risk-Off</w:t>
      </w:r>
      <w:r>
        <w:t xml:space="preserve">”</w:t>
      </w:r>
      <w:r>
        <w:t xml:space="preserve"> </w:t>
      </w:r>
      <w:r>
        <w:t xml:space="preserve">otherwise. A</w:t>
      </w:r>
      <w:r>
        <w:t xml:space="preserve"> </w:t>
      </w:r>
      <w:r>
        <w:rPr>
          <w:b/>
          <w:bCs/>
        </w:rPr>
        <w:t xml:space="preserve">regime change</w:t>
      </w:r>
      <w:r>
        <w:t xml:space="preserve"> </w:t>
      </w:r>
      <w:r>
        <w:t xml:space="preserve">occurs when the post-FOMC regime differs from the pre-FOMC regime.</w:t>
      </w:r>
    </w:p>
    <w:bookmarkEnd w:id="52"/>
    <w:bookmarkStart w:id="53" w:name="cross-asset-correlation-change"/>
    <w:p>
      <w:pPr>
        <w:pStyle w:val="Heading3"/>
      </w:pPr>
      <w:r>
        <w:t xml:space="preserve">7.3 Cross-Asset Correlation Change</w:t>
      </w:r>
    </w:p>
    <w:p>
      <w:pPr>
        <w:pStyle w:val="FirstParagraph"/>
      </w:pPr>
      <m:oMathPara>
        <m:oMathParaPr>
          <m:jc m:val="center"/>
        </m:oMathParaPr>
        <m:oMath>
          <m:sSub>
            <m:e>
              <m:acc>
                <m:accPr>
                  <m:chr m:val="‾"/>
                </m:accPr>
                <m:e>
                  <m:r>
                    <m:t>ρ</m:t>
                  </m:r>
                </m:e>
              </m:acc>
            </m:e>
            <m:sub>
              <m:r>
                <m:rPr>
                  <m:nor/>
                  <m:sty m:val="p"/>
                </m:rPr>
                <m:t>pre</m:t>
              </m:r>
            </m:sub>
          </m:sSub>
          <m:r>
            <m:rPr>
              <m:sty m:val="p"/>
            </m:rPr>
            <m:t>=</m:t>
          </m:r>
          <m:f>
            <m:fPr>
              <m:type m:val="bar"/>
            </m:fPr>
            <m:num>
              <m:nary>
                <m:naryPr>
                  <m:chr m:val="∑"/>
                  <m:limLoc m:val="undOvr"/>
                  <m:subHide m:val="off"/>
                  <m:supHide m:val="on"/>
                </m:naryPr>
                <m:sub>
                  <m:r>
                    <m:t>i</m:t>
                  </m:r>
                  <m:r>
                    <m:rPr>
                      <m:sty m:val="p"/>
                    </m:rPr>
                    <m:t>≠</m:t>
                  </m:r>
                  <m:r>
                    <m:t>j</m:t>
                  </m:r>
                </m:sub>
                <m:sup>
                  <m:r>
                    <m:t>​</m:t>
                  </m:r>
                </m:sup>
                <m:e>
                  <m:sSubSup>
                    <m:e>
                      <m:r>
                        <m:t>ρ</m:t>
                      </m:r>
                    </m:e>
                    <m:sub>
                      <m:r>
                        <m:t>i</m:t>
                      </m:r>
                      <m:r>
                        <m:t>j</m:t>
                      </m:r>
                    </m:sub>
                    <m:sup>
                      <m:r>
                        <m:rPr>
                          <m:nor/>
                          <m:sty m:val="p"/>
                        </m:rPr>
                        <m:t>pre</m:t>
                      </m:r>
                    </m:sup>
                  </m:sSubSup>
                </m:e>
              </m:nary>
            </m:num>
            <m:den>
              <m:r>
                <m:t>N</m:t>
              </m:r>
              <m:d>
                <m:dPr>
                  <m:begChr m:val="("/>
                  <m:endChr m:val=")"/>
                  <m:sepChr m:val=""/>
                  <m:grow/>
                </m:dPr>
                <m:e>
                  <m:r>
                    <m:t>N</m:t>
                  </m:r>
                  <m:r>
                    <m:rPr>
                      <m:sty m:val="p"/>
                    </m:rPr>
                    <m:t>−</m:t>
                  </m:r>
                  <m:r>
                    <m:t>1</m:t>
                  </m:r>
                </m:e>
              </m:d>
            </m:den>
          </m:f>
          <m:r>
            <m:rPr>
              <m:sty m:val="p"/>
            </m:rPr>
            <m:t>,</m:t>
          </m:r>
          <m:r>
            <m:t> </m:t>
          </m:r>
          <m:sSub>
            <m:e>
              <m:acc>
                <m:accPr>
                  <m:chr m:val="‾"/>
                </m:accPr>
                <m:e>
                  <m:r>
                    <m:t>ρ</m:t>
                  </m:r>
                </m:e>
              </m:acc>
            </m:e>
            <m:sub>
              <m:r>
                <m:rPr>
                  <m:nor/>
                  <m:sty m:val="p"/>
                </m:rPr>
                <m:t>post</m:t>
              </m:r>
            </m:sub>
          </m:sSub>
          <m:r>
            <m:rPr>
              <m:sty m:val="p"/>
            </m:rPr>
            <m:t>=</m:t>
          </m:r>
          <m:f>
            <m:fPr>
              <m:type m:val="bar"/>
            </m:fPr>
            <m:num>
              <m:nary>
                <m:naryPr>
                  <m:chr m:val="∑"/>
                  <m:limLoc m:val="undOvr"/>
                  <m:subHide m:val="off"/>
                  <m:supHide m:val="on"/>
                </m:naryPr>
                <m:sub>
                  <m:r>
                    <m:t>i</m:t>
                  </m:r>
                  <m:r>
                    <m:rPr>
                      <m:sty m:val="p"/>
                    </m:rPr>
                    <m:t>≠</m:t>
                  </m:r>
                  <m:r>
                    <m:t>j</m:t>
                  </m:r>
                </m:sub>
                <m:sup>
                  <m:r>
                    <m:t>​</m:t>
                  </m:r>
                </m:sup>
                <m:e>
                  <m:sSubSup>
                    <m:e>
                      <m:r>
                        <m:t>ρ</m:t>
                      </m:r>
                    </m:e>
                    <m:sub>
                      <m:r>
                        <m:t>i</m:t>
                      </m:r>
                      <m:r>
                        <m:t>j</m:t>
                      </m:r>
                    </m:sub>
                    <m:sup>
                      <m:r>
                        <m:rPr>
                          <m:nor/>
                          <m:sty m:val="p"/>
                        </m:rPr>
                        <m:t>post</m:t>
                      </m:r>
                    </m:sup>
                  </m:sSubSup>
                </m:e>
              </m:nary>
            </m:num>
            <m:den>
              <m:r>
                <m:t>N</m:t>
              </m:r>
              <m:d>
                <m:dPr>
                  <m:begChr m:val="("/>
                  <m:endChr m:val=")"/>
                  <m:sepChr m:val=""/>
                  <m:grow/>
                </m:dPr>
                <m:e>
                  <m:r>
                    <m:t>N</m:t>
                  </m:r>
                  <m:r>
                    <m:rPr>
                      <m:sty m:val="p"/>
                    </m:rPr>
                    <m:t>−</m:t>
                  </m:r>
                  <m:r>
                    <m:t>1</m:t>
                  </m:r>
                </m:e>
              </m:d>
            </m:den>
          </m:f>
        </m:oMath>
      </m:oMathPara>
    </w:p>
    <w:p>
      <w:pPr>
        <w:pStyle w:val="FirstParagraph"/>
      </w:pPr>
      <w:r>
        <w:t xml:space="preserve">An increase in average pairwise correlation post-FOMC suggests</w:t>
      </w:r>
      <w:r>
        <w:t xml:space="preserve"> </w:t>
      </w:r>
      <w:r>
        <w:rPr>
          <w:b/>
          <w:bCs/>
        </w:rPr>
        <w:t xml:space="preserve">herding behavior</w:t>
      </w:r>
      <w:r>
        <w:t xml:space="preserve"> </w:t>
      </w:r>
      <w:r>
        <w:t xml:space="preserve">— investors move in the same direction across asset classes in response to the announcement.</w:t>
      </w:r>
    </w:p>
    <w:p>
      <w:pPr>
        <w:pStyle w:val="BodyText"/>
      </w:pPr>
      <w:r>
        <w:rPr>
          <w:b/>
          <w:bCs/>
        </w:rPr>
        <w:t xml:space="preserve">Window</w:t>
      </w:r>
      <w:r>
        <w:t xml:space="preserve">: 30 trading days pre/post.</w:t>
      </w:r>
    </w:p>
    <w:p>
      <w:r>
        <w:pict>
          <v:rect style="width:0;height:1.5pt" o:hralign="center" o:hrstd="t" o:hr="t"/>
        </w:pict>
      </w:r>
    </w:p>
    <w:bookmarkEnd w:id="53"/>
    <w:bookmarkEnd w:id="54"/>
    <w:bookmarkStart w:id="58" w:name="dashboard-specific-modules"/>
    <w:p>
      <w:pPr>
        <w:pStyle w:val="Heading2"/>
      </w:pPr>
      <w:r>
        <w:t xml:space="preserve">8. Dashboard-Specific Modules</w:t>
      </w:r>
    </w:p>
    <w:bookmarkStart w:id="55" w:name="fed-intelligence-nlp"/>
    <w:p>
      <w:pPr>
        <w:pStyle w:val="Heading3"/>
      </w:pPr>
      <w:r>
        <w:t xml:space="preserve">8.1 Fed Intelligence (NLP)</w:t>
      </w:r>
    </w:p>
    <w:p>
      <w:pPr>
        <w:pStyle w:val="FirstParagraph"/>
      </w:pPr>
      <w:r>
        <w:rPr>
          <w:b/>
          <w:bCs/>
        </w:rPr>
        <w:t xml:space="preserve">Module</w:t>
      </w:r>
      <w:r>
        <w:t xml:space="preserve">:</w:t>
      </w:r>
      <w:r>
        <w:t xml:space="preserve"> </w:t>
      </w:r>
      <w:r>
        <w:rPr>
          <w:rStyle w:val="VerbatimChar"/>
        </w:rPr>
        <w:t xml:space="preserve">modules/analyzers.py</w:t>
      </w:r>
      <w:r>
        <w:t xml:space="preserve"> </w:t>
      </w:r>
      <w:r>
        <w:t xml:space="preserve">(class</w:t>
      </w:r>
      <w:r>
        <w:t xml:space="preserve"> </w:t>
      </w:r>
      <w:r>
        <w:rPr>
          <w:rStyle w:val="VerbatimChar"/>
        </w:rPr>
        <w:t xml:space="preserve">NLPEngine</w:t>
      </w:r>
      <w:r>
        <w:t xml:space="preserve">)</w:t>
      </w:r>
    </w:p>
    <w:p>
      <w:pPr>
        <w:pStyle w:val="Compact"/>
        <w:numPr>
          <w:ilvl w:val="0"/>
          <w:numId w:val="1007"/>
        </w:numPr>
      </w:pPr>
      <w:r>
        <w:rPr>
          <w:b/>
          <w:bCs/>
        </w:rPr>
        <w:t xml:space="preserve">Sentiment</w:t>
      </w:r>
      <w:r>
        <w:t xml:space="preserve">: Hawkish/dovish word counting with partial string matching (</w:t>
      </w:r>
      <w:r>
        <w:rPr>
          <w:rStyle w:val="VerbatimChar"/>
        </w:rPr>
        <w:t xml:space="preserve">any(h in w for h in HAWKISH_WORDS)</w:t>
      </w:r>
      <w:r>
        <w:t xml:space="preserve">)</w:t>
      </w:r>
    </w:p>
    <w:p>
      <w:pPr>
        <w:pStyle w:val="Compact"/>
        <w:numPr>
          <w:ilvl w:val="0"/>
          <w:numId w:val="1007"/>
        </w:numPr>
      </w:pPr>
      <w:r>
        <w:rPr>
          <w:b/>
          <w:bCs/>
        </w:rPr>
        <w:t xml:space="preserve">Readability</w:t>
      </w:r>
      <w:r>
        <w:t xml:space="preserve">: Simplified Flesch Reading Ease score:</w:t>
      </w:r>
    </w:p>
    <w:p>
      <w:pPr>
        <w:pStyle w:val="Compact"/>
      </w:pPr>
      <m:oMathPara>
        <m:oMathParaPr>
          <m:jc m:val="center"/>
        </m:oMathParaPr>
        <m:oMath>
          <m:r>
            <m:rPr>
              <m:nor/>
              <m:sty m:val="p"/>
            </m:rPr>
            <m:t>Flesch</m:t>
          </m:r>
          <m:r>
            <m:rPr>
              <m:sty m:val="p"/>
            </m:rPr>
            <m:t>=</m:t>
          </m:r>
          <m:r>
            <m:t>206.835</m:t>
          </m:r>
          <m:r>
            <m:rPr>
              <m:sty m:val="p"/>
            </m:rPr>
            <m:t>−</m:t>
          </m:r>
          <m:r>
            <m:t>1.015</m:t>
          </m:r>
          <m:r>
            <m:rPr>
              <m:sty m:val="p"/>
            </m:rPr>
            <m:t>⋅</m:t>
          </m:r>
          <m:f>
            <m:fPr>
              <m:type m:val="bar"/>
            </m:fPr>
            <m:num>
              <m:r>
                <m:rPr>
                  <m:nor/>
                  <m:sty m:val="p"/>
                </m:rPr>
                <m:t>words</m:t>
              </m:r>
            </m:num>
            <m:den>
              <m:r>
                <m:rPr>
                  <m:nor/>
                  <m:sty m:val="p"/>
                </m:rPr>
                <m:t>sentences</m:t>
              </m:r>
            </m:den>
          </m:f>
          <m:r>
            <m:rPr>
              <m:sty m:val="p"/>
            </m:rPr>
            <m:t>−</m:t>
          </m:r>
          <m:r>
            <m:t>84.6</m:t>
          </m:r>
          <m:r>
            <m:rPr>
              <m:sty m:val="p"/>
            </m:rPr>
            <m:t>⋅</m:t>
          </m:r>
          <m:f>
            <m:fPr>
              <m:type m:val="bar"/>
            </m:fPr>
            <m:num>
              <m:r>
                <m:rPr>
                  <m:nor/>
                  <m:sty m:val="p"/>
                </m:rPr>
                <m:t>syllables</m:t>
              </m:r>
            </m:num>
            <m:den>
              <m:r>
                <m:rPr>
                  <m:nor/>
                  <m:sty m:val="p"/>
                </m:rPr>
                <m:t>words</m:t>
              </m:r>
            </m:den>
          </m:f>
        </m:oMath>
      </m:oMathPara>
    </w:p>
    <w:p>
      <w:pPr>
        <w:pStyle w:val="Compact"/>
        <w:numPr>
          <w:ilvl w:val="0"/>
          <w:numId w:val="1007"/>
        </w:numPr>
      </w:pPr>
      <w:r>
        <w:rPr>
          <w:b/>
          <w:bCs/>
        </w:rPr>
        <w:t xml:space="preserve">Diff analysis</w:t>
      </w:r>
      <w:r>
        <w:t xml:space="preserve">: Set-difference of word tokens between two statements, filtered to words &gt; 4 characters</w:t>
      </w:r>
    </w:p>
    <w:bookmarkEnd w:id="55"/>
    <w:bookmarkStart w:id="56" w:name="two-shocks-dashboard-visualization"/>
    <w:p>
      <w:pPr>
        <w:pStyle w:val="Heading3"/>
      </w:pPr>
      <w:r>
        <w:t xml:space="preserve">8.2 Two Shocks (Dashboard Visualization)</w:t>
      </w:r>
    </w:p>
    <w:p>
      <w:pPr>
        <w:pStyle w:val="FirstParagraph"/>
      </w:pPr>
      <w:r>
        <w:rPr>
          <w:b/>
          <w:bCs/>
        </w:rPr>
        <w:t xml:space="preserve">Module</w:t>
      </w:r>
      <w:r>
        <w:t xml:space="preserve">:</w:t>
      </w:r>
      <w:r>
        <w:t xml:space="preserve"> </w:t>
      </w:r>
      <w:r>
        <w:rPr>
          <w:rStyle w:val="VerbatimChar"/>
        </w:rPr>
        <w:t xml:space="preserve">modules/analyzers.py</w:t>
      </w:r>
      <w:r>
        <w:t xml:space="preserve"> </w:t>
      </w:r>
      <w:r>
        <w:t xml:space="preserve">(class</w:t>
      </w:r>
      <w:r>
        <w:t xml:space="preserve"> </w:t>
      </w:r>
      <w:r>
        <w:rPr>
          <w:rStyle w:val="VerbatimChar"/>
        </w:rPr>
        <w:t xml:space="preserve">TwoShocksEngine</w:t>
      </w:r>
      <w:r>
        <w:t xml:space="preserve">)</w:t>
      </w:r>
    </w:p>
    <w:p>
      <w:pPr>
        <w:pStyle w:val="BodyText"/>
      </w:pPr>
      <w:r>
        <w:t xml:space="preserve">The dashboard version uses</w:t>
      </w:r>
      <w:r>
        <w:t xml:space="preserve"> </w:t>
      </w:r>
      <w:r>
        <w:rPr>
          <w:b/>
          <w:bCs/>
        </w:rPr>
        <w:t xml:space="preserve">simulated</w:t>
      </w:r>
      <w:r>
        <w:t xml:space="preserve"> </w:t>
      </w:r>
      <w:r>
        <w:t xml:space="preserve">variance decomposition with empirical priors: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center"/>
            </w:pPr>
            <w:r>
              <w:t xml:space="preserve">Policy %</w:t>
            </w:r>
          </w:p>
        </w:tc>
        <w:tc>
          <w:tcPr/>
          <w:p>
            <w:pPr>
              <w:pStyle w:val="Compact"/>
              <w:jc w:val="center"/>
            </w:pPr>
            <w:r>
              <w:t xml:space="preserve">Info %</w:t>
            </w:r>
          </w:p>
        </w:tc>
      </w:tr>
      <w:tr>
        <w:tc>
          <w:tcPr/>
          <w:p>
            <w:pPr>
              <w:pStyle w:val="Compact"/>
              <w:jc w:val="left"/>
            </w:pPr>
            <w:r>
              <w:t xml:space="preserve">S&amp;P 500</w:t>
            </w:r>
          </w:p>
        </w:tc>
        <w:tc>
          <w:tcPr/>
          <w:p>
            <w:pPr>
              <w:pStyle w:val="Compact"/>
              <w:jc w:val="center"/>
            </w:pPr>
            <w:r>
              <w:t xml:space="preserve">55</w:t>
            </w:r>
          </w:p>
        </w:tc>
        <w:tc>
          <w:tcPr/>
          <w:p>
            <w:pPr>
              <w:pStyle w:val="Compact"/>
              <w:jc w:val="center"/>
            </w:pPr>
            <w:r>
              <w:t xml:space="preserve">45</w:t>
            </w:r>
          </w:p>
        </w:tc>
      </w:tr>
      <w:tr>
        <w:tc>
          <w:tcPr/>
          <w:p>
            <w:pPr>
              <w:pStyle w:val="Compact"/>
              <w:jc w:val="left"/>
            </w:pPr>
            <w:r>
              <w:t xml:space="preserve">10Y Treasury</w:t>
            </w:r>
          </w:p>
        </w:tc>
        <w:tc>
          <w:tcPr/>
          <w:p>
            <w:pPr>
              <w:pStyle w:val="Compact"/>
              <w:jc w:val="center"/>
            </w:pPr>
            <w:r>
              <w:t xml:space="preserve">70</w:t>
            </w:r>
          </w:p>
        </w:tc>
        <w:tc>
          <w:tcPr/>
          <w:p>
            <w:pPr>
              <w:pStyle w:val="Compact"/>
              <w:jc w:val="center"/>
            </w:pPr>
            <w:r>
              <w:t xml:space="preserve">30</w:t>
            </w:r>
          </w:p>
        </w:tc>
      </w:tr>
      <w:tr>
        <w:tc>
          <w:tcPr/>
          <w:p>
            <w:pPr>
              <w:pStyle w:val="Compact"/>
              <w:jc w:val="left"/>
            </w:pPr>
            <w:r>
              <w:t xml:space="preserve">DXY</w:t>
            </w:r>
          </w:p>
        </w:tc>
        <w:tc>
          <w:tcPr/>
          <w:p>
            <w:pPr>
              <w:pStyle w:val="Compact"/>
              <w:jc w:val="center"/>
            </w:pPr>
            <w:r>
              <w:t xml:space="preserve">65</w:t>
            </w:r>
          </w:p>
        </w:tc>
        <w:tc>
          <w:tcPr/>
          <w:p>
            <w:pPr>
              <w:pStyle w:val="Compact"/>
              <w:jc w:val="center"/>
            </w:pPr>
            <w:r>
              <w:t xml:space="preserve">35</w:t>
            </w:r>
          </w:p>
        </w:tc>
      </w:tr>
      <w:tr>
        <w:tc>
          <w:tcPr/>
          <w:p>
            <w:pPr>
              <w:pStyle w:val="Compact"/>
              <w:jc w:val="left"/>
            </w:pPr>
            <w:r>
              <w:t xml:space="preserve">VIX</w:t>
            </w:r>
          </w:p>
        </w:tc>
        <w:tc>
          <w:tcPr/>
          <w:p>
            <w:pPr>
              <w:pStyle w:val="Compact"/>
              <w:jc w:val="center"/>
            </w:pPr>
            <w:r>
              <w:t xml:space="preserve">40</w:t>
            </w:r>
          </w:p>
        </w:tc>
        <w:tc>
          <w:tcPr/>
          <w:p>
            <w:pPr>
              <w:pStyle w:val="Compact"/>
              <w:jc w:val="center"/>
            </w:pPr>
            <w:r>
              <w:t xml:space="preserve">60</w:t>
            </w:r>
          </w:p>
        </w:tc>
      </w:tr>
      <w:tr>
        <w:tc>
          <w:tcPr/>
          <w:p>
            <w:pPr>
              <w:pStyle w:val="Compact"/>
              <w:jc w:val="left"/>
            </w:pPr>
            <w:r>
              <w:t xml:space="preserve">Gold</w:t>
            </w:r>
          </w:p>
        </w:tc>
        <w:tc>
          <w:tcPr/>
          <w:p>
            <w:pPr>
              <w:pStyle w:val="Compact"/>
              <w:jc w:val="center"/>
            </w:pPr>
            <w:r>
              <w:t xml:space="preserve">50</w:t>
            </w:r>
          </w:p>
        </w:tc>
        <w:tc>
          <w:tcPr/>
          <w:p>
            <w:pPr>
              <w:pStyle w:val="Compact"/>
              <w:jc w:val="center"/>
            </w:pPr>
            <w:r>
              <w:t xml:space="preserve">50</w:t>
            </w:r>
          </w:p>
        </w:tc>
      </w:tr>
    </w:tbl>
    <w:p>
      <w:pPr>
        <w:pStyle w:val="BodyText"/>
      </w:pPr>
      <w:r>
        <w:t xml:space="preserve">With Gaussian noise (</w:t>
      </w:r>
      <m:oMath>
        <m:r>
          <m:t>σ</m:t>
        </m:r>
        <m:r>
          <m:rPr>
            <m:sty m:val="p"/>
          </m:rPr>
          <m:t>=</m:t>
        </m:r>
        <m:r>
          <m:t>3</m:t>
        </m:r>
      </m:oMath>
      <w:r>
        <w:t xml:space="preserve">) added and renormalized to 100%. These are</w:t>
      </w:r>
      <w:r>
        <w:t xml:space="preserve"> </w:t>
      </w:r>
      <w:r>
        <w:rPr>
          <w:b/>
          <w:bCs/>
        </w:rPr>
        <w:t xml:space="preserve">illustrative</w:t>
      </w:r>
      <w:r>
        <w:t xml:space="preserve"> </w:t>
      </w:r>
      <w:r>
        <w:t xml:space="preserve">and will be replaced by actual regression-based decomposition once WRDS data is available.</w:t>
      </w:r>
    </w:p>
    <w:bookmarkEnd w:id="56"/>
    <w:bookmarkStart w:id="57" w:name="portfolio-rebalancing-simulation"/>
    <w:p>
      <w:pPr>
        <w:pStyle w:val="Heading3"/>
      </w:pPr>
      <w:r>
        <w:t xml:space="preserve">8.3 Portfolio Rebalancing Simulation</w:t>
      </w:r>
    </w:p>
    <w:p>
      <w:pPr>
        <w:pStyle w:val="FirstParagraph"/>
      </w:pPr>
      <w:r>
        <w:rPr>
          <w:b/>
          <w:bCs/>
        </w:rPr>
        <w:t xml:space="preserve">Module</w:t>
      </w:r>
      <w:r>
        <w:t xml:space="preserve">:</w:t>
      </w:r>
      <w:r>
        <w:t xml:space="preserve"> </w:t>
      </w:r>
      <w:r>
        <w:rPr>
          <w:rStyle w:val="VerbatimChar"/>
        </w:rPr>
        <w:t xml:space="preserve">modules/analyzers.py</w:t>
      </w:r>
      <w:r>
        <w:t xml:space="preserve"> </w:t>
      </w:r>
      <w:r>
        <w:t xml:space="preserve">(class</w:t>
      </w:r>
      <w:r>
        <w:t xml:space="preserve"> </w:t>
      </w:r>
      <w:r>
        <w:rPr>
          <w:rStyle w:val="VerbatimChar"/>
        </w:rPr>
        <w:t xml:space="preserve">PortfolioEngine</w:t>
      </w:r>
      <w:r>
        <w:t xml:space="preserve">)</w:t>
      </w:r>
    </w:p>
    <w:p>
      <w:pPr>
        <w:pStyle w:val="BodyText"/>
      </w:pPr>
      <w:r>
        <w:t xml:space="preserve">5 investor types × 6 shock scenarios, with pre-specified allocation shifts:</w:t>
      </w:r>
    </w:p>
    <w:p>
      <w:pPr>
        <w:pStyle w:val="Compact"/>
        <w:numPr>
          <w:ilvl w:val="0"/>
          <w:numId w:val="1008"/>
        </w:numPr>
      </w:pPr>
      <w:r>
        <w:rPr>
          <w:b/>
          <w:bCs/>
        </w:rPr>
        <w:t xml:space="preserve">Base allocations</w:t>
      </w:r>
      <w:r>
        <w:t xml:space="preserve">: Mutual Funds, Hedge Funds, Pension Funds, Foreign Investors, Retail</w:t>
      </w:r>
    </w:p>
    <w:p>
      <w:pPr>
        <w:pStyle w:val="Compact"/>
        <w:numPr>
          <w:ilvl w:val="0"/>
          <w:numId w:val="1008"/>
        </w:numPr>
      </w:pPr>
      <w:r>
        <w:rPr>
          <w:b/>
          <w:bCs/>
        </w:rPr>
        <w:t xml:space="preserve">Shock scenarios</w:t>
      </w:r>
      <w:r>
        <w:t xml:space="preserve">: ±25bp, ±50bp rate surprise; strong/weak economy information shock</w:t>
      </w:r>
    </w:p>
    <w:p>
      <w:pPr>
        <w:pStyle w:val="Compact"/>
        <w:numPr>
          <w:ilvl w:val="0"/>
          <w:numId w:val="1008"/>
        </w:numPr>
      </w:pPr>
      <w:r>
        <w:rPr>
          <w:b/>
          <w:bCs/>
        </w:rPr>
        <w:t xml:space="preserve">Method</w:t>
      </w:r>
      <w:r>
        <w:t xml:space="preserve">: Add shock effect to base allocation, clip at 0, renormalize to 100%</w:t>
      </w:r>
    </w:p>
    <w:p>
      <w:pPr>
        <w:pStyle w:val="FirstParagraph"/>
      </w:pPr>
      <w:r>
        <w:t xml:space="preserve">This is a</w:t>
      </w:r>
      <w:r>
        <w:t xml:space="preserve"> </w:t>
      </w:r>
      <w:r>
        <w:rPr>
          <w:b/>
          <w:bCs/>
        </w:rPr>
        <w:t xml:space="preserve">heuristic simulation</w:t>
      </w:r>
      <w:r>
        <w:t xml:space="preserve">, not estimated from data. It serves as a pedagogical tool for understanding directional capital flow patterns.</w:t>
      </w:r>
    </w:p>
    <w:p>
      <w:r>
        <w:pict>
          <v:rect style="width:0;height:1.5pt" o:hralign="center" o:hrstd="t" o:hr="t"/>
        </w:pict>
      </w:r>
    </w:p>
    <w:bookmarkEnd w:id="57"/>
    <w:bookmarkEnd w:id="58"/>
    <w:bookmarkStart w:id="65" w:name="key-methodological-notes-limitations"/>
    <w:p>
      <w:pPr>
        <w:pStyle w:val="Heading2"/>
      </w:pPr>
      <w:r>
        <w:t xml:space="preserve">9. Key Methodological Notes &amp; Limitations</w:t>
      </w:r>
    </w:p>
    <w:bookmarkStart w:id="59" w:name="surprise-measurement"/>
    <w:p>
      <w:pPr>
        <w:pStyle w:val="Heading3"/>
      </w:pPr>
      <w:r>
        <w:t xml:space="preserve">9.1 Surprise Measurement</w:t>
      </w:r>
    </w:p>
    <w:tbl>
      <w:tblPr>
        <w:tblStyle w:val="Table"/>
        <w:tblW w:type="pct" w:w="5000"/>
        <w:jc w:val="left"/>
        <w:tblLayout w:type="fixed"/>
        <w:tblLook w:firstRow="1" w:lastRow="0" w:firstColumn="0" w:lastColumn="0" w:noHBand="0" w:noVBand="0" w:val="0020"/>
      </w:tblPr>
      <w:tblGrid>
        <w:gridCol w:w="1885"/>
        <w:gridCol w:w="2828"/>
        <w:gridCol w:w="1508"/>
        <w:gridCol w:w="1697"/>
      </w:tblGrid>
      <w:tr>
        <w:trPr>
          <w:tblHeader w:val="on"/>
        </w:trPr>
        <w:tc>
          <w:tcPr/>
          <w:p>
            <w:pPr>
              <w:pStyle w:val="Compact"/>
              <w:jc w:val="left"/>
            </w:pPr>
            <w:r>
              <w:t xml:space="preserve">Approach</w:t>
            </w:r>
          </w:p>
        </w:tc>
        <w:tc>
          <w:tcPr/>
          <w:p>
            <w:pPr>
              <w:pStyle w:val="Compact"/>
              <w:jc w:val="left"/>
            </w:pPr>
            <w:r>
              <w:t xml:space="preserve">Data Required</w:t>
            </w:r>
          </w:p>
        </w:tc>
        <w:tc>
          <w:tcPr/>
          <w:p>
            <w:pPr>
              <w:pStyle w:val="Compact"/>
              <w:jc w:val="left"/>
            </w:pPr>
            <w:r>
              <w:t xml:space="preserve">Status</w:t>
            </w:r>
          </w:p>
        </w:tc>
        <w:tc>
          <w:tcPr/>
          <w:p>
            <w:pPr>
              <w:pStyle w:val="Compact"/>
              <w:jc w:val="left"/>
            </w:pPr>
            <w:r>
              <w:t xml:space="preserve">Quality</w:t>
            </w:r>
          </w:p>
        </w:tc>
      </w:tr>
      <w:tr>
        <w:tc>
          <w:tcPr/>
          <w:p>
            <w:pPr>
              <w:pStyle w:val="Compact"/>
              <w:jc w:val="left"/>
            </w:pPr>
            <w:r>
              <w:t xml:space="preserve">Δr_t (rate change)</w:t>
            </w:r>
          </w:p>
        </w:tc>
        <w:tc>
          <w:tcPr/>
          <w:p>
            <w:pPr>
              <w:pStyle w:val="Compact"/>
              <w:jc w:val="left"/>
            </w:pPr>
            <w:r>
              <w:t xml:space="preserve">FOMC records</w:t>
            </w:r>
          </w:p>
        </w:tc>
        <w:tc>
          <w:tcPr/>
          <w:p>
            <w:pPr>
              <w:pStyle w:val="Compact"/>
              <w:jc w:val="left"/>
            </w:pPr>
            <w:r>
              <w:t xml:space="preserve">✅ Legacy (v1–v4)</w:t>
            </w:r>
          </w:p>
        </w:tc>
        <w:tc>
          <w:tcPr/>
          <w:p>
            <w:pPr>
              <w:pStyle w:val="Compact"/>
              <w:jc w:val="left"/>
            </w:pPr>
            <w:r>
              <w:t xml:space="preserve">Low — zero for unchanged meetings</w:t>
            </w:r>
          </w:p>
        </w:tc>
      </w:tr>
      <w:tr>
        <w:tc>
          <w:tcPr/>
          <w:p>
            <w:pPr>
              <w:pStyle w:val="Compact"/>
              <w:jc w:val="left"/>
            </w:pPr>
            <w:r>
              <w:t xml:space="preserve">Acosta et al. (2024) shocks</w:t>
            </w:r>
          </w:p>
        </w:tc>
        <w:tc>
          <w:tcPr/>
          <w:p>
            <w:pPr>
              <w:pStyle w:val="Compact"/>
              <w:jc w:val="left"/>
            </w:pPr>
            <w:r>
              <w:t xml:space="preserve">HF futures</w:t>
            </w:r>
          </w:p>
        </w:tc>
        <w:tc>
          <w:tcPr/>
          <w:p>
            <w:pPr>
              <w:pStyle w:val="Compact"/>
              <w:jc w:val="left"/>
            </w:pPr>
            <w:r>
              <w:t xml:space="preserve">✅ Active (v6+)</w:t>
            </w:r>
          </w:p>
        </w:tc>
        <w:tc>
          <w:tcPr/>
          <w:p>
            <w:pPr>
              <w:pStyle w:val="Compact"/>
              <w:jc w:val="left"/>
            </w:pPr>
            <w:r>
              <w:t xml:space="preserve">High — market-based, narrow-window</w:t>
            </w:r>
          </w:p>
        </w:tc>
      </w:tr>
      <w:tr>
        <w:tc>
          <w:tcPr/>
          <w:p>
            <w:pPr>
              <w:pStyle w:val="Compact"/>
              <w:jc w:val="left"/>
            </w:pPr>
            <w:r>
              <w:t xml:space="preserve">Kuttner (2001) target surprise</w:t>
            </w:r>
          </w:p>
        </w:tc>
        <w:tc>
          <w:tcPr/>
          <w:p>
            <w:pPr>
              <w:pStyle w:val="Compact"/>
              <w:jc w:val="left"/>
            </w:pPr>
            <w:r>
              <w:t xml:space="preserve">CME FF futures</w:t>
            </w:r>
          </w:p>
        </w:tc>
        <w:tc>
          <w:tcPr/>
          <w:p>
            <w:pPr>
              <w:pStyle w:val="Compact"/>
              <w:jc w:val="left"/>
            </w:pPr>
            <w:r>
              <w:t xml:space="preserve">⏳ WRDS pending</w:t>
            </w:r>
          </w:p>
        </w:tc>
        <w:tc>
          <w:tcPr/>
          <w:p>
            <w:pPr>
              <w:pStyle w:val="Compact"/>
              <w:jc w:val="left"/>
            </w:pPr>
            <w:r>
              <w:t xml:space="preserve">High — direct replication</w:t>
            </w:r>
          </w:p>
        </w:tc>
      </w:tr>
      <w:tr>
        <w:tc>
          <w:tcPr/>
          <w:p>
            <w:pPr>
              <w:pStyle w:val="Compact"/>
              <w:jc w:val="left"/>
            </w:pPr>
            <w:r>
              <w:t xml:space="preserve">Gürkaynak et al. (2005) path factor</w:t>
            </w:r>
          </w:p>
        </w:tc>
        <w:tc>
          <w:tcPr/>
          <w:p>
            <w:pPr>
              <w:pStyle w:val="Compact"/>
              <w:jc w:val="left"/>
            </w:pPr>
            <w:r>
              <w:t xml:space="preserve">CME ED futures</w:t>
            </w:r>
          </w:p>
        </w:tc>
        <w:tc>
          <w:tcPr/>
          <w:p>
            <w:pPr>
              <w:pStyle w:val="Compact"/>
              <w:jc w:val="left"/>
            </w:pPr>
            <w:r>
              <w:t xml:space="preserve">⏳ WRDS pending</w:t>
            </w:r>
          </w:p>
        </w:tc>
        <w:tc>
          <w:tcPr/>
          <w:p>
            <w:pPr>
              <w:pStyle w:val="Compact"/>
              <w:jc w:val="left"/>
            </w:pPr>
            <w:r>
              <w:t xml:space="preserve">High — captures forward guidance</w:t>
            </w:r>
          </w:p>
        </w:tc>
      </w:tr>
    </w:tbl>
    <w:p>
      <w:pPr>
        <w:pStyle w:val="BodyText"/>
      </w:pPr>
      <w:r>
        <w:rPr>
          <w:b/>
          <w:bCs/>
        </w:rPr>
        <w:t xml:space="preserve">Impact</w:t>
      </w:r>
      <w:r>
        <w:t xml:space="preserve">: The switch from naive proxy to Acosta shocks increased H1 R² from 0.39% to 4.06%, a 10× improvement. The path factor is now significant at 5% (was not detectable with Δr).</w:t>
      </w:r>
    </w:p>
    <w:bookmarkEnd w:id="59"/>
    <w:bookmarkStart w:id="60" w:name="sentiment-measurement"/>
    <w:p>
      <w:pPr>
        <w:pStyle w:val="Heading3"/>
      </w:pPr>
      <w:r>
        <w:t xml:space="preserve">9.2 Sentiment Measurement</w:t>
      </w:r>
    </w:p>
    <w:p>
      <w:pPr>
        <w:pStyle w:val="FirstParagraph"/>
      </w:pPr>
      <w:r>
        <w:t xml:space="preserve">The dictionary approach has known limitations (see §3.3). The most impactful upgrade path:</w:t>
      </w:r>
    </w:p>
    <w:p>
      <w:pPr>
        <w:pStyle w:val="Compact"/>
        <w:numPr>
          <w:ilvl w:val="0"/>
          <w:numId w:val="1009"/>
        </w:numPr>
      </w:pPr>
      <w:r>
        <w:rPr>
          <w:b/>
          <w:bCs/>
        </w:rPr>
        <w:t xml:space="preserve">Short-term</w:t>
      </w:r>
      <w:r>
        <w:t xml:space="preserve">: Use CB-only sentiment for H1 regression (has actual sign variation, 78% negative)</w:t>
      </w:r>
    </w:p>
    <w:p>
      <w:pPr>
        <w:pStyle w:val="Compact"/>
        <w:numPr>
          <w:ilvl w:val="0"/>
          <w:numId w:val="1009"/>
        </w:numPr>
      </w:pPr>
      <w:r>
        <w:rPr>
          <w:b/>
          <w:bCs/>
        </w:rPr>
        <w:t xml:space="preserve">Medium-term</w:t>
      </w:r>
      <w:r>
        <w:t xml:space="preserve">: Implement FinBERT for contextual sentiment (requires GPU)</w:t>
      </w:r>
    </w:p>
    <w:p>
      <w:pPr>
        <w:pStyle w:val="Compact"/>
        <w:numPr>
          <w:ilvl w:val="0"/>
          <w:numId w:val="1009"/>
        </w:numPr>
      </w:pPr>
      <w:r>
        <w:rPr>
          <w:b/>
          <w:bCs/>
        </w:rPr>
        <w:t xml:space="preserve">Long-term</w:t>
      </w:r>
      <w:r>
        <w:t xml:space="preserve">: Fine-tune a BERT model on FOMC statements with hawkish/dovish labels</w:t>
      </w:r>
    </w:p>
    <w:p>
      <w:pPr>
        <w:pStyle w:val="FirstParagraph"/>
      </w:pPr>
      <w:r>
        <w:rPr>
          <w:b/>
          <w:bCs/>
        </w:rPr>
        <w:t xml:space="preserve">LM positivity bias</w:t>
      </w:r>
      <w:r>
        <w:t xml:space="preserve">: The LM score is always positive for FOMC text (min = 0.006 across 140 statements). This is because FOMC statements use more positive than negative words regardless of policy stance — they say</w:t>
      </w:r>
      <w:r>
        <w:t xml:space="preserve"> </w:t>
      </w:r>
      <w:r>
        <w:t xml:space="preserve">“</w:t>
      </w:r>
      <w:r>
        <w:t xml:space="preserve">growth</w:t>
      </w:r>
      <w:r>
        <w:t xml:space="preserve">”</w:t>
      </w:r>
      <w:r>
        <w:t xml:space="preserve"> </w:t>
      </w:r>
      <w:r>
        <w:t xml:space="preserve">and</w:t>
      </w:r>
      <w:r>
        <w:t xml:space="preserve"> </w:t>
      </w:r>
      <w:r>
        <w:t xml:space="preserve">“</w:t>
      </w:r>
      <w:r>
        <w:t xml:space="preserve">stable</w:t>
      </w:r>
      <w:r>
        <w:t xml:space="preserve">”</w:t>
      </w:r>
      <w:r>
        <w:t xml:space="preserve"> </w:t>
      </w:r>
      <w:r>
        <w:t xml:space="preserve">even when cutting rates. The combined = 0.5 × LM + 0.5 × CB dilutes the CB signal. Using CB-only sentiment should improve H1 R².</w:t>
      </w:r>
    </w:p>
    <w:bookmarkEnd w:id="60"/>
    <w:bookmarkStart w:id="61" w:name="standard-errors"/>
    <w:p>
      <w:pPr>
        <w:pStyle w:val="Heading3"/>
      </w:pPr>
      <w:r>
        <w:t xml:space="preserve">9.3 Standard Errors</w:t>
      </w:r>
    </w:p>
    <w:p>
      <w:pPr>
        <w:pStyle w:val="FirstParagraph"/>
      </w:pPr>
      <w:r>
        <w:t xml:space="preserve">Current implementation uses</w:t>
      </w:r>
      <w:r>
        <w:t xml:space="preserve"> </w:t>
      </w:r>
      <w:r>
        <w:rPr>
          <w:b/>
          <w:bCs/>
        </w:rPr>
        <w:t xml:space="preserve">Newey-West HAC</w:t>
      </w:r>
      <w:r>
        <w:t xml:space="preserve"> </w:t>
      </w:r>
      <w:r>
        <w:t xml:space="preserve">standard errors with lag = 1. This is appropriate for time-series data with potential heteroskedasticity and autocorrelation.</w:t>
      </w:r>
    </w:p>
    <w:p>
      <w:pPr>
        <w:pStyle w:val="BodyText"/>
      </w:pPr>
      <w:r>
        <w:rPr>
          <w:b/>
          <w:bCs/>
        </w:rPr>
        <w:t xml:space="preserve">Lag choice</w:t>
      </w:r>
      <w:r>
        <w:t xml:space="preserve">: Lag = 1 is conservative. The Bartlett formula suggests lag ≈ 4 for T = 117, but FOMC meetings are irregularly spaced (6–8 per year), making the autocorrelation structure different from daily data. Lag = 1 may understate standard errors (overstate significance). Sensitivity analysis with lag = 4 is recommended.</w:t>
      </w:r>
    </w:p>
    <w:p>
      <w:pPr>
        <w:pStyle w:val="BodyText"/>
      </w:pPr>
      <w:r>
        <w:rPr>
          <w:b/>
          <w:bCs/>
        </w:rPr>
        <w:t xml:space="preserve">Planned upgrades</w:t>
      </w:r>
      <w:r>
        <w:t xml:space="preserve">:</w:t>
      </w:r>
      <w:r>
        <w:t xml:space="preserve"> </w:t>
      </w:r>
      <w:r>
        <w:t xml:space="preserve">-</w:t>
      </w:r>
      <w:r>
        <w:t xml:space="preserve"> </w:t>
      </w:r>
      <w:r>
        <w:rPr>
          <w:b/>
          <w:bCs/>
        </w:rPr>
        <w:t xml:space="preserve">White (1980)</w:t>
      </w:r>
      <w:r>
        <w:t xml:space="preserve"> </w:t>
      </w:r>
      <w:r>
        <w:t xml:space="preserve">heteroskedasticity-robust SE for cross-sectional regressions</w:t>
      </w:r>
      <w:r>
        <w:t xml:space="preserve"> </w:t>
      </w:r>
      <w:r>
        <w:t xml:space="preserve">-</w:t>
      </w:r>
      <w:r>
        <w:t xml:space="preserve"> </w:t>
      </w:r>
      <w:r>
        <w:rPr>
          <w:b/>
          <w:bCs/>
        </w:rPr>
        <w:t xml:space="preserve">Thompson (2011)</w:t>
      </w:r>
      <w:r>
        <w:t xml:space="preserve"> </w:t>
      </w:r>
      <w:r>
        <w:t xml:space="preserve">double-clustered SE (by time and by asset) for panel regressions</w:t>
      </w:r>
      <w:r>
        <w:t xml:space="preserve"> </w:t>
      </w:r>
      <w:r>
        <w:t xml:space="preserve">-</w:t>
      </w:r>
      <w:r>
        <w:t xml:space="preserve"> </w:t>
      </w:r>
      <w:r>
        <w:rPr>
          <w:b/>
          <w:bCs/>
        </w:rPr>
        <w:t xml:space="preserve">Lag sensitivity analysis</w:t>
      </w:r>
      <w:r>
        <w:t xml:space="preserve">: Report results for lag ∈ {1, 2, 4, 6}</w:t>
      </w:r>
    </w:p>
    <w:bookmarkEnd w:id="61"/>
    <w:bookmarkStart w:id="62" w:name="multiple-testing"/>
    <w:p>
      <w:pPr>
        <w:pStyle w:val="Heading3"/>
      </w:pPr>
      <w:r>
        <w:t xml:space="preserve">9.4 Multiple Testing</w:t>
      </w:r>
    </w:p>
    <w:p>
      <w:pPr>
        <w:pStyle w:val="FirstParagraph"/>
      </w:pPr>
      <w:r>
        <w:t xml:space="preserve">H2 tests 3+ assets simultaneously. Without correction, the probability of at least one false positive at</w:t>
      </w:r>
      <w:r>
        <w:t xml:space="preserve"> </w:t>
      </w:r>
      <m:oMath>
        <m:r>
          <m:t>α</m:t>
        </m:r>
        <m:r>
          <m:rPr>
            <m:sty m:val="p"/>
          </m:rPr>
          <m:t>=</m:t>
        </m:r>
        <m:r>
          <m:t>0.10</m:t>
        </m:r>
      </m:oMath>
      <w:r>
        <w:t xml:space="preserve"> </w:t>
      </w:r>
      <w:r>
        <w:t xml:space="preserve">is</w:t>
      </w:r>
      <w:r>
        <w:t xml:space="preserve"> </w:t>
      </w:r>
      <m:oMath>
        <m:r>
          <m:t>1</m:t>
        </m:r>
        <m:r>
          <m:rPr>
            <m:sty m:val="p"/>
          </m:rPr>
          <m:t>−</m:t>
        </m:r>
        <m:sSup>
          <m:e>
            <m:r>
              <m:t>0.90</m:t>
            </m:r>
          </m:e>
          <m:sup>
            <m:r>
              <m:t>3</m:t>
            </m:r>
          </m:sup>
        </m:sSup>
        <m:r>
          <m:rPr>
            <m:sty m:val="p"/>
          </m:rPr>
          <m:t>=</m:t>
        </m:r>
        <m:r>
          <m:t>27</m:t>
        </m:r>
        <m:r>
          <m:rPr>
            <m:sty m:val="p"/>
          </m:rPr>
          <m:t>%</m:t>
        </m:r>
      </m:oMath>
      <w:r>
        <w:t xml:space="preserve">. Appropriate corrections:</w:t>
      </w:r>
      <w:r>
        <w:t xml:space="preserve"> </w:t>
      </w:r>
      <w:r>
        <w:t xml:space="preserve">-</w:t>
      </w:r>
      <w:r>
        <w:t xml:space="preserve"> </w:t>
      </w:r>
      <w:r>
        <w:rPr>
          <w:b/>
          <w:bCs/>
        </w:rPr>
        <w:t xml:space="preserve">Bonferroni</w:t>
      </w:r>
      <w:r>
        <w:t xml:space="preserve">:</w:t>
      </w:r>
      <w:r>
        <w:t xml:space="preserve"> </w:t>
      </w:r>
      <m:oMath>
        <m:sSup>
          <m:e>
            <m:r>
              <m:t>α</m:t>
            </m:r>
          </m:e>
          <m:sup>
            <m:r>
              <m:rPr>
                <m:sty m:val="p"/>
              </m:rPr>
              <m:t>*</m:t>
            </m:r>
          </m:sup>
        </m:sSup>
        <m:r>
          <m:rPr>
            <m:sty m:val="p"/>
          </m:rPr>
          <m:t>=</m:t>
        </m:r>
        <m:r>
          <m:t>0.10</m:t>
        </m:r>
        <m:r>
          <m:rPr>
            <m:sty m:val="p"/>
          </m:rPr>
          <m:t>/</m:t>
        </m:r>
        <m:r>
          <m:t>3</m:t>
        </m:r>
        <m:r>
          <m:rPr>
            <m:sty m:val="p"/>
          </m:rPr>
          <m:t>=</m:t>
        </m:r>
        <m:r>
          <m:t>0.033</m:t>
        </m:r>
      </m:oMath>
      <w:r>
        <w:t xml:space="preserve"> </w:t>
      </w:r>
      <w:r>
        <w:t xml:space="preserve">-</w:t>
      </w:r>
      <w:r>
        <w:t xml:space="preserve"> </w:t>
      </w:r>
      <w:r>
        <w:rPr>
          <w:b/>
          <w:bCs/>
        </w:rPr>
        <w:t xml:space="preserve">Holm-Bonferroni</w:t>
      </w:r>
      <w:r>
        <w:t xml:space="preserve">: Step-down procedure, less conservative</w:t>
      </w:r>
      <w:r>
        <w:t xml:space="preserve"> </w:t>
      </w:r>
      <w:r>
        <w:t xml:space="preserve">-</w:t>
      </w:r>
      <w:r>
        <w:t xml:space="preserve"> </w:t>
      </w:r>
      <w:r>
        <w:rPr>
          <w:b/>
          <w:bCs/>
        </w:rPr>
        <w:t xml:space="preserve">Benjamini-Hochberg</w:t>
      </w:r>
      <w:r>
        <w:t xml:space="preserve">: Controls FDR at 10%</w:t>
      </w:r>
    </w:p>
    <w:bookmarkEnd w:id="62"/>
    <w:bookmarkStart w:id="63" w:name="endogeneity"/>
    <w:p>
      <w:pPr>
        <w:pStyle w:val="Heading3"/>
      </w:pPr>
      <w:r>
        <w:t xml:space="preserve">9.5 Endogeneity</w:t>
      </w:r>
    </w:p>
    <w:p>
      <w:pPr>
        <w:pStyle w:val="FirstParagraph"/>
      </w:pPr>
      <w:r>
        <w:t xml:space="preserve">The OLS regression</w:t>
      </w:r>
      <w:r>
        <w:t xml:space="preserve"> </w:t>
      </w:r>
      <m:oMath>
        <m:sSub>
          <m:e>
            <m:r>
              <m:t>R</m:t>
            </m:r>
          </m:e>
          <m:sub>
            <m:r>
              <m:t>t</m:t>
            </m:r>
          </m:sub>
        </m:sSub>
        <m:r>
          <m:rPr>
            <m:sty m:val="p"/>
          </m:rPr>
          <m:t>=</m:t>
        </m:r>
        <m:r>
          <m:t>α</m:t>
        </m:r>
        <m:r>
          <m:rPr>
            <m:sty m:val="p"/>
          </m:rPr>
          <m:t>+</m:t>
        </m:r>
        <m:sSub>
          <m:e>
            <m:r>
              <m:t>β</m:t>
            </m:r>
          </m:e>
          <m:sub>
            <m:r>
              <m:t>1</m:t>
            </m:r>
          </m:sub>
        </m:sSub>
        <m:sSub>
          <m:e>
            <m:r>
              <m:rPr>
                <m:nor/>
                <m:sty m:val="p"/>
              </m:rPr>
              <m:t>Surprise</m:t>
            </m:r>
          </m:e>
          <m:sub>
            <m:r>
              <m:t>t</m:t>
            </m:r>
          </m:sub>
        </m:sSub>
        <m:r>
          <m:rPr>
            <m:sty m:val="p"/>
          </m:rPr>
          <m:t>+</m:t>
        </m:r>
        <m:sSub>
          <m:e>
            <m:r>
              <m:t>β</m:t>
            </m:r>
          </m:e>
          <m:sub>
            <m:r>
              <m:t>2</m:t>
            </m:r>
          </m:sub>
        </m:sSub>
        <m:sSub>
          <m:e>
            <m:r>
              <m:rPr>
                <m:nor/>
                <m:sty m:val="p"/>
              </m:rPr>
              <m:t>Sentiment</m:t>
            </m:r>
          </m:e>
          <m:sub>
            <m:r>
              <m:t>t</m:t>
            </m:r>
          </m:sub>
        </m:sSub>
        <m:r>
          <m:rPr>
            <m:sty m:val="p"/>
          </m:rPr>
          <m:t>+</m:t>
        </m:r>
        <m:sSub>
          <m:e>
            <m:r>
              <m:t>ε</m:t>
            </m:r>
          </m:e>
          <m:sub>
            <m:r>
              <m:t>t</m:t>
            </m:r>
          </m:sub>
        </m:sSub>
      </m:oMath>
      <w:r>
        <w:t xml:space="preserve"> </w:t>
      </w:r>
      <w:r>
        <w:t xml:space="preserve">may suffer from:</w:t>
      </w:r>
      <w:r>
        <w:t xml:space="preserve"> </w:t>
      </w:r>
      <w:r>
        <w:t xml:space="preserve">-</w:t>
      </w:r>
      <w:r>
        <w:t xml:space="preserve"> </w:t>
      </w:r>
      <w:r>
        <w:rPr>
          <w:b/>
          <w:bCs/>
        </w:rPr>
        <w:t xml:space="preserve">Reverse causality</w:t>
      </w:r>
      <w:r>
        <w:t xml:space="preserve">: Market reactions could feed back into statement drafting (unlikely for pre-written statements)</w:t>
      </w:r>
      <w:r>
        <w:t xml:space="preserve"> </w:t>
      </w:r>
      <w:r>
        <w:t xml:space="preserve">-</w:t>
      </w:r>
      <w:r>
        <w:t xml:space="preserve"> </w:t>
      </w:r>
      <w:r>
        <w:rPr>
          <w:b/>
          <w:bCs/>
        </w:rPr>
        <w:t xml:space="preserve">Omitted variables</w:t>
      </w:r>
      <w:r>
        <w:t xml:space="preserve">: Macro surprises (NFP, CPI releases) coinciding with FOMC meetings</w:t>
      </w:r>
      <w:r>
        <w:t xml:space="preserve"> </w:t>
      </w:r>
      <w:r>
        <w:t xml:space="preserve">-</w:t>
      </w:r>
      <w:r>
        <w:t xml:space="preserve"> </w:t>
      </w:r>
      <w:r>
        <w:rPr>
          <w:b/>
          <w:bCs/>
        </w:rPr>
        <w:t xml:space="preserve">Measurement error</w:t>
      </w:r>
      <w:r>
        <w:t xml:space="preserve">: Dictionary sentiment is a noisy proxy for true policy tone</w:t>
      </w:r>
    </w:p>
    <w:p>
      <w:pPr>
        <w:pStyle w:val="BodyText"/>
      </w:pPr>
      <w:r>
        <w:rPr>
          <w:b/>
          <w:bCs/>
        </w:rPr>
        <w:t xml:space="preserve">IV strategy</w:t>
      </w:r>
      <w:r>
        <w:t xml:space="preserve"> </w:t>
      </w:r>
      <w:r>
        <w:t xml:space="preserve">(planned): Use the previous meeting’s sentiment as an instrument for current sentiment, exploiting the autocorrelation in communication style while assuming past sentiment doesn’t directly affect current returns.</w:t>
      </w:r>
    </w:p>
    <w:bookmarkEnd w:id="63"/>
    <w:bookmarkStart w:id="64" w:name="sample-size"/>
    <w:p>
      <w:pPr>
        <w:pStyle w:val="Heading3"/>
      </w:pPr>
      <w:r>
        <w:t xml:space="preserve">9.6 Sample Size</w:t>
      </w:r>
    </w:p>
    <w:p>
      <w:pPr>
        <w:pStyle w:val="FirstParagraph"/>
      </w:pPr>
      <w:r>
        <w:t xml:space="preserve">The H1 regression uses N = 117 meetings (2006–2022). This is the intersection of:</w:t>
      </w:r>
      <w:r>
        <w:t xml:space="preserve"> </w:t>
      </w:r>
      <w:r>
        <w:t xml:space="preserve">- 140 FOMC meetings in the analysis dataset (2006–2025)</w:t>
      </w:r>
      <w:r>
        <w:t xml:space="preserve"> </w:t>
      </w:r>
      <w:r>
        <w:t xml:space="preserve">- 220 Acosta shock observations (1995–2022)</w:t>
      </w:r>
      <w:r>
        <w:t xml:space="preserve"> </w:t>
      </w:r>
      <w:r>
        <w:t xml:space="preserve">- 164 FOMC statements with enhanced sentiment (2006–2026)</w:t>
      </w:r>
    </w:p>
    <w:p>
      <w:pPr>
        <w:pStyle w:val="BodyText"/>
      </w:pPr>
      <w:r>
        <w:rPr>
          <w:b/>
          <w:bCs/>
        </w:rPr>
        <w:t xml:space="preserve">Data gaps</w:t>
      </w:r>
      <w:r>
        <w:t xml:space="preserve">:</w:t>
      </w:r>
      <w:r>
        <w:t xml:space="preserve"> </w:t>
      </w:r>
      <w:r>
        <w:t xml:space="preserve">- 15 Acosta shock meetings (2006–2022) are not in the analysis dataset but have statements available → could recover 13 obs</w:t>
      </w:r>
      <w:r>
        <w:t xml:space="preserve"> </w:t>
      </w:r>
      <w:r>
        <w:t xml:space="preserve">- 23 FOMC meetings (2022–2025) are post-Acosta coverage → could use DFF proxy for surprise</w:t>
      </w:r>
      <w:r>
        <w:t xml:space="preserve"> </w:t>
      </w:r>
      <w:r>
        <w:t xml:space="preserve">- Potential H1 sample with full recovery: ~130–140 meetings</w:t>
      </w:r>
    </w:p>
    <w:p>
      <w:r>
        <w:pict>
          <v:rect style="width:0;height:1.5pt" o:hralign="center" o:hrstd="t" o:hr="t"/>
        </w:pict>
      </w:r>
    </w:p>
    <w:bookmarkEnd w:id="64"/>
    <w:bookmarkEnd w:id="65"/>
    <w:bookmarkStart w:id="69" w:name="reproducibility"/>
    <w:p>
      <w:pPr>
        <w:pStyle w:val="Heading2"/>
      </w:pPr>
      <w:r>
        <w:t xml:space="preserve">10. Reproducibility</w:t>
      </w:r>
    </w:p>
    <w:bookmarkStart w:id="66" w:name="data-versioning"/>
    <w:p>
      <w:pPr>
        <w:pStyle w:val="Heading3"/>
      </w:pPr>
      <w:r>
        <w:t xml:space="preserve">10.1 Data Versioning</w:t>
      </w:r>
    </w:p>
    <w:p>
      <w:pPr>
        <w:pStyle w:val="Compact"/>
        <w:numPr>
          <w:ilvl w:val="0"/>
          <w:numId w:val="1010"/>
        </w:numPr>
      </w:pPr>
      <w:r>
        <w:t xml:space="preserve">FOMC meetings: Hard-coded in</w:t>
      </w:r>
      <w:r>
        <w:t xml:space="preserve"> </w:t>
      </w:r>
      <w:r>
        <w:rPr>
          <w:rStyle w:val="VerbatimChar"/>
        </w:rPr>
        <w:t xml:space="preserve">fomc_meetings.py</w:t>
      </w:r>
      <w:r>
        <w:t xml:space="preserve"> </w:t>
      </w:r>
      <w:r>
        <w:t xml:space="preserve">(164 observations, 1994–2025)</w:t>
      </w:r>
    </w:p>
    <w:p>
      <w:pPr>
        <w:pStyle w:val="Compact"/>
        <w:numPr>
          <w:ilvl w:val="0"/>
          <w:numId w:val="1010"/>
        </w:numPr>
      </w:pPr>
      <w:r>
        <w:t xml:space="preserve">FOMC statements: Cached as JSON in</w:t>
      </w:r>
      <w:r>
        <w:t xml:space="preserve"> </w:t>
      </w:r>
      <w:r>
        <w:rPr>
          <w:rStyle w:val="VerbatimChar"/>
        </w:rPr>
        <w:t xml:space="preserve">mp-research-platform/data/fomc_statements_all.json</w:t>
      </w:r>
    </w:p>
    <w:p>
      <w:pPr>
        <w:pStyle w:val="Compact"/>
        <w:numPr>
          <w:ilvl w:val="0"/>
          <w:numId w:val="1010"/>
        </w:numPr>
      </w:pPr>
      <w:r>
        <w:t xml:space="preserve">FRED data: Cached as JSON in</w:t>
      </w:r>
      <w:r>
        <w:t xml:space="preserve"> </w:t>
      </w:r>
      <w:r>
        <w:rPr>
          <w:rStyle w:val="VerbatimChar"/>
        </w:rPr>
        <w:t xml:space="preserve">data/cache/</w:t>
      </w:r>
      <w:r>
        <w:t xml:space="preserve"> </w:t>
      </w:r>
      <w:r>
        <w:t xml:space="preserve">with 6-hour TTL</w:t>
      </w:r>
    </w:p>
    <w:p>
      <w:pPr>
        <w:pStyle w:val="Compact"/>
        <w:numPr>
          <w:ilvl w:val="0"/>
          <w:numId w:val="1010"/>
        </w:numPr>
      </w:pPr>
      <w:r>
        <w:t xml:space="preserve">Acosta shocks:</w:t>
      </w:r>
      <w:r>
        <w:t xml:space="preserve"> </w:t>
      </w:r>
      <w:r>
        <w:rPr>
          <w:rStyle w:val="VerbatimChar"/>
        </w:rPr>
        <w:t xml:space="preserve">data/mp_shocks_acosta.xlsx</w:t>
      </w:r>
      <w:r>
        <w:t xml:space="preserve"> </w:t>
      </w:r>
      <w:r>
        <w:t xml:space="preserve">(220 observations, 1995–2022)</w:t>
      </w:r>
    </w:p>
    <w:p>
      <w:pPr>
        <w:pStyle w:val="Compact"/>
        <w:numPr>
          <w:ilvl w:val="0"/>
          <w:numId w:val="1010"/>
        </w:numPr>
      </w:pPr>
      <w:r>
        <w:t xml:space="preserve">Analysis results: Saved as CSV (</w:t>
      </w:r>
      <w:r>
        <w:rPr>
          <w:rStyle w:val="VerbatimChar"/>
        </w:rPr>
        <w:t xml:space="preserve">analysis_dataset_expanded.csv</w:t>
      </w:r>
      <w:r>
        <w:t xml:space="preserve">) and JSON (</w:t>
      </w:r>
      <w:r>
        <w:rPr>
          <w:rStyle w:val="VerbatimChar"/>
        </w:rPr>
        <w:t xml:space="preserve">regression_results_v6.json</w:t>
      </w:r>
      <w:r>
        <w:t xml:space="preserve">)</w:t>
      </w:r>
    </w:p>
    <w:bookmarkEnd w:id="66"/>
    <w:bookmarkStart w:id="67" w:name="randomness"/>
    <w:p>
      <w:pPr>
        <w:pStyle w:val="Heading3"/>
      </w:pPr>
      <w:r>
        <w:t xml:space="preserve">10.2 Randomness</w:t>
      </w:r>
    </w:p>
    <w:p>
      <w:pPr>
        <w:pStyle w:val="Compact"/>
        <w:numPr>
          <w:ilvl w:val="0"/>
          <w:numId w:val="1011"/>
        </w:numPr>
      </w:pPr>
      <w:r>
        <w:rPr>
          <w:rStyle w:val="VerbatimChar"/>
        </w:rPr>
        <w:t xml:space="preserve">TwoShocksEngine.variance_decomposition()</w:t>
      </w:r>
      <w:r>
        <w:t xml:space="preserve">: Uses</w:t>
      </w:r>
      <w:r>
        <w:t xml:space="preserve"> </w:t>
      </w:r>
      <w:r>
        <w:rPr>
          <w:rStyle w:val="VerbatimChar"/>
        </w:rPr>
        <w:t xml:space="preserve">np.random.normal(0, 3)</w:t>
      </w:r>
      <w:r>
        <w:t xml:space="preserve"> </w:t>
      </w:r>
      <w:r>
        <w:t xml:space="preserve">for simulation noise —</w:t>
      </w:r>
      <w:r>
        <w:t xml:space="preserve"> </w:t>
      </w:r>
      <w:r>
        <w:rPr>
          <w:b/>
          <w:bCs/>
        </w:rPr>
        <w:t xml:space="preserve">not seeded</w:t>
      </w:r>
      <w:r>
        <w:t xml:space="preserve">. Results vary across runs.</w:t>
      </w:r>
    </w:p>
    <w:p>
      <w:pPr>
        <w:pStyle w:val="Compact"/>
        <w:numPr>
          <w:ilvl w:val="0"/>
          <w:numId w:val="1011"/>
        </w:numPr>
      </w:pPr>
      <w:r>
        <w:t xml:space="preserve">All other modules are deterministic given the same input data.</w:t>
      </w:r>
    </w:p>
    <w:bookmarkEnd w:id="67"/>
    <w:bookmarkStart w:id="68" w:name="dependencies"/>
    <w:p>
      <w:pPr>
        <w:pStyle w:val="Heading3"/>
      </w:pPr>
      <w:r>
        <w:t xml:space="preserve">10.3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Use</w:t>
            </w:r>
          </w:p>
        </w:tc>
      </w:tr>
      <w:tr>
        <w:tc>
          <w:tcPr/>
          <w:p>
            <w:pPr>
              <w:pStyle w:val="Compact"/>
              <w:jc w:val="left"/>
            </w:pPr>
            <w:r>
              <w:t xml:space="preserve">streamlit</w:t>
            </w:r>
          </w:p>
        </w:tc>
        <w:tc>
          <w:tcPr/>
          <w:p>
            <w:pPr>
              <w:pStyle w:val="Compact"/>
              <w:jc w:val="left"/>
            </w:pPr>
            <w:r>
              <w:t xml:space="preserve">—</w:t>
            </w:r>
          </w:p>
        </w:tc>
        <w:tc>
          <w:tcPr/>
          <w:p>
            <w:pPr>
              <w:pStyle w:val="Compact"/>
              <w:jc w:val="left"/>
            </w:pPr>
            <w:r>
              <w:t xml:space="preserve">Dashboard</w:t>
            </w:r>
          </w:p>
        </w:tc>
      </w:tr>
      <w:tr>
        <w:tc>
          <w:tcPr/>
          <w:p>
            <w:pPr>
              <w:pStyle w:val="Compact"/>
              <w:jc w:val="left"/>
            </w:pPr>
            <w:r>
              <w:t xml:space="preserve">pandas, numpy</w:t>
            </w:r>
          </w:p>
        </w:tc>
        <w:tc>
          <w:tcPr/>
          <w:p>
            <w:pPr>
              <w:pStyle w:val="Compact"/>
              <w:jc w:val="left"/>
            </w:pPr>
            <w:r>
              <w:t xml:space="preserve">—</w:t>
            </w:r>
          </w:p>
        </w:tc>
        <w:tc>
          <w:tcPr/>
          <w:p>
            <w:pPr>
              <w:pStyle w:val="Compact"/>
              <w:jc w:val="left"/>
            </w:pPr>
            <w:r>
              <w:t xml:space="preserve">Data manipulation</w:t>
            </w:r>
          </w:p>
        </w:tc>
      </w:tr>
      <w:tr>
        <w:tc>
          <w:tcPr/>
          <w:p>
            <w:pPr>
              <w:pStyle w:val="Compact"/>
              <w:jc w:val="left"/>
            </w:pPr>
            <w:r>
              <w:t xml:space="preserve">scipy</w:t>
            </w:r>
          </w:p>
        </w:tc>
        <w:tc>
          <w:tcPr/>
          <w:p>
            <w:pPr>
              <w:pStyle w:val="Compact"/>
              <w:jc w:val="left"/>
            </w:pPr>
            <w:r>
              <w:t xml:space="preserve">—</w:t>
            </w:r>
          </w:p>
        </w:tc>
        <w:tc>
          <w:tcPr/>
          <w:p>
            <w:pPr>
              <w:pStyle w:val="Compact"/>
              <w:jc w:val="left"/>
            </w:pPr>
            <w:r>
              <w:t xml:space="preserve">Statistical tests</w:t>
            </w:r>
          </w:p>
        </w:tc>
      </w:tr>
      <w:tr>
        <w:tc>
          <w:tcPr/>
          <w:p>
            <w:pPr>
              <w:pStyle w:val="Compact"/>
              <w:jc w:val="left"/>
            </w:pPr>
            <w:r>
              <w:t xml:space="preserve">yfinance</w:t>
            </w:r>
          </w:p>
        </w:tc>
        <w:tc>
          <w:tcPr/>
          <w:p>
            <w:pPr>
              <w:pStyle w:val="Compact"/>
              <w:jc w:val="left"/>
            </w:pPr>
            <w:r>
              <w:t xml:space="preserve">—</w:t>
            </w:r>
          </w:p>
        </w:tc>
        <w:tc>
          <w:tcPr/>
          <w:p>
            <w:pPr>
              <w:pStyle w:val="Compact"/>
              <w:jc w:val="left"/>
            </w:pPr>
            <w:r>
              <w:t xml:space="preserve">Asset price download</w:t>
            </w:r>
          </w:p>
        </w:tc>
      </w:tr>
      <w:tr>
        <w:tc>
          <w:tcPr/>
          <w:p>
            <w:pPr>
              <w:pStyle w:val="Compact"/>
              <w:jc w:val="left"/>
            </w:pPr>
            <w:r>
              <w:t xml:space="preserve">requests</w:t>
            </w:r>
          </w:p>
        </w:tc>
        <w:tc>
          <w:tcPr/>
          <w:p>
            <w:pPr>
              <w:pStyle w:val="Compact"/>
              <w:jc w:val="left"/>
            </w:pPr>
            <w:r>
              <w:t xml:space="preserve">—</w:t>
            </w:r>
          </w:p>
        </w:tc>
        <w:tc>
          <w:tcPr/>
          <w:p>
            <w:pPr>
              <w:pStyle w:val="Compact"/>
              <w:jc w:val="left"/>
            </w:pPr>
            <w:r>
              <w:t xml:space="preserve">FRED API, FOMC scraping</w:t>
            </w:r>
          </w:p>
        </w:tc>
      </w:tr>
      <w:tr>
        <w:tc>
          <w:tcPr/>
          <w:p>
            <w:pPr>
              <w:pStyle w:val="Compact"/>
              <w:jc w:val="left"/>
            </w:pPr>
            <w:r>
              <w:t xml:space="preserve">beautifulsoup4</w:t>
            </w:r>
          </w:p>
        </w:tc>
        <w:tc>
          <w:tcPr/>
          <w:p>
            <w:pPr>
              <w:pStyle w:val="Compact"/>
              <w:jc w:val="left"/>
            </w:pPr>
            <w:r>
              <w:t xml:space="preserve">—</w:t>
            </w:r>
          </w:p>
        </w:tc>
        <w:tc>
          <w:tcPr/>
          <w:p>
            <w:pPr>
              <w:pStyle w:val="Compact"/>
              <w:jc w:val="left"/>
            </w:pPr>
            <w:r>
              <w:t xml:space="preserve">HTML parsing</w:t>
            </w:r>
          </w:p>
        </w:tc>
      </w:tr>
      <w:tr>
        <w:tc>
          <w:tcPr/>
          <w:p>
            <w:pPr>
              <w:pStyle w:val="Compact"/>
              <w:jc w:val="left"/>
            </w:pPr>
            <w:r>
              <w:t xml:space="preserve">plotly</w:t>
            </w:r>
          </w:p>
        </w:tc>
        <w:tc>
          <w:tcPr/>
          <w:p>
            <w:pPr>
              <w:pStyle w:val="Compact"/>
              <w:jc w:val="left"/>
            </w:pPr>
            <w:r>
              <w:t xml:space="preserve">—</w:t>
            </w:r>
          </w:p>
        </w:tc>
        <w:tc>
          <w:tcPr/>
          <w:p>
            <w:pPr>
              <w:pStyle w:val="Compact"/>
              <w:jc w:val="left"/>
            </w:pPr>
            <w:r>
              <w:t xml:space="preserve">Interactive charts</w:t>
            </w:r>
          </w:p>
        </w:tc>
      </w:tr>
      <w:tr>
        <w:tc>
          <w:tcPr/>
          <w:p>
            <w:pPr>
              <w:pStyle w:val="Compact"/>
              <w:jc w:val="left"/>
            </w:pPr>
            <w:r>
              <w:t xml:space="preserve">openpyxl</w:t>
            </w:r>
          </w:p>
        </w:tc>
        <w:tc>
          <w:tcPr/>
          <w:p>
            <w:pPr>
              <w:pStyle w:val="Compact"/>
              <w:jc w:val="left"/>
            </w:pPr>
            <w:r>
              <w:t xml:space="preserve">—</w:t>
            </w:r>
          </w:p>
        </w:tc>
        <w:tc>
          <w:tcPr/>
          <w:p>
            <w:pPr>
              <w:pStyle w:val="Compact"/>
              <w:jc w:val="left"/>
            </w:pPr>
            <w:r>
              <w:t xml:space="preserve">Excel reading (Acosta shocks)</w:t>
            </w:r>
          </w:p>
        </w:tc>
      </w:tr>
    </w:tbl>
    <w:p>
      <w:r>
        <w:pict>
          <v:rect style="width:0;height:1.5pt" o:hralign="center" o:hrstd="t" o:hr="t"/>
        </w:pict>
      </w:r>
    </w:p>
    <w:bookmarkEnd w:id="68"/>
    <w:bookmarkEnd w:id="69"/>
    <w:bookmarkStart w:id="70" w:name="upgrade-roadmap"/>
    <w:p>
      <w:pPr>
        <w:pStyle w:val="Heading2"/>
      </w:pPr>
      <w:r>
        <w:t xml:space="preserve">11. Upgrade Roadmap</w:t>
      </w:r>
    </w:p>
    <w:tbl>
      <w:tblPr>
        <w:tblStyle w:val="Table"/>
        <w:tblW w:type="pct" w:w="5000"/>
        <w:jc w:val="left"/>
        <w:tblLayout w:type="fixed"/>
        <w:tblLook w:firstRow="1" w:lastRow="0" w:firstColumn="0" w:lastColumn="0" w:noHBand="0" w:noVBand="0" w:val="0020"/>
      </w:tblPr>
      <w:tblGrid>
        <w:gridCol w:w="1155"/>
        <w:gridCol w:w="1815"/>
        <w:gridCol w:w="2145"/>
        <w:gridCol w:w="2805"/>
      </w:tblGrid>
      <w:tr>
        <w:trPr>
          <w:tblHeader w:val="on"/>
        </w:trPr>
        <w:tc>
          <w:tcPr/>
          <w:p>
            <w:pPr>
              <w:pStyle w:val="Compact"/>
              <w:jc w:val="left"/>
            </w:pPr>
            <w:r>
              <w:t xml:space="preserve">Phase</w:t>
            </w:r>
          </w:p>
        </w:tc>
        <w:tc>
          <w:tcPr/>
          <w:p>
            <w:pPr>
              <w:pStyle w:val="Compact"/>
              <w:jc w:val="left"/>
            </w:pPr>
            <w:r>
              <w:t xml:space="preserve">Component</w:t>
            </w:r>
          </w:p>
        </w:tc>
        <w:tc>
          <w:tcPr/>
          <w:p>
            <w:pPr>
              <w:pStyle w:val="Compact"/>
              <w:jc w:val="left"/>
            </w:pPr>
            <w:r>
              <w:t xml:space="preserve">Data Source</w:t>
            </w:r>
          </w:p>
        </w:tc>
        <w:tc>
          <w:tcPr/>
          <w:p>
            <w:pPr>
              <w:pStyle w:val="Compact"/>
              <w:jc w:val="left"/>
            </w:pPr>
            <w:r>
              <w:t xml:space="preserve">Expected Impact</w:t>
            </w:r>
          </w:p>
        </w:tc>
      </w:tr>
      <w:tr>
        <w:tc>
          <w:tcPr/>
          <w:p>
            <w:pPr>
              <w:pStyle w:val="Compact"/>
              <w:jc w:val="left"/>
            </w:pPr>
            <w:r>
              <w:rPr>
                <w:b/>
                <w:bCs/>
              </w:rPr>
              <w:t xml:space="preserve">Phase 2</w:t>
            </w:r>
          </w:p>
        </w:tc>
        <w:tc>
          <w:tcPr/>
          <w:p>
            <w:pPr>
              <w:pStyle w:val="Compact"/>
              <w:jc w:val="left"/>
            </w:pPr>
            <w:r>
              <w:t xml:space="preserve">CB-only sentiment</w:t>
            </w:r>
          </w:p>
        </w:tc>
        <w:tc>
          <w:tcPr/>
          <w:p>
            <w:pPr>
              <w:pStyle w:val="Compact"/>
              <w:jc w:val="left"/>
            </w:pPr>
            <w:r>
              <w:t xml:space="preserve">—</w:t>
            </w:r>
          </w:p>
        </w:tc>
        <w:tc>
          <w:tcPr/>
          <w:p>
            <w:pPr>
              <w:pStyle w:val="Compact"/>
              <w:jc w:val="left"/>
            </w:pPr>
            <w:r>
              <w:t xml:space="preserve">H1 R²: 4.06% → 5–8% (more sign variation)</w:t>
            </w:r>
          </w:p>
        </w:tc>
      </w:tr>
      <w:tr>
        <w:tc>
          <w:tcPr/>
          <w:p>
            <w:pPr>
              <w:pStyle w:val="Compact"/>
              <w:jc w:val="left"/>
            </w:pPr>
            <w:r>
              <w:rPr>
                <w:b/>
                <w:bCs/>
              </w:rPr>
              <w:t xml:space="preserve">Phase 2</w:t>
            </w:r>
          </w:p>
        </w:tc>
        <w:tc>
          <w:tcPr/>
          <w:p>
            <w:pPr>
              <w:pStyle w:val="Compact"/>
              <w:jc w:val="left"/>
            </w:pPr>
            <w:r>
              <w:t xml:space="preserve">Kuttner surprise (direct)</w:t>
            </w:r>
          </w:p>
        </w:tc>
        <w:tc>
          <w:tcPr/>
          <w:p>
            <w:pPr>
              <w:pStyle w:val="Compact"/>
              <w:jc w:val="left"/>
            </w:pPr>
            <w:r>
              <w:t xml:space="preserve">CME FF futures (WRDS)</w:t>
            </w:r>
          </w:p>
        </w:tc>
        <w:tc>
          <w:tcPr/>
          <w:p>
            <w:pPr>
              <w:pStyle w:val="Compact"/>
              <w:jc w:val="left"/>
            </w:pPr>
            <w:r>
              <w:t xml:space="preserve">Independent replication of Acosta; requires CME access</w:t>
            </w:r>
          </w:p>
        </w:tc>
      </w:tr>
      <w:tr>
        <w:tc>
          <w:tcPr/>
          <w:p>
            <w:pPr>
              <w:pStyle w:val="Compact"/>
              <w:jc w:val="left"/>
            </w:pPr>
            <w:r>
              <w:rPr>
                <w:b/>
                <w:bCs/>
              </w:rPr>
              <w:t xml:space="preserve">Phase 2</w:t>
            </w:r>
          </w:p>
        </w:tc>
        <w:tc>
          <w:tcPr/>
          <w:p>
            <w:pPr>
              <w:pStyle w:val="Compact"/>
              <w:jc w:val="left"/>
            </w:pPr>
            <w:r>
              <w:t xml:space="preserve">Path factor (direct)</w:t>
            </w:r>
          </w:p>
        </w:tc>
        <w:tc>
          <w:tcPr/>
          <w:p>
            <w:pPr>
              <w:pStyle w:val="Compact"/>
              <w:jc w:val="left"/>
            </w:pPr>
            <w:r>
              <w:t xml:space="preserve">CME ED futures (WRDS)</w:t>
            </w:r>
          </w:p>
        </w:tc>
        <w:tc>
          <w:tcPr/>
          <w:p>
            <w:pPr>
              <w:pStyle w:val="Compact"/>
              <w:jc w:val="left"/>
            </w:pPr>
            <w:r>
              <w:t xml:space="preserve">H3 decomposition validity; requires CME access</w:t>
            </w:r>
          </w:p>
        </w:tc>
      </w:tr>
      <w:tr>
        <w:tc>
          <w:tcPr/>
          <w:p>
            <w:pPr>
              <w:pStyle w:val="Compact"/>
              <w:jc w:val="left"/>
            </w:pPr>
            <w:r>
              <w:rPr>
                <w:b/>
                <w:bCs/>
              </w:rPr>
              <w:t xml:space="preserve">Phase 2</w:t>
            </w:r>
          </w:p>
        </w:tc>
        <w:tc>
          <w:tcPr/>
          <w:p>
            <w:pPr>
              <w:pStyle w:val="Compact"/>
              <w:jc w:val="left"/>
            </w:pPr>
            <w:r>
              <w:t xml:space="preserve">Lag sensitivity analysis</w:t>
            </w:r>
          </w:p>
        </w:tc>
        <w:tc>
          <w:tcPr/>
          <w:p>
            <w:pPr>
              <w:pStyle w:val="Compact"/>
              <w:jc w:val="left"/>
            </w:pPr>
            <w:r>
              <w:t xml:space="preserve">—</w:t>
            </w:r>
          </w:p>
        </w:tc>
        <w:tc>
          <w:tcPr/>
          <w:p>
            <w:pPr>
              <w:pStyle w:val="Compact"/>
              <w:jc w:val="left"/>
            </w:pPr>
            <w:r>
              <w:t xml:space="preserve">Robustness of inference</w:t>
            </w:r>
          </w:p>
        </w:tc>
      </w:tr>
      <w:tr>
        <w:tc>
          <w:tcPr/>
          <w:p>
            <w:pPr>
              <w:pStyle w:val="Compact"/>
              <w:jc w:val="left"/>
            </w:pPr>
            <w:r>
              <w:rPr>
                <w:b/>
                <w:bCs/>
              </w:rPr>
              <w:t xml:space="preserve">Phase 2</w:t>
            </w:r>
          </w:p>
        </w:tc>
        <w:tc>
          <w:tcPr/>
          <w:p>
            <w:pPr>
              <w:pStyle w:val="Compact"/>
              <w:jc w:val="left"/>
            </w:pPr>
            <w:r>
              <w:t xml:space="preserve">Recover 13 missing obs</w:t>
            </w:r>
          </w:p>
        </w:tc>
        <w:tc>
          <w:tcPr/>
          <w:p>
            <w:pPr>
              <w:pStyle w:val="Compact"/>
              <w:jc w:val="left"/>
            </w:pPr>
            <w:r>
              <w:t xml:space="preserve">Statement scraper</w:t>
            </w:r>
          </w:p>
        </w:tc>
        <w:tc>
          <w:tcPr/>
          <w:p>
            <w:pPr>
              <w:pStyle w:val="Compact"/>
              <w:jc w:val="left"/>
            </w:pPr>
            <w:r>
              <w:t xml:space="preserve">H1 N: 117 → 130</w:t>
            </w:r>
          </w:p>
        </w:tc>
      </w:tr>
      <w:tr>
        <w:tc>
          <w:tcPr/>
          <w:p>
            <w:pPr>
              <w:pStyle w:val="Compact"/>
              <w:jc w:val="left"/>
            </w:pPr>
            <w:r>
              <w:rPr>
                <w:b/>
                <w:bCs/>
              </w:rPr>
              <w:t xml:space="preserve">Phase 2</w:t>
            </w:r>
          </w:p>
        </w:tc>
        <w:tc>
          <w:tcPr/>
          <w:p>
            <w:pPr>
              <w:pStyle w:val="Compact"/>
              <w:jc w:val="left"/>
            </w:pPr>
            <w:r>
              <w:t xml:space="preserve">Compustat fundamentals</w:t>
            </w:r>
          </w:p>
        </w:tc>
        <w:tc>
          <w:tcPr/>
          <w:p>
            <w:pPr>
              <w:pStyle w:val="Compact"/>
              <w:jc w:val="left"/>
            </w:pPr>
            <w:r>
              <w:t xml:space="preserve">WRDS comp.fundq/funda</w:t>
            </w:r>
          </w:p>
        </w:tc>
        <w:tc>
          <w:tcPr/>
          <w:p>
            <w:pPr>
              <w:pStyle w:val="Compact"/>
              <w:jc w:val="left"/>
            </w:pPr>
            <w:r>
              <w:t xml:space="preserve">Control variables for firm-level analysis</w:t>
            </w:r>
          </w:p>
        </w:tc>
      </w:tr>
      <w:tr>
        <w:tc>
          <w:tcPr/>
          <w:p>
            <w:pPr>
              <w:pStyle w:val="Compact"/>
              <w:jc w:val="left"/>
            </w:pPr>
            <w:r>
              <w:rPr>
                <w:b/>
                <w:bCs/>
              </w:rPr>
              <w:t xml:space="preserve">Phase 3</w:t>
            </w:r>
          </w:p>
        </w:tc>
        <w:tc>
          <w:tcPr/>
          <w:p>
            <w:pPr>
              <w:pStyle w:val="Compact"/>
              <w:jc w:val="left"/>
            </w:pPr>
            <w:r>
              <w:t xml:space="preserve">FinBERT sentiment</w:t>
            </w:r>
          </w:p>
        </w:tc>
        <w:tc>
          <w:tcPr/>
          <w:p>
            <w:pPr>
              <w:pStyle w:val="Compact"/>
              <w:jc w:val="left"/>
            </w:pPr>
            <w:r>
              <w:t xml:space="preserve">GPU compute</w:t>
            </w:r>
          </w:p>
        </w:tc>
        <w:tc>
          <w:tcPr/>
          <w:p>
            <w:pPr>
              <w:pStyle w:val="Compact"/>
              <w:jc w:val="left"/>
            </w:pPr>
            <w:r>
              <w:t xml:space="preserve">Sentiment std: 0.013 → 0.02+</w:t>
            </w:r>
          </w:p>
        </w:tc>
      </w:tr>
      <w:tr>
        <w:tc>
          <w:tcPr/>
          <w:p>
            <w:pPr>
              <w:pStyle w:val="Compact"/>
              <w:jc w:val="left"/>
            </w:pPr>
            <w:r>
              <w:rPr>
                <w:b/>
                <w:bCs/>
              </w:rPr>
              <w:t xml:space="preserve">Phase 3</w:t>
            </w:r>
          </w:p>
        </w:tc>
        <w:tc>
          <w:tcPr/>
          <w:p>
            <w:pPr>
              <w:pStyle w:val="Compact"/>
              <w:jc w:val="left"/>
            </w:pPr>
            <w:r>
              <w:t xml:space="preserve">High-frequency identification</w:t>
            </w:r>
          </w:p>
        </w:tc>
        <w:tc>
          <w:tcPr/>
          <w:p>
            <w:pPr>
              <w:pStyle w:val="Compact"/>
              <w:jc w:val="left"/>
            </w:pPr>
            <w:r>
              <w:t xml:space="preserve">TAQ (WRDS)</w:t>
            </w:r>
          </w:p>
        </w:tc>
        <w:tc>
          <w:tcPr/>
          <w:p>
            <w:pPr>
              <w:pStyle w:val="Compact"/>
              <w:jc w:val="left"/>
            </w:pPr>
            <w:r>
              <w:t xml:space="preserve">Intraday event windows; requires TAQ access</w:t>
            </w:r>
          </w:p>
        </w:tc>
      </w:tr>
      <w:tr>
        <w:tc>
          <w:tcPr/>
          <w:p>
            <w:pPr>
              <w:pStyle w:val="Compact"/>
              <w:jc w:val="left"/>
            </w:pPr>
            <w:r>
              <w:rPr>
                <w:b/>
                <w:bCs/>
              </w:rPr>
              <w:t xml:space="preserve">Phase 3</w:t>
            </w:r>
          </w:p>
        </w:tc>
        <w:tc>
          <w:tcPr/>
          <w:p>
            <w:pPr>
              <w:pStyle w:val="Compact"/>
              <w:jc w:val="left"/>
            </w:pPr>
            <w:r>
              <w:t xml:space="preserve">IV estimation</w:t>
            </w:r>
          </w:p>
        </w:tc>
        <w:tc>
          <w:tcPr/>
          <w:p>
            <w:pPr>
              <w:pStyle w:val="Compact"/>
              <w:jc w:val="left"/>
            </w:pPr>
            <w:r>
              <w:t xml:space="preserve">—</w:t>
            </w:r>
          </w:p>
        </w:tc>
        <w:tc>
          <w:tcPr/>
          <w:p>
            <w:pPr>
              <w:pStyle w:val="Compact"/>
              <w:jc w:val="left"/>
            </w:pPr>
            <w:r>
              <w:t xml:space="preserve">Address endogeneity</w:t>
            </w:r>
          </w:p>
        </w:tc>
      </w:tr>
      <w:tr>
        <w:tc>
          <w:tcPr/>
          <w:p>
            <w:pPr>
              <w:pStyle w:val="Compact"/>
              <w:jc w:val="left"/>
            </w:pPr>
            <w:r>
              <w:rPr>
                <w:b/>
                <w:bCs/>
              </w:rPr>
              <w:t xml:space="preserve">Phase 4</w:t>
            </w:r>
          </w:p>
        </w:tc>
        <w:tc>
          <w:tcPr/>
          <w:p>
            <w:pPr>
              <w:pStyle w:val="Compact"/>
              <w:jc w:val="left"/>
            </w:pPr>
            <w:r>
              <w:t xml:space="preserve">Sign restriction (JK style)</w:t>
            </w:r>
          </w:p>
        </w:tc>
        <w:tc>
          <w:tcPr/>
          <w:p>
            <w:pPr>
              <w:pStyle w:val="Compact"/>
              <w:jc w:val="left"/>
            </w:pPr>
            <w:r>
              <w:t xml:space="preserve">—</w:t>
            </w:r>
          </w:p>
        </w:tc>
        <w:tc>
          <w:tcPr/>
          <w:p>
            <w:pPr>
              <w:pStyle w:val="Compact"/>
              <w:jc w:val="left"/>
            </w:pPr>
            <w:r>
              <w:t xml:space="preserve">Structural shock identification</w:t>
            </w:r>
          </w:p>
        </w:tc>
      </w:tr>
      <w:tr>
        <w:tc>
          <w:tcPr/>
          <w:p>
            <w:pPr>
              <w:pStyle w:val="Compact"/>
              <w:jc w:val="left"/>
            </w:pPr>
            <w:r>
              <w:rPr>
                <w:b/>
                <w:bCs/>
              </w:rPr>
              <w:t xml:space="preserve">Phase 4</w:t>
            </w:r>
          </w:p>
        </w:tc>
        <w:tc>
          <w:tcPr/>
          <w:p>
            <w:pPr>
              <w:pStyle w:val="Compact"/>
              <w:jc w:val="left"/>
            </w:pPr>
            <w:r>
              <w:t xml:space="preserve">Panel regression with double-clustering</w:t>
            </w:r>
          </w:p>
        </w:tc>
        <w:tc>
          <w:tcPr/>
          <w:p>
            <w:pPr>
              <w:pStyle w:val="Compact"/>
              <w:jc w:val="left"/>
            </w:pPr>
            <w:r>
              <w:t xml:space="preserve">—</w:t>
            </w:r>
          </w:p>
        </w:tc>
        <w:tc>
          <w:tcPr/>
          <w:p>
            <w:pPr>
              <w:pStyle w:val="Compact"/>
              <w:jc w:val="left"/>
            </w:pPr>
            <w:r>
              <w:t xml:space="preserve">Efficient estimation</w:t>
            </w:r>
          </w:p>
        </w:tc>
      </w:tr>
    </w:tbl>
    <w:p>
      <w:r>
        <w:pict>
          <v:rect style="width:0;height:1.5pt" o:hralign="center" o:hrstd="t" o:hr="t"/>
        </w:pict>
      </w:r>
    </w:p>
    <w:p>
      <w:pPr>
        <w:pStyle w:val="FirstParagraph"/>
      </w:pPr>
      <w:r>
        <w:rPr>
          <w:i/>
          <w:iCs/>
        </w:rPr>
        <w:t xml:space="preserve">Document updated: 2026-05-28 (v1.1 — v6.1 analysis pipeline with fixed CB dictionary)</w:t>
      </w:r>
      <w:r>
        <w:br/>
      </w:r>
      <w:r>
        <w:rPr>
          <w:i/>
          <w:iCs/>
        </w:rPr>
        <w:t xml:space="preserve">Contact: dechang64 (GitHub) / 冬生</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2026-05-28T01:11:27Z</dcterms:created>
  <dcterms:modified xsi:type="dcterms:W3CDTF">2026-05-28T01:11:27Z</dcterms:modified>
</cp:coreProperties>
</file>

<file path=docProps/custom.xml><?xml version="1.0" encoding="utf-8"?>
<Properties xmlns="http://schemas.openxmlformats.org/officeDocument/2006/custom-properties" xmlns:vt="http://schemas.openxmlformats.org/officeDocument/2006/docPropsVTypes"/>
</file>