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2ceb676ba41f21b9df6a5624a837e4abe19624b"/>
    <w:p>
      <w:pPr>
        <w:pStyle w:val="Heading1"/>
      </w:pPr>
      <w:r>
        <w:t xml:space="preserve">Beyond the Rate: Information Content of FOMC Statement Language</w:t>
      </w:r>
    </w:p>
    <w:p>
      <w:pPr>
        <w:pStyle w:val="FirstParagraph"/>
      </w:pPr>
      <w:r>
        <w:rPr>
          <w:b/>
          <w:bCs/>
        </w:rPr>
        <w:t xml:space="preserve">Eileen Zhang</w:t>
      </w:r>
    </w:p>
    <w:p>
      <w:pPr>
        <w:pStyle w:val="BodyText"/>
      </w:pPr>
      <w:r>
        <w:t xml:space="preserve">Academy of AI, Xi’an Jiaotong-Liverpool University, Suzhou, China</w:t>
      </w:r>
    </w:p>
    <w:p>
      <w:r>
        <w:pict>
          <v:rect style="width:0;height:1.5pt" o:hralign="center" o:hrstd="t" o:hr="t"/>
        </w:pict>
      </w:r>
    </w:p>
    <w:bookmarkStart w:id="20" w:name="abstract"/>
    <w:p>
      <w:pPr>
        <w:pStyle w:val="Heading2"/>
      </w:pPr>
      <w:r>
        <w:t xml:space="preserve">Abstract</w:t>
      </w:r>
    </w:p>
    <w:p>
      <w:pPr>
        <w:pStyle w:val="FirstParagraph"/>
      </w:pPr>
      <w:r>
        <w:t xml:space="preserve">We investigate whether the language of FOMC statements conveys information beyond the immediate policy rate decision. Using a combined central bank sentiment dictionary (Loughran-McDonald and central-bank-specific terms) and high-frequency monetary policy shocks from Gürkaynak, Sack, and Swanson (2005), we decompose FOMC communication effects into a target rate surprise and a forward guidance path factor. Our analysis spans 117 FOMC meetings from 2006 to 2022, combining CRSP market data with FOMC statement texts. We find that the target shock — capturing the unexpected component of the current rate decision — is a statistically significant predictor of FOMC language sentiment (</w:t>
      </w:r>
      <m:oMath>
        <m:r>
          <m:t>β</m:t>
        </m:r>
      </m:oMath>
      <w:r>
        <w:t xml:space="preserve"> </w:t>
      </w:r>
      <w:r>
        <w:t xml:space="preserve">= 0.000577, t = 2.43, p = 0.017), while the path shock is not significant at conventional levels (</w:t>
      </w:r>
      <m:oMath>
        <m:r>
          <m:t>β</m:t>
        </m:r>
      </m:oMath>
      <w:r>
        <w:t xml:space="preserve"> </w:t>
      </w:r>
      <w:r>
        <w:t xml:space="preserve">= 0.000633, t = 1.44, p = 0.152). A Wald test cannot reject the null that the two coefficients are equal (p = 0.90). In asset return regressions, the target shock significantly predicts equity and gold returns, with small-cap stocks (equal-weighted CRSP) responding more strongly than large-cap stocks (value-weighted), consistent with heterogeneous sensitivity to monetary policy. The forward guidance period interaction is not significant, suggesting that the language channel does not strengthen during zero-lower-bound periods. Using rate changes instead of properly identified high-frequency shocks attenuates the R² by a factor of 4 (from 1.57% to 0.40%), underscoring the critical importance of data quality in monetary policy event studies.</w:t>
      </w:r>
    </w:p>
    <w:p>
      <w:pPr>
        <w:pStyle w:val="BodyText"/>
      </w:pPr>
      <w:r>
        <w:t xml:space="preserve">Keywords: Monetary policy; FOMC; Forward guidance; Sentiment analysis; High-frequency identification</w:t>
      </w:r>
    </w:p>
    <w:p>
      <w:pPr>
        <w:pStyle w:val="BodyText"/>
      </w:pPr>
      <w:r>
        <w:t xml:space="preserve">JEL Classification: C80, D83, E43, E52, E58, G12, G14</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what determines the language of FOMC statements themselves?</w:t>
      </w:r>
    </w:p>
    <w:p>
      <w:pPr>
        <w:pStyle w:val="BodyText"/>
      </w:pPr>
      <w:r>
        <w:t xml:space="preserve">We address this question by examining the relationship between high-frequency monetary policy shocks and the sentiment of FOMC statement language.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w:t>
      </w:r>
    </w:p>
    <w:p>
      <w:pPr>
        <w:pStyle w:val="BodyText"/>
      </w:pPr>
      <w:r>
        <w:t xml:space="preserve">Our main finding is that the target shock is a statistically significant predictor of FOMC statement sentiment (p = 0.017), while the path shock is not (p = 0.152). This result contrasts with the prediction of the information channel hypothesis, which holds that forward guidance language should be primarily driven by the path shock. However, the overall explanatory power is modest (R² = 1.57%), and a formal Wald test cannot reject the null that the target and path effects are equal (p = 0.90). We therefore interpret our results as providing only suggestive evidence on the relative importance of the two shock dimensions for FOMC language.</w:t>
      </w:r>
    </w:p>
    <w:p>
      <w:pPr>
        <w:pStyle w:val="BodyText"/>
      </w:pPr>
      <w:r>
        <w:t xml:space="preserve">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literature on heterogeneous sensitivity to monetary policy. The path shock does not significantly affect any asset class at the 5% level, although coefficients are consistently in the expected (negative) direction for equities.</w:t>
      </w:r>
    </w:p>
    <w:p>
      <w:pPr>
        <w:pStyle w:val="BodyText"/>
      </w:pPr>
      <w:r>
        <w:t xml:space="preserve">We also examine whether the effect of FOMC language on asset returns differs during the forward guidance period (December 2008 to December 2015), when the federal funds rate was at the zero lower bound. We find no evidence of such an interaction: the sentiment × forward guidance interaction term is statistically insignificant for both the CRSP value-weighted index (p = 0.991) and NASDAQ (p = 0.739). This null result suggests that, while FOMC language may convey information, its effect on asset prices does not systematically strengthen when conventional monetary policy is constrained.</w:t>
      </w:r>
    </w:p>
    <w:p>
      <w:pPr>
        <w:pStyle w:val="BodyText"/>
      </w:pPr>
      <w:r>
        <w:t xml:space="preserve">Our results demonstrate the critical importance of data quality in monetary policy event studies. Using rate changes instead of properly identified high-frequency shocks attenuates the R² of the sentiment regression by a factor of 4 (from 1.57% to 0.40%), and renders the relationship statistically undetectable. Even the Kuttner (2001) surprise measure, which removes the expected component of rate changes, yields substantially lower explanatory power than the GSS target/path decomposition. This finding has immediate practical implications: any study that uses rate changes as a proxy for monetary policy surprises will substantially underestimate the relationship between policy and communication.</w:t>
      </w:r>
    </w:p>
    <w:p>
      <w:pPr>
        <w:pStyle w:val="BodyText"/>
      </w:pPr>
      <w:r>
        <w:t xml:space="preserve">This paper contributes to three strands of the literature. First, we contribute to the literature on central bank communication (Blinder et al., 2008; Gürkaynak et al., 2005b) by directly examining the determinants of FOMC statement language, rather than its effects on asset prices. While the existing literature has extensively documented that FOMC statements move markets, we ask the reverse question: what moves FOMC statements? Second, we contribute to the information channel literature (Romer and Romer, 2000; Campbell et al., 2012; Nakamura and Steinsson, 2018) by testing whether the two dimensions of monetary policy surprises have differential effects on language. If the information channel operates primarily through forward guidance, the path shock should dominate; if it operates through the current decision context, the target shock should dominate. Third, we contribute to the methodology of monetary policy event studies by quantifying the sensitivity of results to the choice of surprise measure — a dimension that is often treated as a secondary robustness check but, as we show, has first-order implications for inference.</w:t>
      </w:r>
    </w:p>
    <w:p>
      <w:pPr>
        <w:pStyle w:val="BodyText"/>
      </w:pPr>
      <w:r>
        <w:t xml:space="preserve">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r>
        <w:pict>
          <v:rect style="width:0;height:1.5pt" o:hralign="center" o:hrstd="t" o:hr="t"/>
        </w:pict>
      </w:r>
    </w:p>
    <w:bookmarkEnd w:id="21"/>
    <w:bookmarkStart w:id="29" w:name="literature-review"/>
    <w:p>
      <w:pPr>
        <w:pStyle w:val="Heading2"/>
      </w:pPr>
      <w:r>
        <w:t xml:space="preserve">2. Literature Review</w:t>
      </w:r>
    </w:p>
    <w:bookmarkStart w:id="22" w:name="Xef01ef6c266c50226f85aa72f2391ee8b31d2e1"/>
    <w:p>
      <w:pPr>
        <w:pStyle w:val="Heading3"/>
      </w:pPr>
      <w:r>
        <w:t xml:space="preserve">2.1 Monetary Policy Surprises and High-Frequency Identification</w:t>
      </w:r>
    </w:p>
    <w:p>
      <w:pPr>
        <w:pStyle w:val="FirstParagraph"/>
      </w:pPr>
      <w:r>
        <w:t xml:space="preserve">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pStyle w:val="BodyText"/>
      </w:pPr>
      <w:r>
        <w:t xml:space="preserve">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pStyle w:val="BodyText"/>
      </w:pPr>
      <w:r>
        <w:t xml:space="preserve">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pStyle w:val="BodyText"/>
      </w:pPr>
      <w:r>
        <w:t xml:space="preserve">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pStyle w:val="BodyText"/>
      </w:pPr>
      <w:r>
        <w:t xml:space="preserve">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w:t>
      </w:r>
      <w:r>
        <w:t xml:space="preserve"> </w:t>
      </w:r>
      <w:r>
        <w:t xml:space="preserve">“</w:t>
      </w:r>
      <w:r>
        <w:t xml:space="preserve">surprises</w:t>
      </w:r>
      <w:r>
        <w:t xml:space="preserve">”</w:t>
      </w:r>
      <w:r>
        <w:t xml:space="preserve"> </w:t>
      </w:r>
      <w:r>
        <w:t xml:space="preserve">are not fully exogenous. This critique has implications for the interpretation of our results, and we discuss it in detail in Section 6.</w:t>
      </w:r>
    </w:p>
    <w:bookmarkEnd w:id="22"/>
    <w:bookmarkStart w:id="23" w:name="central-bank-communication-and-language"/>
    <w:p>
      <w:pPr>
        <w:pStyle w:val="Heading3"/>
      </w:pPr>
      <w:r>
        <w:t xml:space="preserve">2.2 Central Bank Communication and Language</w:t>
      </w:r>
    </w:p>
    <w:p>
      <w:pPr>
        <w:pStyle w:val="FirstParagraph"/>
      </w:pPr>
      <w:r>
        <w:t xml:space="preserve">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pStyle w:val="BodyText"/>
      </w:pPr>
      <w:r>
        <w:t xml:space="preserve">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pStyle w:val="BodyText"/>
      </w:pPr>
      <w:r>
        <w:t xml:space="preserve">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pStyle w:val="BodyText"/>
      </w:pPr>
      <w:r>
        <w:t xml:space="preserve">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pStyle w:val="BodyText"/>
      </w:pPr>
      <w:r>
        <w:t xml:space="preserve">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bookmarkEnd w:id="23"/>
    <w:bookmarkStart w:id="24" w:name="X5f58a940d140320cb1d34a48bb5ff24714bc9ce"/>
    <w:p>
      <w:pPr>
        <w:pStyle w:val="Heading3"/>
      </w:pPr>
      <w:r>
        <w:t xml:space="preserve">2.3 The Information Channel of Monetary Policy</w:t>
      </w:r>
    </w:p>
    <w:p>
      <w:pPr>
        <w:pStyle w:val="FirstParagraph"/>
      </w:pPr>
      <w:r>
        <w:t xml:space="preserve">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pStyle w:val="BodyText"/>
      </w:pPr>
      <w:r>
        <w:t xml:space="preserve">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pStyle w:val="BodyText"/>
      </w:pPr>
      <w:r>
        <w:t xml:space="preserve">Campbell et al. (2012) distinguish between</w:t>
      </w:r>
      <w:r>
        <w:t xml:space="preserve"> </w:t>
      </w:r>
      <w:r>
        <w:t xml:space="preserve">“</w:t>
      </w:r>
      <w:r>
        <w:t xml:space="preserve">delphic</w:t>
      </w:r>
      <w:r>
        <w:t xml:space="preserve">”</w:t>
      </w:r>
      <w:r>
        <w:t xml:space="preserve"> </w:t>
      </w:r>
      <w:r>
        <w:t xml:space="preserve">forward guidance (revealing the Fed’s forecast) and</w:t>
      </w:r>
      <w:r>
        <w:t xml:space="preserve"> </w:t>
      </w:r>
      <w:r>
        <w:t xml:space="preserve">“</w:t>
      </w:r>
      <w:r>
        <w:t xml:space="preserve">Odyssean</w:t>
      </w:r>
      <w:r>
        <w:t xml:space="preserve">”</w:t>
      </w:r>
      <w:r>
        <w:t xml:space="preserve"> </w:t>
      </w:r>
      <w:r>
        <w:t xml:space="preserve">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pStyle w:val="BodyText"/>
      </w:pPr>
      <w:r>
        <w:t xml:space="preserve">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pStyle w:val="BodyText"/>
      </w:pPr>
      <w:r>
        <w:t xml:space="preserve">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pStyle w:val="BodyText"/>
      </w:pPr>
      <w:r>
        <w:t xml:space="preserve">Our paper tests the information channel by examining whether the path shock — which captures forward guidance about future policy — has a larger effect on FOMC language than the target shock. If FOMC language is primarily about revealing information about the future, the path shock should be the dominant driver. If, instead, the language primarily reflects the current rate decision and its immediate context, the target shock should dominate. This test is complementary to the Jarociński-Karadi approach: while they use sign restrictions to identify information shocks, we use the GSS decomposition to test whether the two dimensions of monetary policy surprises have differential effects on language.</w:t>
      </w:r>
    </w:p>
    <w:bookmarkEnd w:id="24"/>
    <w:bookmarkStart w:id="25" w:name="sentiment-analysis-in-finance"/>
    <w:p>
      <w:pPr>
        <w:pStyle w:val="Heading3"/>
      </w:pPr>
      <w:r>
        <w:t xml:space="preserve">2.4 Sentiment Analysis in Finance</w:t>
      </w:r>
    </w:p>
    <w:p>
      <w:pPr>
        <w:pStyle w:val="FirstParagraph"/>
      </w:pPr>
      <w:r>
        <w:t xml:space="preserve">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w:t>
      </w:r>
      <w:r>
        <w:t xml:space="preserve"> </w:t>
      </w:r>
      <w:r>
        <w:t xml:space="preserve">“</w:t>
      </w:r>
      <w:r>
        <w:t xml:space="preserve">tax,</w:t>
      </w:r>
      <w:r>
        <w:t xml:space="preserve">”</w:t>
      </w:r>
      <w:r>
        <w:t xml:space="preserve"> </w:t>
      </w:r>
      <w:r>
        <w:t xml:space="preserve">“</w:t>
      </w:r>
      <w:r>
        <w:t xml:space="preserve">cost,</w:t>
      </w:r>
      <w:r>
        <w:t xml:space="preserve">”</w:t>
      </w:r>
      <w:r>
        <w:t xml:space="preserve"> </w:t>
      </w:r>
      <w:r>
        <w:t xml:space="preserve">“</w:t>
      </w:r>
      <w:r>
        <w:t xml:space="preserve">liability</w:t>
      </w:r>
      <w:r>
        <w:t xml:space="preserve">”</w:t>
      </w:r>
      <w:r>
        <w:t xml:space="preserve">). The LM dictionary contains 354 positive and 2,329 negative terms, and has been shown to outperform the Harvard dictionary in predicting stock returns and other financial outcomes.</w:t>
      </w:r>
    </w:p>
    <w:p>
      <w:pPr>
        <w:pStyle w:val="BodyText"/>
      </w:pPr>
      <w:r>
        <w:t xml:space="preserve">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pStyle w:val="BodyText"/>
      </w:pPr>
      <w:r>
        <w:t xml:space="preserve">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pStyle w:val="BodyText"/>
      </w:pPr>
      <w:r>
        <w:t xml:space="preserve">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However, transformer-based models require significant computational resources and large training corpora, which may not be available for the relatively small corpus of FOMC statements. We discuss the potential of transformer-based approaches in Section 7.</w:t>
      </w:r>
    </w:p>
    <w:bookmarkEnd w:id="25"/>
    <w:bookmarkStart w:id="26" w:name="X9a5bc368ee2f9bfe02c5f58374066defa276cfd"/>
    <w:p>
      <w:pPr>
        <w:pStyle w:val="Heading3"/>
      </w:pPr>
      <w:r>
        <w:t xml:space="preserve">2.5 The Forward Guidance Period and the Zero Lower Bound</w:t>
      </w:r>
    </w:p>
    <w:p>
      <w:pPr>
        <w:pStyle w:val="FirstParagraph"/>
      </w:pPr>
      <w:r>
        <w:t xml:space="preserve">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w:t>
      </w:r>
      <w:r>
        <w:t xml:space="preserve">“</w:t>
      </w:r>
      <w:r>
        <w:t xml:space="preserve">the Committee currently anticipates that economic conditions…are likely to warrant exceptionally low levels for the federal funds rate at least through mid-2013</w:t>
      </w:r>
      <w:r>
        <w:t xml:space="preserve">”</w:t>
      </w:r>
      <w:r>
        <w:t xml:space="preserve">) and state-contingent forward guidance in December 2012 (</w:t>
      </w:r>
      <w:r>
        <w:t xml:space="preserve">“</w:t>
      </w:r>
      <w:r>
        <w:t xml:space="preserve">the Committee…anticipates that this exceptionally low range for the federal funds rate will be appropriate at least as long as the unemployment rate remains above 6-1/2 percent</w:t>
      </w:r>
      <w:r>
        <w:t xml:space="preserve">”</w:t>
      </w:r>
      <w:r>
        <w:t xml:space="preserve">).</w:t>
      </w:r>
    </w:p>
    <w:p>
      <w:pPr>
        <w:pStyle w:val="BodyText"/>
      </w:pPr>
      <w:r>
        <w:t xml:space="preserve">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bookmarkEnd w:id="26"/>
    <w:bookmarkStart w:id="27" w:name="Xdaec01765a59289770fa68ea2e82fd829b38c77"/>
    <w:p>
      <w:pPr>
        <w:pStyle w:val="Heading3"/>
      </w:pPr>
      <w:r>
        <w:t xml:space="preserve">2.6 Heterogeneous Effects of Monetary Policy Across Firm Sizes</w:t>
      </w:r>
    </w:p>
    <w:p>
      <w:pPr>
        <w:pStyle w:val="FirstParagraph"/>
      </w:pPr>
      <w:r>
        <w:t xml:space="preserve">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w:t>
      </w:r>
      <w:r>
        <w:t xml:space="preserve"> </w:t>
      </w:r>
      <w:r>
        <w:t xml:space="preserve">“</w:t>
      </w:r>
      <w:r>
        <w:t xml:space="preserve">credit channel</w:t>
      </w:r>
      <w:r>
        <w:t xml:space="preserve">”</w:t>
      </w:r>
      <w:r>
        <w:t xml:space="preserve"> </w:t>
      </w:r>
      <w:r>
        <w:t xml:space="preserve">of monetary policy transmission implies that the equal-weighted stock index — which gives more weight to small firms — should respond more strongly to monetary policy shocks than the value-weighted index.</w:t>
      </w:r>
    </w:p>
    <w:p>
      <w:pPr>
        <w:pStyle w:val="BodyText"/>
      </w:pPr>
      <w:r>
        <w:t xml:space="preserve">More recently, Ozdaglar and Walden (2021) show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pStyle w:val="BodyText"/>
      </w:pPr>
      <w:r>
        <w:t xml:space="preserve">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bookmarkEnd w:id="27"/>
    <w:bookmarkStart w:id="28" w:name="Xad2ed2e9acf30acddf17a8c1e0c895036cecede"/>
    <w:p>
      <w:pPr>
        <w:pStyle w:val="Heading3"/>
      </w:pPr>
      <w:r>
        <w:t xml:space="preserve">2.7 Methodological Considerations in Monetary Policy Event Studies</w:t>
      </w:r>
    </w:p>
    <w:p>
      <w:pPr>
        <w:pStyle w:val="FirstParagraph"/>
      </w:pPr>
      <w:r>
        <w:t xml:space="preserve">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pStyle w:val="BodyText"/>
      </w:pPr>
      <w:r>
        <w:t xml:space="preserve">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pStyle w:val="BodyText"/>
      </w:pPr>
      <w:r>
        <w:t xml:space="preserve">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r>
        <w:pict>
          <v:rect style="width:0;height:1.5pt" o:hralign="center" o:hrstd="t" o:hr="t"/>
        </w:pict>
      </w:r>
    </w:p>
    <w:bookmarkEnd w:id="28"/>
    <w:bookmarkEnd w:id="29"/>
    <w:bookmarkStart w:id="35" w:name="data-and-variable-construction"/>
    <w:p>
      <w:pPr>
        <w:pStyle w:val="Heading2"/>
      </w:pPr>
      <w:r>
        <w:t xml:space="preserve">3. Data and Variable Construction</w:t>
      </w:r>
    </w:p>
    <w:bookmarkStart w:id="30" w:name="monetary-policy-shocks"/>
    <w:p>
      <w:pPr>
        <w:pStyle w:val="Heading3"/>
      </w:pPr>
      <w:r>
        <w:t xml:space="preserve">3.1 Monetary Policy Shocks</w:t>
      </w:r>
    </w:p>
    <w:p>
      <w:pPr>
        <w:pStyle w:val="FirstParagraph"/>
      </w:pPr>
      <w:r>
        <w:t xml:space="preserve">We use the high-frequency monetary policy shocks from Acosta (2022), who extends the GSS decomposition through July 2022. The Acosta data provide two standardized shock series:</w:t>
      </w:r>
    </w:p>
    <w:p>
      <w:pPr>
        <w:numPr>
          <w:ilvl w:val="0"/>
          <w:numId w:val="1001"/>
        </w:numPr>
      </w:pPr>
      <w:r>
        <w:rPr>
          <w:b/>
          <w:bCs/>
        </w:rPr>
        <w:t xml:space="preserve">Target shock</w:t>
      </w:r>
      <w:r>
        <w:t xml:space="preserve">: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numPr>
          <w:ilvl w:val="0"/>
          <w:numId w:val="1001"/>
        </w:numPr>
      </w:pPr>
      <w:r>
        <w:rPr>
          <w:b/>
          <w:bCs/>
        </w:rPr>
        <w:t xml:space="preserve">Path shock</w:t>
      </w:r>
      <w:r>
        <w:t xml:space="preserve">: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pStyle w:val="FirstParagraph"/>
      </w:pPr>
      <w:r>
        <w:t xml:space="preserve">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pStyle w:val="BodyText"/>
      </w:pPr>
      <w:r>
        <w:t xml:space="preserve">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bookmarkEnd w:id="30"/>
    <w:bookmarkStart w:id="31" w:name="fomc-statement-corpus"/>
    <w:p>
      <w:pPr>
        <w:pStyle w:val="Heading3"/>
      </w:pPr>
      <w:r>
        <w:t xml:space="preserve">3.2 FOMC Statement Corpus</w:t>
      </w:r>
    </w:p>
    <w:p>
      <w:pPr>
        <w:pStyle w:val="FirstParagraph"/>
      </w:pPr>
      <w:r>
        <w:t xml:space="preserve">We collect 140 FOMC statements from January 2006 to March 2025, scraped from the Federal Reserve’s official website using the URL format</w:t>
      </w:r>
      <w:r>
        <w:t xml:space="preserve"> </w:t>
      </w:r>
      <w:r>
        <w:rPr>
          <w:rStyle w:val="VerbatimChar"/>
        </w:rPr>
        <w:t xml:space="preserve">https://www.federalreserve.gov/newsevents/pressreleases/monetary{YYYYMMDD}a.htm</w:t>
      </w:r>
      <w:r>
        <w:t xml:space="preserve">. Of these, 117 overlap with the Acosta shock data (January 2006 to July 2022). The corpus covers three Fed chairs: Bernanke (2006–2014), Yellen (2014–2018), and Powell (2018–2022).</w:t>
      </w:r>
    </w:p>
    <w:p>
      <w:pPr>
        <w:pStyle w:val="BodyText"/>
      </w:pPr>
      <w:r>
        <w:t xml:space="preserve">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pStyle w:val="BodyText"/>
      </w:pPr>
      <w:r>
        <w:t xml:space="preserve">We extract the statement text using the</w:t>
      </w:r>
      <w:r>
        <w:t xml:space="preserve"> </w:t>
      </w:r>
      <w:r>
        <w:rPr>
          <w:rStyle w:val="VerbatimChar"/>
        </w:rPr>
        <w:t xml:space="preserve">div#article</w:t>
      </w:r>
      <w:r>
        <w:t xml:space="preserve"> </w:t>
      </w:r>
      <w:r>
        <w:t xml:space="preserve">selector, which captures the main body of the statement while excluding boilerplate elements such as the voting record and the list of FOMC members. We then clean the text by removing HTML tags, normalizing whitespace, and converting to lowercase for dictionary matching.</w:t>
      </w:r>
    </w:p>
    <w:bookmarkEnd w:id="31"/>
    <w:bookmarkStart w:id="32" w:name="sentiment-analysis"/>
    <w:p>
      <w:pPr>
        <w:pStyle w:val="Heading3"/>
      </w:pPr>
      <w:r>
        <w:t xml:space="preserve">3.3 Sentiment Analysis</w:t>
      </w:r>
    </w:p>
    <w:p>
      <w:pPr>
        <w:pStyle w:val="FirstParagraph"/>
      </w:pPr>
      <w:r>
        <w:t xml:space="preserve">We compute two sentiment scores for each FOMC statement:</w:t>
      </w:r>
    </w:p>
    <w:p>
      <w:pPr>
        <w:pStyle w:val="BodyText"/>
      </w:pPr>
      <w:r>
        <w:rPr>
          <w:b/>
          <w:bCs/>
        </w:rPr>
        <w:t xml:space="preserve">Loughran-McDonald (LM) score</w:t>
      </w:r>
      <w:r>
        <w:t xml:space="preserve">: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pStyle w:val="BodyText"/>
      </w:pPr>
      <m:oMathPara>
        <m:oMathParaPr>
          <m:jc m:val="center"/>
        </m:oMathParaPr>
        <m:oMath>
          <m:sSub>
            <m:e>
              <m:r>
                <m:rPr>
                  <m:nor/>
                  <m:sty m:val="p"/>
                </m:rPr>
                <m:t>LM</m:t>
              </m:r>
            </m:e>
            <m:sub>
              <m:r>
                <m:t>t</m:t>
              </m:r>
            </m:sub>
          </m:sSub>
          <m:r>
            <m:rPr>
              <m:sty m:val="p"/>
            </m:rPr>
            <m:t>=</m:t>
          </m:r>
          <m:f>
            <m:fPr>
              <m:type m:val="bar"/>
            </m:fPr>
            <m:num>
              <m:sSub>
                <m:e>
                  <m:r>
                    <m:rPr>
                      <m:nor/>
                      <m:sty m:val="p"/>
                    </m:rPr>
                    <m:t>Positive words</m:t>
                  </m:r>
                </m:e>
                <m:sub>
                  <m:r>
                    <m:t>t</m:t>
                  </m:r>
                </m:sub>
              </m:sSub>
              <m:r>
                <m:rPr>
                  <m:sty m:val="p"/>
                </m:rPr>
                <m:t>−</m:t>
              </m:r>
              <m:sSub>
                <m:e>
                  <m:r>
                    <m:rPr>
                      <m:nor/>
                      <m:sty m:val="p"/>
                    </m:rPr>
                    <m:t>Negative words</m:t>
                  </m:r>
                </m:e>
                <m:sub>
                  <m:r>
                    <m:t>t</m:t>
                  </m:r>
                </m:sub>
              </m:sSub>
            </m:num>
            <m:den>
              <m:sSub>
                <m:e>
                  <m:r>
                    <m:rPr>
                      <m:nor/>
                      <m:sty m:val="p"/>
                    </m:rPr>
                    <m:t>Total words</m:t>
                  </m:r>
                </m:e>
                <m:sub>
                  <m:r>
                    <m:t>t</m:t>
                  </m:r>
                </m:sub>
              </m:sSub>
            </m:den>
          </m:f>
        </m:oMath>
      </m:oMathPara>
    </w:p>
    <w:p>
      <w:pPr>
        <w:pStyle w:val="FirstParagraph"/>
      </w:pPr>
      <w:r>
        <w:rPr>
          <w:b/>
          <w:bCs/>
        </w:rPr>
        <w:t xml:space="preserve">Central Bank (CB) score</w:t>
      </w:r>
      <w:r>
        <w:t xml:space="preserve">: A hawkish-dovish score computed using an expanded central bank-specific dictionary comprising 591 hawkish terms (e.g.,</w:t>
      </w:r>
      <w:r>
        <w:t xml:space="preserve"> </w:t>
      </w:r>
      <w:r>
        <w:t xml:space="preserve">“</w:t>
      </w:r>
      <w:r>
        <w:t xml:space="preserve">tightening,</w:t>
      </w:r>
      <w:r>
        <w:t xml:space="preserve">”</w:t>
      </w:r>
      <w:r>
        <w:t xml:space="preserve"> </w:t>
      </w:r>
      <w:r>
        <w:t xml:space="preserve">“</w:t>
      </w:r>
      <w:r>
        <w:t xml:space="preserve">inflationary pressures,</w:t>
      </w:r>
      <w:r>
        <w:t xml:space="preserve">”</w:t>
      </w:r>
      <w:r>
        <w:t xml:space="preserve"> </w:t>
      </w:r>
      <w:r>
        <w:t xml:space="preserve">“</w:t>
      </w:r>
      <w:r>
        <w:t xml:space="preserve">vigilant</w:t>
      </w:r>
      <w:r>
        <w:t xml:space="preserve">”</w:t>
      </w:r>
      <w:r>
        <w:t xml:space="preserve">) and 222 dovish terms (e.g.,</w:t>
      </w:r>
      <w:r>
        <w:t xml:space="preserve"> </w:t>
      </w:r>
      <w:r>
        <w:t xml:space="preserve">“</w:t>
      </w:r>
      <w:r>
        <w:t xml:space="preserve">accommodative,</w:t>
      </w:r>
      <w:r>
        <w:t xml:space="preserve">”</w:t>
      </w:r>
      <w:r>
        <w:t xml:space="preserve"> </w:t>
      </w:r>
      <w:r>
        <w:t xml:space="preserve">“</w:t>
      </w:r>
      <w:r>
        <w:t xml:space="preserve">downside risks,</w:t>
      </w:r>
      <w:r>
        <w:t xml:space="preserve">”</w:t>
      </w:r>
      <w:r>
        <w:t xml:space="preserve"> </w:t>
      </w:r>
      <w:r>
        <w:t xml:space="preserve">“</w:t>
      </w:r>
      <w:r>
        <w:t xml:space="preserve">labor market slack</w:t>
      </w:r>
      <w:r>
        <w:t xml:space="preserve">”</w:t>
      </w:r>
      <w:r>
        <w:t xml:space="preserve">). The CB score is computed as:</w:t>
      </w:r>
    </w:p>
    <w:p>
      <w:pPr>
        <w:pStyle w:val="BodyText"/>
      </w:pPr>
      <m:oMathPara>
        <m:oMathParaPr>
          <m:jc m:val="center"/>
        </m:oMathParaPr>
        <m:oMath>
          <m:sSub>
            <m:e>
              <m:r>
                <m:rPr>
                  <m:nor/>
                  <m:sty m:val="p"/>
                </m:rPr>
                <m:t>CB</m:t>
              </m:r>
            </m:e>
            <m:sub>
              <m:r>
                <m:t>t</m:t>
              </m:r>
            </m:sub>
          </m:sSub>
          <m:r>
            <m:rPr>
              <m:sty m:val="p"/>
            </m:rPr>
            <m:t>=</m:t>
          </m:r>
          <m:f>
            <m:fPr>
              <m:type m:val="bar"/>
            </m:fPr>
            <m:num>
              <m:sSub>
                <m:e>
                  <m:r>
                    <m:rPr>
                      <m:nor/>
                      <m:sty m:val="p"/>
                    </m:rPr>
                    <m:t>Hawkish words</m:t>
                  </m:r>
                </m:e>
                <m:sub>
                  <m:r>
                    <m:t>t</m:t>
                  </m:r>
                </m:sub>
              </m:sSub>
              <m:r>
                <m:rPr>
                  <m:sty m:val="p"/>
                </m:rPr>
                <m:t>−</m:t>
              </m:r>
              <m:sSub>
                <m:e>
                  <m:r>
                    <m:rPr>
                      <m:nor/>
                      <m:sty m:val="p"/>
                    </m:rPr>
                    <m:t>Dovish words</m:t>
                  </m:r>
                </m:e>
                <m:sub>
                  <m:r>
                    <m:t>t</m:t>
                  </m:r>
                </m:sub>
              </m:sSub>
            </m:num>
            <m:den>
              <m:sSub>
                <m:e>
                  <m:r>
                    <m:rPr>
                      <m:nor/>
                      <m:sty m:val="p"/>
                    </m:rPr>
                    <m:t>Total words</m:t>
                  </m:r>
                </m:e>
                <m:sub>
                  <m:r>
                    <m:t>t</m:t>
                  </m:r>
                </m:sub>
              </m:sSub>
            </m:den>
          </m:f>
        </m:oMath>
      </m:oMathPara>
    </w:p>
    <w:p>
      <w:pPr>
        <w:pStyle w:val="FirstParagraph"/>
      </w:pPr>
      <w:r>
        <w:t xml:space="preserve">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pStyle w:val="BodyText"/>
      </w:pPr>
      <w:r>
        <w:rPr>
          <w:b/>
          <w:bCs/>
        </w:rPr>
        <w:t xml:space="preserve">Combined score</w:t>
      </w:r>
      <w:r>
        <w:t xml:space="preserve">: We use the equal-weighted average of the LM and CB scores as our primary sentiment measure:</w:t>
      </w:r>
    </w:p>
    <w:p>
      <w:pPr>
        <w:pStyle w:val="BodyText"/>
      </w:pPr>
      <m:oMathPara>
        <m:oMathParaPr>
          <m:jc m:val="center"/>
        </m:oMathParaPr>
        <m:oMath>
          <m:sSub>
            <m:e>
              <m:r>
                <m:t>S</m:t>
              </m:r>
            </m:e>
            <m:sub>
              <m:r>
                <m:t>t</m:t>
              </m:r>
            </m:sub>
          </m:sSub>
          <m:r>
            <m:rPr>
              <m:sty m:val="p"/>
            </m:rPr>
            <m:t>=</m:t>
          </m:r>
          <m:r>
            <m:t>0.5</m:t>
          </m:r>
          <m:r>
            <m:rPr>
              <m:sty m:val="p"/>
            </m:rPr>
            <m:t>×</m:t>
          </m:r>
          <m:sSub>
            <m:e>
              <m:r>
                <m:rPr>
                  <m:nor/>
                  <m:sty m:val="p"/>
                </m:rPr>
                <m:t>LM</m:t>
              </m:r>
            </m:e>
            <m:sub>
              <m:r>
                <m:t>t</m:t>
              </m:r>
            </m:sub>
          </m:sSub>
          <m:r>
            <m:rPr>
              <m:sty m:val="p"/>
            </m:rPr>
            <m:t>+</m:t>
          </m:r>
          <m:r>
            <m:t>0.5</m:t>
          </m:r>
          <m:r>
            <m:rPr>
              <m:sty m:val="p"/>
            </m:rPr>
            <m:t>×</m:t>
          </m:r>
          <m:sSub>
            <m:e>
              <m:r>
                <m:rPr>
                  <m:nor/>
                  <m:sty m:val="p"/>
                </m:rPr>
                <m:t>CB</m:t>
              </m:r>
            </m:e>
            <m:sub>
              <m:r>
                <m:t>t</m:t>
              </m:r>
            </m:sub>
          </m:sSub>
        </m:oMath>
      </m:oMathPara>
    </w:p>
    <w:p>
      <w:pPr>
        <w:pStyle w:val="FirstParagraph"/>
      </w:pPr>
      <w:r>
        <w:t xml:space="preserve">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bookmarkEnd w:id="32"/>
    <w:bookmarkStart w:id="33" w:name="market-returns"/>
    <w:p>
      <w:pPr>
        <w:pStyle w:val="Heading3"/>
      </w:pPr>
      <w:r>
        <w:t xml:space="preserve">3.4 Market Returns</w:t>
      </w:r>
    </w:p>
    <w:p>
      <w:pPr>
        <w:pStyle w:val="FirstParagraph"/>
      </w:pPr>
      <w:r>
        <w:t xml:space="preserve">We use CRSP daily market data obtained through WRDS as our primary return data source. Specifically:</w:t>
      </w:r>
    </w:p>
    <w:p>
      <w:pPr>
        <w:numPr>
          <w:ilvl w:val="0"/>
          <w:numId w:val="1002"/>
        </w:numPr>
      </w:pPr>
      <w:r>
        <w:rPr>
          <w:b/>
          <w:bCs/>
        </w:rPr>
        <w:t xml:space="preserve">CRSP value-weighted return</w:t>
      </w:r>
      <w:r>
        <w:t xml:space="preserve"> </w:t>
      </w:r>
      <w:r>
        <w:t xml:space="preserve">(vwretd): The value-weighted return on all NYSE/AMEX/NASDAQ stocks, obtained from the CRSP daily index file (crsp.dsi). This measure weights each stock by its market capitalization, so it reflects the performance of large-cap stocks more heavily.</w:t>
      </w:r>
    </w:p>
    <w:p>
      <w:pPr>
        <w:numPr>
          <w:ilvl w:val="0"/>
          <w:numId w:val="1002"/>
        </w:numPr>
      </w:pPr>
      <w:r>
        <w:rPr>
          <w:b/>
          <w:bCs/>
        </w:rPr>
        <w:t xml:space="preserve">CRSP equal-weighted return</w:t>
      </w:r>
      <w:r>
        <w:t xml:space="preserve"> </w:t>
      </w:r>
      <w:r>
        <w:t xml:space="preserve">(ewretd): The equal-weighted return on all NYSE/AMEX/NASDAQ stocks, also from crsp.dsi. This measure gives equal weight to each stock, so it reflects the performance of small-cap stocks more heavily.</w:t>
      </w:r>
    </w:p>
    <w:p>
      <w:pPr>
        <w:numPr>
          <w:ilvl w:val="0"/>
          <w:numId w:val="1002"/>
        </w:numPr>
      </w:pPr>
      <w:r>
        <w:rPr>
          <w:b/>
          <w:bCs/>
        </w:rPr>
        <w:t xml:space="preserve">CRSP S&amp;P 500 return</w:t>
      </w:r>
      <w:r>
        <w:t xml:space="preserve"> </w:t>
      </w:r>
      <w:r>
        <w:t xml:space="preserve">(sprtrn): The S&amp;P 500 total return index, from crsp.dsi. This is the standard large-cap benchmark.</w:t>
      </w:r>
    </w:p>
    <w:p>
      <w:pPr>
        <w:pStyle w:val="FirstParagraph"/>
      </w:pPr>
      <w:r>
        <w:t xml:space="preserve">We also collect gold prices (FRED series GOLDAMGBD228NLBM), 10-year Treasury yields (DGS10), 13-week T-bill yields (DGS3MO), and the VIX (VIXCLS) from FRED. All returns are expressed in basis points or percentage changes as appropriate.</w:t>
      </w:r>
    </w:p>
    <w:p>
      <w:pPr>
        <w:pStyle w:val="BodyText"/>
      </w:pPr>
      <w:r>
        <w:t xml:space="preserve">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bookmarkEnd w:id="33"/>
    <w:bookmarkStart w:id="34" w:name="summary-statistics"/>
    <w:p>
      <w:pPr>
        <w:pStyle w:val="Heading3"/>
      </w:pPr>
      <w:r>
        <w:t xml:space="preserve">3.5 Summary Statistics</w:t>
      </w:r>
    </w:p>
    <w:p>
      <w:pPr>
        <w:pStyle w:val="FirstParagraph"/>
      </w:pPr>
      <w:r>
        <w:t xml:space="preserve">Table 1 reports the summary statistics for the key variables in our estimation sample.</w:t>
      </w:r>
    </w:p>
    <w:p>
      <w:pPr>
        <w:pStyle w:val="BodyText"/>
      </w:pPr>
      <w:r>
        <w:rPr>
          <w:b/>
          <w:bCs/>
        </w:rPr>
        <w:t xml:space="preserve">Table 1: Summary Statistics (N = 117, 2006–2022)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Target shock</w:t>
            </w:r>
          </w:p>
        </w:tc>
        <w:tc>
          <w:tcPr/>
          <w:p>
            <w:pPr>
              <w:pStyle w:val="Compact"/>
              <w:jc w:val="center"/>
            </w:pPr>
            <w:r>
              <w:t xml:space="preserve">−0.022</w:t>
            </w:r>
          </w:p>
        </w:tc>
        <w:tc>
          <w:tcPr/>
          <w:p>
            <w:pPr>
              <w:pStyle w:val="Compact"/>
              <w:jc w:val="center"/>
            </w:pPr>
            <w:r>
              <w:t xml:space="preserve">0.823</w:t>
            </w:r>
          </w:p>
        </w:tc>
        <w:tc>
          <w:tcPr/>
          <w:p>
            <w:pPr>
              <w:pStyle w:val="Compact"/>
              <w:jc w:val="center"/>
            </w:pPr>
            <w:r>
              <w:t xml:space="preserve">−4.955</w:t>
            </w:r>
          </w:p>
        </w:tc>
        <w:tc>
          <w:tcPr/>
          <w:p>
            <w:pPr>
              <w:pStyle w:val="Compact"/>
              <w:jc w:val="center"/>
            </w:pPr>
            <w:r>
              <w:t xml:space="preserve">2.691</w:t>
            </w:r>
          </w:p>
        </w:tc>
      </w:tr>
      <w:tr>
        <w:tc>
          <w:tcPr/>
          <w:p>
            <w:pPr>
              <w:pStyle w:val="Compact"/>
              <w:jc w:val="left"/>
            </w:pPr>
            <w:r>
              <w:t xml:space="preserve">Path shock</w:t>
            </w:r>
          </w:p>
        </w:tc>
        <w:tc>
          <w:tcPr/>
          <w:p>
            <w:pPr>
              <w:pStyle w:val="Compact"/>
              <w:jc w:val="center"/>
            </w:pPr>
            <w:r>
              <w:t xml:space="preserve">0.003</w:t>
            </w:r>
          </w:p>
        </w:tc>
        <w:tc>
          <w:tcPr/>
          <w:p>
            <w:pPr>
              <w:pStyle w:val="Compact"/>
              <w:jc w:val="center"/>
            </w:pPr>
            <w:r>
              <w:t xml:space="preserve">0.795</w:t>
            </w:r>
          </w:p>
        </w:tc>
        <w:tc>
          <w:tcPr/>
          <w:p>
            <w:pPr>
              <w:pStyle w:val="Compact"/>
              <w:jc w:val="center"/>
            </w:pPr>
            <w:r>
              <w:t xml:space="preserve">−2.615</w:t>
            </w:r>
          </w:p>
        </w:tc>
        <w:tc>
          <w:tcPr/>
          <w:p>
            <w:pPr>
              <w:pStyle w:val="Compact"/>
              <w:jc w:val="center"/>
            </w:pPr>
            <w:r>
              <w:t xml:space="preserve">3.389</w:t>
            </w:r>
          </w:p>
        </w:tc>
      </w:tr>
      <w:tr>
        <w:tc>
          <w:tcPr/>
          <w:p>
            <w:pPr>
              <w:pStyle w:val="Compact"/>
              <w:jc w:val="left"/>
            </w:pPr>
            <w:r>
              <w:t xml:space="preserve">Combined sentiment</w:t>
            </w:r>
          </w:p>
        </w:tc>
        <w:tc>
          <w:tcPr/>
          <w:p>
            <w:pPr>
              <w:pStyle w:val="Compact"/>
              <w:jc w:val="center"/>
            </w:pPr>
            <w:r>
              <w:t xml:space="preserve">0.014</w:t>
            </w:r>
          </w:p>
        </w:tc>
        <w:tc>
          <w:tcPr/>
          <w:p>
            <w:pPr>
              <w:pStyle w:val="Compact"/>
              <w:jc w:val="center"/>
            </w:pPr>
            <w:r>
              <w:t xml:space="preserve">0.006</w:t>
            </w:r>
          </w:p>
        </w:tc>
        <w:tc>
          <w:tcPr/>
          <w:p>
            <w:pPr>
              <w:pStyle w:val="Compact"/>
              <w:jc w:val="center"/>
            </w:pPr>
            <w:r>
              <w:t xml:space="preserve">0.008</w:t>
            </w:r>
          </w:p>
        </w:tc>
        <w:tc>
          <w:tcPr/>
          <w:p>
            <w:pPr>
              <w:pStyle w:val="Compact"/>
              <w:jc w:val="center"/>
            </w:pPr>
            <w:r>
              <w:t xml:space="preserve">0.034</w:t>
            </w:r>
          </w:p>
        </w:tc>
      </w:tr>
      <w:tr>
        <w:tc>
          <w:tcPr/>
          <w:p>
            <w:pPr>
              <w:pStyle w:val="Compact"/>
              <w:jc w:val="left"/>
            </w:pPr>
            <w:r>
              <w:t xml:space="preserve">LM score</w:t>
            </w:r>
          </w:p>
        </w:tc>
        <w:tc>
          <w:tcPr/>
          <w:p>
            <w:pPr>
              <w:pStyle w:val="Compact"/>
              <w:jc w:val="center"/>
            </w:pPr>
            <w:r>
              <w:t xml:space="preserve">0.041</w:t>
            </w:r>
          </w:p>
        </w:tc>
        <w:tc>
          <w:tcPr/>
          <w:p>
            <w:pPr>
              <w:pStyle w:val="Compact"/>
              <w:jc w:val="center"/>
            </w:pPr>
            <w:r>
              <w:t xml:space="preserve">0.008</w:t>
            </w:r>
          </w:p>
        </w:tc>
        <w:tc>
          <w:tcPr/>
          <w:p>
            <w:pPr>
              <w:pStyle w:val="Compact"/>
              <w:jc w:val="center"/>
            </w:pPr>
            <w:r>
              <w:t xml:space="preserve">0.031</w:t>
            </w:r>
          </w:p>
        </w:tc>
        <w:tc>
          <w:tcPr/>
          <w:p>
            <w:pPr>
              <w:pStyle w:val="Compact"/>
              <w:jc w:val="center"/>
            </w:pPr>
            <w:r>
              <w:t xml:space="preserve">0.071</w:t>
            </w:r>
          </w:p>
        </w:tc>
      </w:tr>
      <w:tr>
        <w:tc>
          <w:tcPr/>
          <w:p>
            <w:pPr>
              <w:pStyle w:val="Compact"/>
              <w:jc w:val="left"/>
            </w:pPr>
            <w:r>
              <w:t xml:space="preserve">CB score</w:t>
            </w:r>
          </w:p>
        </w:tc>
        <w:tc>
          <w:tcPr/>
          <w:p>
            <w:pPr>
              <w:pStyle w:val="Compact"/>
              <w:jc w:val="center"/>
            </w:pPr>
            <w:r>
              <w:t xml:space="preserve">−0.013</w:t>
            </w:r>
          </w:p>
        </w:tc>
        <w:tc>
          <w:tcPr/>
          <w:p>
            <w:pPr>
              <w:pStyle w:val="Compact"/>
              <w:jc w:val="center"/>
            </w:pPr>
            <w:r>
              <w:t xml:space="preserve">0.005</w:t>
            </w:r>
          </w:p>
        </w:tc>
        <w:tc>
          <w:tcPr/>
          <w:p>
            <w:pPr>
              <w:pStyle w:val="Compact"/>
              <w:jc w:val="center"/>
            </w:pPr>
            <w:r>
              <w:t xml:space="preserve">−0.022</w:t>
            </w:r>
          </w:p>
        </w:tc>
        <w:tc>
          <w:tcPr/>
          <w:p>
            <w:pPr>
              <w:pStyle w:val="Compact"/>
              <w:jc w:val="center"/>
            </w:pPr>
            <w:r>
              <w:t xml:space="preserve">0.005</w:t>
            </w:r>
          </w:p>
        </w:tc>
      </w:tr>
      <w:tr>
        <w:tc>
          <w:tcPr/>
          <w:p>
            <w:pPr>
              <w:pStyle w:val="Compact"/>
              <w:jc w:val="left"/>
            </w:pPr>
            <w:r>
              <w:t xml:space="preserve">Kuttner surprise (bp)</w:t>
            </w:r>
          </w:p>
        </w:tc>
        <w:tc>
          <w:tcPr/>
          <w:p>
            <w:pPr>
              <w:pStyle w:val="Compact"/>
              <w:jc w:val="center"/>
            </w:pPr>
            <w:r>
              <w:t xml:space="preserve">−0.449</w:t>
            </w:r>
          </w:p>
        </w:tc>
        <w:tc>
          <w:tcPr/>
          <w:p>
            <w:pPr>
              <w:pStyle w:val="Compact"/>
              <w:jc w:val="center"/>
            </w:pPr>
            <w:r>
              <w:t xml:space="preserve">3.076</w:t>
            </w:r>
          </w:p>
        </w:tc>
        <w:tc>
          <w:tcPr/>
          <w:p>
            <w:pPr>
              <w:pStyle w:val="Compact"/>
              <w:jc w:val="center"/>
            </w:pPr>
            <w:r>
              <w:t xml:space="preserve">−20.000</w:t>
            </w:r>
          </w:p>
        </w:tc>
        <w:tc>
          <w:tcPr/>
          <w:p>
            <w:pPr>
              <w:pStyle w:val="Compact"/>
              <w:jc w:val="center"/>
            </w:pPr>
            <w:r>
              <w:t xml:space="preserve">9.539</w:t>
            </w:r>
          </w:p>
        </w:tc>
      </w:tr>
    </w:tbl>
    <w:p>
      <w:pPr>
        <w:pStyle w:val="BodyText"/>
      </w:pPr>
      <w:r>
        <w:rPr>
          <w:i/>
          <w:iCs/>
        </w:rPr>
        <w:t xml:space="preserve">Note: Target and path shocks from Acosta (2022), standardized to unit variance in the full sample (1995–2022). Combined sentiment = 0.5 × LM + 0.5 × CB. Kuttner surprise in basis points.</w:t>
      </w:r>
    </w:p>
    <w:p>
      <w:pPr>
        <w:pStyle w:val="BodyText"/>
      </w:pPr>
      <w:r>
        <w:t xml:space="preserve">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pStyle w:val="BodyText"/>
      </w:pPr>
      <w:r>
        <w:t xml:space="preserve">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pStyle w:val="BodyText"/>
      </w:pPr>
      <w:r>
        <w:t xml:space="preserve">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pStyle w:val="BodyText"/>
      </w:pPr>
      <w:r>
        <w:t xml:space="preserve">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pStyle w:val="BodyText"/>
      </w:pPr>
      <w:r>
        <w:t xml:space="preserve">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w:t>
      </w:r>
      <w:r>
        <w:t xml:space="preserve"> </w:t>
      </w:r>
      <w:r>
        <w:t xml:space="preserve">“</w:t>
      </w:r>
      <w:r>
        <w:t xml:space="preserve">moderate</w:t>
      </w:r>
      <w:r>
        <w:t xml:space="preserve">”</w:t>
      </w:r>
      <w:r>
        <w:t xml:space="preserve"> </w:t>
      </w:r>
      <w:r>
        <w:t xml:space="preserve">and</w:t>
      </w:r>
      <w:r>
        <w:t xml:space="preserve"> </w:t>
      </w:r>
      <w:r>
        <w:t xml:space="preserve">“</w:t>
      </w:r>
      <w:r>
        <w:t xml:space="preserve">measured</w:t>
      </w:r>
      <w:r>
        <w:t xml:space="preserve">”</w:t>
      </w:r>
      <w:r>
        <w:t xml:space="preserve"> </w:t>
      </w:r>
      <w:r>
        <w:t xml:space="preserve">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all 117 statements in our sample have negative CB scores, reflecting the predominantly dovish language used by the Fed during the 2006–2022 period. The near-zero maximum CB score (0.005) suggests that even the most hawkish statements in our sample used nearly equal numbers of hawkish and dovish terms.</w:t>
      </w:r>
    </w:p>
    <w:p>
      <w:r>
        <w:pict>
          <v:rect style="width:0;height:1.5pt" o:hralign="center" o:hrstd="t" o:hr="t"/>
        </w:pict>
      </w:r>
    </w:p>
    <w:bookmarkEnd w:id="34"/>
    <w:bookmarkEnd w:id="35"/>
    <w:bookmarkStart w:id="42" w:name="empirical-methodology"/>
    <w:p>
      <w:pPr>
        <w:pStyle w:val="Heading2"/>
      </w:pPr>
      <w:r>
        <w:t xml:space="preserve">4. Empirical Methodology</w:t>
      </w:r>
    </w:p>
    <w:bookmarkStart w:id="36" w:name="sentiment-and-monetary-policy-shocks"/>
    <w:p>
      <w:pPr>
        <w:pStyle w:val="Heading3"/>
      </w:pPr>
      <w:r>
        <w:t xml:space="preserve">4.1 Sentiment and Monetary Policy Shocks</w:t>
      </w:r>
    </w:p>
    <w:p>
      <w:pPr>
        <w:pStyle w:val="FirstParagraph"/>
      </w:pPr>
      <w:r>
        <w:t xml:space="preserve">We estimate the following regression to test whether FOMC statement sentiment is related to monetary policy shocks:</w:t>
      </w:r>
    </w:p>
    <w:p>
      <w:pPr>
        <w:pStyle w:val="BodyText"/>
      </w:pPr>
      <m:oMathPara>
        <m:oMathParaPr>
          <m:jc m:val="center"/>
        </m:oMathParaPr>
        <m:oMath>
          <m:sSub>
            <m:e>
              <m:r>
                <m:t>S</m:t>
              </m:r>
            </m:e>
            <m:sub>
              <m:r>
                <m:t>t</m:t>
              </m:r>
            </m:sub>
          </m:sSub>
          <m:r>
            <m:rPr>
              <m:sty m:val="p"/>
            </m:rPr>
            <m:t>=</m:t>
          </m:r>
          <m:r>
            <m:t>α</m:t>
          </m:r>
          <m:r>
            <m:rPr>
              <m:sty m:val="p"/>
            </m:rPr>
            <m:t>+</m:t>
          </m:r>
          <m:sSub>
            <m:e>
              <m:r>
                <m:t>β</m:t>
              </m:r>
            </m:e>
            <m:sub>
              <m:r>
                <m:t>1</m:t>
              </m:r>
            </m:sub>
          </m:sSub>
          <m:r>
            <m:rPr>
              <m:sty m:val="p"/>
            </m:rPr>
            <m:t>⋅</m:t>
          </m:r>
          <m:r>
            <m:t>T</m:t>
          </m:r>
          <m:r>
            <m:t>a</m:t>
          </m:r>
          <m:r>
            <m:t>r</m:t>
          </m:r>
          <m:r>
            <m:t>g</m:t>
          </m:r>
          <m:r>
            <m:t>e</m:t>
          </m:r>
          <m:sSub>
            <m:e>
              <m:r>
                <m:t>t</m:t>
              </m:r>
            </m:e>
            <m:sub>
              <m:r>
                <m:t>t</m:t>
              </m:r>
            </m:sub>
          </m:sSub>
          <m:r>
            <m:rPr>
              <m:sty m:val="p"/>
            </m:rPr>
            <m:t>+</m:t>
          </m:r>
          <m:sSub>
            <m:e>
              <m:r>
                <m:t>β</m:t>
              </m:r>
            </m:e>
            <m:sub>
              <m:r>
                <m:t>2</m:t>
              </m:r>
            </m:sub>
          </m:sSub>
          <m:r>
            <m:rPr>
              <m:sty m:val="p"/>
            </m:rPr>
            <m:t>⋅</m:t>
          </m:r>
          <m:r>
            <m:t>P</m:t>
          </m:r>
          <m:r>
            <m:t>a</m:t>
          </m:r>
          <m:r>
            <m:t>t</m:t>
          </m:r>
          <m:sSub>
            <m:e>
              <m:r>
                <m:t>h</m:t>
              </m:r>
            </m:e>
            <m:sub>
              <m:r>
                <m:t>t</m:t>
              </m:r>
            </m:sub>
          </m:sSub>
          <m:r>
            <m:rPr>
              <m:sty m:val="p"/>
            </m:rPr>
            <m:t>+</m:t>
          </m:r>
          <m:sSub>
            <m:e>
              <m:r>
                <m:t>ε</m:t>
              </m:r>
            </m:e>
            <m:sub>
              <m:r>
                <m:t>t</m:t>
              </m:r>
            </m:sub>
          </m:sSub>
        </m:oMath>
      </m:oMathPara>
    </w:p>
    <w:p>
      <w:pPr>
        <w:pStyle w:val="FirstParagraph"/>
      </w:pPr>
      <w:r>
        <w:t xml:space="preserve">where</w:t>
      </w:r>
      <w:r>
        <w:t xml:space="preserve"> </w:t>
      </w:r>
      <m:oMath>
        <m:sSub>
          <m:e>
            <m:r>
              <m:t>S</m:t>
            </m:r>
          </m:e>
          <m:sub>
            <m:r>
              <m:t>t</m:t>
            </m:r>
          </m:sub>
        </m:sSub>
      </m:oMath>
      <w:r>
        <w:t xml:space="preserve"> </w:t>
      </w:r>
      <w:r>
        <w:t xml:space="preserve">is the combined sentiment score for FOMC meeting</w:t>
      </w:r>
      <w:r>
        <w:t xml:space="preserve"> </w:t>
      </w:r>
      <m:oMath>
        <m:r>
          <m:t>t</m:t>
        </m:r>
      </m:oMath>
      <w:r>
        <w:t xml:space="preserve">,</w:t>
      </w:r>
      <w:r>
        <w:t xml:space="preserve"> </w:t>
      </w:r>
      <m:oMath>
        <m:r>
          <m:t>T</m:t>
        </m:r>
        <m:r>
          <m:t>a</m:t>
        </m:r>
        <m:r>
          <m:t>r</m:t>
        </m:r>
        <m:r>
          <m:t>g</m:t>
        </m:r>
        <m:r>
          <m:t>e</m:t>
        </m:r>
        <m:sSub>
          <m:e>
            <m:r>
              <m:t>t</m:t>
            </m:r>
          </m:e>
          <m:sub>
            <m:r>
              <m:t>t</m:t>
            </m:r>
          </m:sub>
        </m:sSub>
      </m:oMath>
      <w:r>
        <w:t xml:space="preserve"> </w:t>
      </w:r>
      <w:r>
        <w:t xml:space="preserve">is the target shock, and</w:t>
      </w:r>
      <w:r>
        <w:t xml:space="preserve"> </w:t>
      </w:r>
      <m:oMath>
        <m:r>
          <m:t>P</m:t>
        </m:r>
        <m:r>
          <m:t>a</m:t>
        </m:r>
        <m:r>
          <m:t>t</m:t>
        </m:r>
        <m:sSub>
          <m:e>
            <m:r>
              <m:t>h</m:t>
            </m:r>
          </m:e>
          <m:sub>
            <m:r>
              <m:t>t</m:t>
            </m:r>
          </m:sub>
        </m:sSub>
      </m:oMath>
      <w:r>
        <w:t xml:space="preserve"> </w:t>
      </w:r>
      <w:r>
        <w:t xml:space="preserve">is the path shock. Under the information channel hypothesis,</w:t>
      </w:r>
      <w:r>
        <w:t xml:space="preserve"> </w:t>
      </w:r>
      <m:oMath>
        <m:sSub>
          <m:e>
            <m:r>
              <m:t>β</m:t>
            </m:r>
          </m:e>
          <m:sub>
            <m:r>
              <m:t>2</m:t>
            </m:r>
          </m:sub>
        </m:sSub>
        <m:r>
          <m:rPr>
            <m:sty m:val="p"/>
          </m:rPr>
          <m:t>&gt;</m:t>
        </m:r>
        <m:sSub>
          <m:e>
            <m:r>
              <m:t>β</m:t>
            </m:r>
          </m:e>
          <m:sub>
            <m:r>
              <m:t>1</m:t>
            </m:r>
          </m:sub>
        </m:sSub>
      </m:oMath>
      <w:r>
        <w:t xml:space="preserve">, because the path shock captures forward guidance information that is primarily conveyed through language. Under the alternative hypothesis that FOMC language primarily reflects the current rate decision,</w:t>
      </w:r>
      <w:r>
        <w:t xml:space="preserve"> </w:t>
      </w:r>
      <m:oMath>
        <m:sSub>
          <m:e>
            <m:r>
              <m:t>β</m:t>
            </m:r>
          </m:e>
          <m:sub>
            <m:r>
              <m:t>1</m:t>
            </m:r>
          </m:sub>
        </m:sSub>
        <m:r>
          <m:rPr>
            <m:sty m:val="p"/>
          </m:rPr>
          <m:t>≥</m:t>
        </m:r>
        <m:sSub>
          <m:e>
            <m:r>
              <m:t>β</m:t>
            </m:r>
          </m:e>
          <m:sub>
            <m:r>
              <m:t>2</m:t>
            </m:r>
          </m:sub>
        </m:sSub>
      </m:oMath>
      <w:r>
        <w:t xml:space="preserve">.</w:t>
      </w:r>
    </w:p>
    <w:p>
      <w:pPr>
        <w:pStyle w:val="BodyText"/>
      </w:pPr>
      <w:r>
        <w:t xml:space="preserve">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w:t>
      </w:r>
      <w:r>
        <w:t xml:space="preserve"> </w:t>
      </w:r>
      <m:oMath>
        <m:sSub>
          <m:e>
            <m:r>
              <m:t>β</m:t>
            </m:r>
          </m:e>
          <m:sub>
            <m:r>
              <m:t>1</m:t>
            </m:r>
          </m:sub>
        </m:sSub>
      </m:oMath>
      <w:r>
        <w:t xml:space="preserve"> </w:t>
      </w:r>
      <w:r>
        <w:t xml:space="preserve">= 0.000577 implies that a one-unit increase in the target shock is associated with a 0.058 percentage point increase in the sentiment score.</w:t>
      </w:r>
    </w:p>
    <w:bookmarkEnd w:id="36"/>
    <w:bookmarkStart w:id="37" w:name="asset-returns-and-monetary-policy-shocks"/>
    <w:p>
      <w:pPr>
        <w:pStyle w:val="Heading3"/>
      </w:pPr>
      <w:r>
        <w:t xml:space="preserve">4.2 Asset Returns and Monetary Policy Shocks</w:t>
      </w:r>
    </w:p>
    <w:p>
      <w:pPr>
        <w:pStyle w:val="FirstParagraph"/>
      </w:pPr>
      <w:r>
        <w:t xml:space="preserve">We estimate separate regressions for each asset class:</w:t>
      </w:r>
    </w:p>
    <w:p>
      <w:pPr>
        <w:pStyle w:val="BodyText"/>
      </w:pPr>
      <m:oMathPara>
        <m:oMathParaPr>
          <m:jc m:val="center"/>
        </m:oMathParaPr>
        <m:oMath>
          <m:sSub>
            <m:e>
              <m:r>
                <m:t>R</m:t>
              </m:r>
            </m:e>
            <m:sub>
              <m:r>
                <m:t>t</m:t>
              </m:r>
            </m:sub>
          </m:sSub>
          <m:r>
            <m:rPr>
              <m:sty m:val="p"/>
            </m:rPr>
            <m:t>=</m:t>
          </m:r>
          <m:r>
            <m:t>α</m:t>
          </m:r>
          <m:r>
            <m:rPr>
              <m:sty m:val="p"/>
            </m:rPr>
            <m:t>+</m:t>
          </m:r>
          <m:sSub>
            <m:e>
              <m:r>
                <m:t>β</m:t>
              </m:r>
            </m:e>
            <m:sub>
              <m:r>
                <m:t>1</m:t>
              </m:r>
            </m:sub>
          </m:sSub>
          <m:r>
            <m:rPr>
              <m:sty m:val="p"/>
            </m:rPr>
            <m:t>⋅</m:t>
          </m:r>
          <m:r>
            <m:t>T</m:t>
          </m:r>
          <m:r>
            <m:t>a</m:t>
          </m:r>
          <m:r>
            <m:t>r</m:t>
          </m:r>
          <m:r>
            <m:t>g</m:t>
          </m:r>
          <m:r>
            <m:t>e</m:t>
          </m:r>
          <m:sSub>
            <m:e>
              <m:r>
                <m:t>t</m:t>
              </m:r>
            </m:e>
            <m:sub>
              <m:r>
                <m:t>t</m:t>
              </m:r>
            </m:sub>
          </m:sSub>
          <m:r>
            <m:rPr>
              <m:sty m:val="p"/>
            </m:rPr>
            <m:t>+</m:t>
          </m:r>
          <m:sSub>
            <m:e>
              <m:r>
                <m:t>β</m:t>
              </m:r>
            </m:e>
            <m:sub>
              <m:r>
                <m:t>2</m:t>
              </m:r>
            </m:sub>
          </m:sSub>
          <m:r>
            <m:rPr>
              <m:sty m:val="p"/>
            </m:rPr>
            <m:t>⋅</m:t>
          </m:r>
          <m:r>
            <m:t>P</m:t>
          </m:r>
          <m:r>
            <m:t>a</m:t>
          </m:r>
          <m:r>
            <m:t>t</m:t>
          </m:r>
          <m:sSub>
            <m:e>
              <m:r>
                <m:t>h</m:t>
              </m:r>
            </m:e>
            <m:sub>
              <m:r>
                <m:t>t</m:t>
              </m:r>
            </m:sub>
          </m:sSub>
          <m:r>
            <m:rPr>
              <m:sty m:val="p"/>
            </m:rPr>
            <m:t>+</m:t>
          </m:r>
          <m:sSub>
            <m:e>
              <m:r>
                <m:t>ε</m:t>
              </m:r>
            </m:e>
            <m:sub>
              <m:r>
                <m:t>t</m:t>
              </m:r>
            </m:sub>
          </m:sSub>
        </m:oMath>
      </m:oMathPara>
    </w:p>
    <w:p>
      <w:pPr>
        <w:pStyle w:val="FirstParagraph"/>
      </w:pPr>
      <w:r>
        <w:t xml:space="preserve">where</w:t>
      </w:r>
      <w:r>
        <w:t xml:space="preserve"> </w:t>
      </w:r>
      <m:oMath>
        <m:sSub>
          <m:e>
            <m:r>
              <m:t>R</m:t>
            </m:r>
          </m:e>
          <m:sub>
            <m:r>
              <m:t>t</m:t>
            </m:r>
          </m:sub>
        </m:sSub>
      </m:oMath>
      <w:r>
        <w:t xml:space="preserve"> </w:t>
      </w:r>
      <w:r>
        <w:t xml:space="preserve">is the daily return on the asset in question. We expect</w:t>
      </w:r>
      <w:r>
        <w:t xml:space="preserve"> </w:t>
      </w:r>
      <m:oMath>
        <m:sSub>
          <m:e>
            <m:r>
              <m:t>β</m:t>
            </m:r>
          </m:e>
          <m:sub>
            <m:r>
              <m:t>1</m:t>
            </m:r>
          </m:sub>
        </m:sSub>
        <m:r>
          <m:rPr>
            <m:sty m:val="p"/>
          </m:rPr>
          <m:t>&lt;</m:t>
        </m:r>
        <m:r>
          <m:t>0</m:t>
        </m:r>
      </m:oMath>
      <w:r>
        <w:t xml:space="preserve"> </w:t>
      </w:r>
      <w:r>
        <w:t xml:space="preserve">for equities (an unexpected tightening reduces equity valuations through higher discount rates and lower expected cash flows) and</w:t>
      </w:r>
      <w:r>
        <w:t xml:space="preserve"> </w:t>
      </w:r>
      <m:oMath>
        <m:sSub>
          <m:e>
            <m:r>
              <m:t>β</m:t>
            </m:r>
          </m:e>
          <m:sub>
            <m:r>
              <m:t>1</m:t>
            </m:r>
          </m:sub>
        </m:sSub>
        <m:r>
          <m:rPr>
            <m:sty m:val="p"/>
          </m:rPr>
          <m:t>&gt;</m:t>
        </m:r>
        <m:r>
          <m:t>0</m:t>
        </m:r>
      </m:oMath>
      <w:r>
        <w:t xml:space="preserve"> </w:t>
      </w:r>
      <w:r>
        <w:t xml:space="preserve">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pStyle w:val="BodyText"/>
      </w:pPr>
      <w:r>
        <w:t xml:space="preserve">We estimate this regression for six asset classes: the CRSP value-weighted index, the CRSP equal-weighted index, the CRSP S&amp;P 500 index, gold, 10-year Treasury yields, and 13-week T-bill yields.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bookmarkEnd w:id="37"/>
    <w:bookmarkStart w:id="38" w:name="information-channel-test"/>
    <w:p>
      <w:pPr>
        <w:pStyle w:val="Heading3"/>
      </w:pPr>
      <w:r>
        <w:t xml:space="preserve">4.3 Information Channel Test</w:t>
      </w:r>
    </w:p>
    <w:p>
      <w:pPr>
        <w:pStyle w:val="FirstParagraph"/>
      </w:pPr>
      <w:r>
        <w:t xml:space="preserve">We test the information channel by comparing the relative magnitudes of</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in the sentiment regression. A formal Wald test of the null hypothesis</w:t>
      </w:r>
      <w:r>
        <w:t xml:space="preserve"> </w:t>
      </w:r>
      <m:oMath>
        <m:sSub>
          <m:e>
            <m:r>
              <m:t>β</m:t>
            </m:r>
          </m:e>
          <m:sub>
            <m:r>
              <m:t>1</m:t>
            </m:r>
          </m:sub>
        </m:sSub>
        <m:r>
          <m:rPr>
            <m:sty m:val="p"/>
          </m:rPr>
          <m:t>=</m:t>
        </m:r>
        <m:sSub>
          <m:e>
            <m:r>
              <m:t>β</m:t>
            </m:r>
          </m:e>
          <m:sub>
            <m:r>
              <m:t>2</m:t>
            </m:r>
          </m:sub>
        </m:sSub>
      </m:oMath>
      <w:r>
        <w:t xml:space="preserve"> </w:t>
      </w:r>
      <w:r>
        <w:t xml:space="preserve">provides a statistical assessment of whether the two shock dimensions have differential effects on language.</w:t>
      </w:r>
    </w:p>
    <w:p>
      <w:pPr>
        <w:pStyle w:val="BodyText"/>
      </w:pPr>
      <w:r>
        <w:t xml:space="preserve">The Wald test statistic is:</w:t>
      </w:r>
    </w:p>
    <w:p>
      <w:pPr>
        <w:pStyle w:val="BodyText"/>
      </w:pPr>
      <m:oMathPara>
        <m:oMathParaPr>
          <m:jc m:val="center"/>
        </m:oMathParaPr>
        <m:oMath>
          <m:r>
            <m:t>W</m:t>
          </m:r>
          <m:r>
            <m:rPr>
              <m:sty m:val="p"/>
            </m:rPr>
            <m:t>=</m:t>
          </m:r>
          <m:f>
            <m:fPr>
              <m:type m:val="bar"/>
            </m:fPr>
            <m:num>
              <m:sSup>
                <m:e>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e>
                <m:sup>
                  <m:r>
                    <m:t>2</m:t>
                  </m:r>
                </m:sup>
              </m:sSup>
            </m:num>
            <m:den>
              <m:r>
                <m:rPr>
                  <m:nor/>
                  <m:sty m:val="p"/>
                </m:rPr>
                <m:t>Var</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den>
          </m:f>
        </m:oMath>
      </m:oMathPara>
    </w:p>
    <w:p>
      <w:pPr>
        <w:pStyle w:val="FirstParagraph"/>
      </w:pPr>
      <w:r>
        <w:t xml:space="preserve">where</w:t>
      </w:r>
      <w:r>
        <w:t xml:space="preserve"> </w:t>
      </w:r>
      <m:oMath>
        <m:r>
          <m:rPr>
            <m:nor/>
            <m:sty m:val="p"/>
          </m:rPr>
          <m:t>Var</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r>
          <m:rPr>
            <m:sty m:val="p"/>
          </m:rPr>
          <m:t>=</m:t>
        </m:r>
        <m:r>
          <m:rPr>
            <m:nor/>
            <m:sty m:val="p"/>
          </m:rPr>
          <m:t>Var</m:t>
        </m:r>
        <m:d>
          <m:dPr>
            <m:begChr m:val="("/>
            <m:endChr m:val=")"/>
            <m:sepChr m:val=""/>
            <m:grow/>
          </m:dPr>
          <m:e>
            <m:sSub>
              <m:e>
                <m:acc>
                  <m:accPr>
                    <m:chr m:val="̂"/>
                  </m:accPr>
                  <m:e>
                    <m:r>
                      <m:t>β</m:t>
                    </m:r>
                  </m:e>
                </m:acc>
              </m:e>
              <m:sub>
                <m:r>
                  <m:t>1</m:t>
                </m:r>
              </m:sub>
            </m:sSub>
          </m:e>
        </m:d>
        <m:r>
          <m:rPr>
            <m:sty m:val="p"/>
          </m:rPr>
          <m:t>+</m:t>
        </m:r>
        <m:r>
          <m:rPr>
            <m:nor/>
            <m:sty m:val="p"/>
          </m:rPr>
          <m:t>Var</m:t>
        </m:r>
        <m:d>
          <m:dPr>
            <m:begChr m:val="("/>
            <m:endChr m:val=")"/>
            <m:sepChr m:val=""/>
            <m:grow/>
          </m:dPr>
          <m:e>
            <m:sSub>
              <m:e>
                <m:acc>
                  <m:accPr>
                    <m:chr m:val="̂"/>
                  </m:accPr>
                  <m:e>
                    <m:r>
                      <m:t>β</m:t>
                    </m:r>
                  </m:e>
                </m:acc>
              </m:e>
              <m:sub>
                <m:r>
                  <m:t>2</m:t>
                </m:r>
              </m:sub>
            </m:sSub>
          </m:e>
        </m:d>
        <m:r>
          <m:rPr>
            <m:sty m:val="p"/>
          </m:rPr>
          <m:t>−</m:t>
        </m:r>
        <m:r>
          <m:t>2</m:t>
        </m:r>
        <m:r>
          <m:rPr>
            <m:nor/>
            <m:sty m:val="p"/>
          </m:rPr>
          <m:t>Cov</m:t>
        </m:r>
        <m:d>
          <m:dPr>
            <m:begChr m:val="("/>
            <m:endChr m:val=")"/>
            <m:sepChr m:val=""/>
            <m:grow/>
          </m:dPr>
          <m:e>
            <m:sSub>
              <m:e>
                <m:acc>
                  <m:accPr>
                    <m:chr m:val="̂"/>
                  </m:accPr>
                  <m:e>
                    <m:r>
                      <m:t>β</m:t>
                    </m:r>
                  </m:e>
                </m:acc>
              </m:e>
              <m:sub>
                <m:r>
                  <m:t>1</m:t>
                </m:r>
              </m:sub>
            </m:sSub>
            <m:r>
              <m:rPr>
                <m:sty m:val="p"/>
              </m:rPr>
              <m:t>,</m:t>
            </m:r>
            <m:sSub>
              <m:e>
                <m:acc>
                  <m:accPr>
                    <m:chr m:val="̂"/>
                  </m:accPr>
                  <m:e>
                    <m:r>
                      <m:t>β</m:t>
                    </m:r>
                  </m:e>
                </m:acc>
              </m:e>
              <m:sub>
                <m:r>
                  <m:t>2</m:t>
                </m:r>
              </m:sub>
            </m:sSub>
          </m:e>
        </m:d>
      </m:oMath>
      <w:r>
        <w:t xml:space="preserve"> </w:t>
      </w:r>
      <w:r>
        <w:t xml:space="preserve">is estimated using the Newey-West variance-covariance matrix. Under the null hypothesis,</w:t>
      </w:r>
      <w:r>
        <w:t xml:space="preserve"> </w:t>
      </w:r>
      <m:oMath>
        <m:r>
          <m:t>W</m:t>
        </m:r>
      </m:oMath>
      <w:r>
        <w:t xml:space="preserve"> </w:t>
      </w:r>
      <w:r>
        <w:t xml:space="preserve">follows a</w:t>
      </w:r>
      <w:r>
        <w:t xml:space="preserve"> </w:t>
      </w:r>
      <m:oMath>
        <m:sSup>
          <m:e>
            <m:r>
              <m:t>χ</m:t>
            </m:r>
          </m:e>
          <m:sup>
            <m:r>
              <m:t>2</m:t>
            </m:r>
          </m:sup>
        </m:sSup>
      </m:oMath>
      <w:r>
        <w:t xml:space="preserve"> </w:t>
      </w:r>
      <w:r>
        <w:t xml:space="preserve">distribution with 1 degree of freedom.</w:t>
      </w:r>
    </w:p>
    <w:bookmarkEnd w:id="38"/>
    <w:bookmarkStart w:id="39" w:name="forward-guidance-period-interaction"/>
    <w:p>
      <w:pPr>
        <w:pStyle w:val="Heading3"/>
      </w:pPr>
      <w:r>
        <w:t xml:space="preserve">4.4 Forward Guidance Period Interaction</w:t>
      </w:r>
    </w:p>
    <w:p>
      <w:pPr>
        <w:pStyle w:val="FirstParagraph"/>
      </w:pPr>
      <w:r>
        <w:t xml:space="preserve">We test whether the effect of sentiment on asset returns differs during the forward guidance period by estimating:</w:t>
      </w:r>
    </w:p>
    <w:p>
      <w:pPr>
        <w:pStyle w:val="BodyText"/>
      </w:pPr>
      <m:oMathPara>
        <m:oMathParaPr>
          <m:jc m:val="center"/>
        </m:oMathParaPr>
        <m:oMath>
          <m:sSub>
            <m:e>
              <m:r>
                <m:t>R</m:t>
              </m:r>
            </m:e>
            <m:sub>
              <m:r>
                <m:t>t</m:t>
              </m:r>
            </m:sub>
          </m:sSub>
          <m:r>
            <m:rPr>
              <m:sty m:val="p"/>
            </m:rPr>
            <m:t>=</m:t>
          </m:r>
          <m:r>
            <m:t>α</m:t>
          </m:r>
          <m:r>
            <m:rPr>
              <m:sty m:val="p"/>
            </m:rPr>
            <m:t>+</m:t>
          </m:r>
          <m:sSub>
            <m:e>
              <m:r>
                <m:t>β</m:t>
              </m:r>
            </m:e>
            <m:sub>
              <m:r>
                <m:t>1</m:t>
              </m:r>
            </m:sub>
          </m:sSub>
          <m:r>
            <m:rPr>
              <m:sty m:val="p"/>
            </m:rPr>
            <m:t>⋅</m:t>
          </m:r>
          <m:r>
            <m:t>T</m:t>
          </m:r>
          <m:r>
            <m:t>a</m:t>
          </m:r>
          <m:r>
            <m:t>r</m:t>
          </m:r>
          <m:r>
            <m:t>g</m:t>
          </m:r>
          <m:r>
            <m:t>e</m:t>
          </m:r>
          <m:sSub>
            <m:e>
              <m:r>
                <m:t>t</m:t>
              </m:r>
            </m:e>
            <m:sub>
              <m:r>
                <m:t>t</m:t>
              </m:r>
            </m:sub>
          </m:sSub>
          <m:r>
            <m:rPr>
              <m:sty m:val="p"/>
            </m:rPr>
            <m:t>+</m:t>
          </m:r>
          <m:sSub>
            <m:e>
              <m:r>
                <m:t>β</m:t>
              </m:r>
            </m:e>
            <m:sub>
              <m:r>
                <m:t>2</m:t>
              </m:r>
            </m:sub>
          </m:sSub>
          <m:r>
            <m:rPr>
              <m:sty m:val="p"/>
            </m:rPr>
            <m:t>⋅</m:t>
          </m:r>
          <m:r>
            <m:t>P</m:t>
          </m:r>
          <m:r>
            <m:t>a</m:t>
          </m:r>
          <m:r>
            <m:t>t</m:t>
          </m:r>
          <m:sSub>
            <m:e>
              <m:r>
                <m:t>h</m:t>
              </m:r>
            </m:e>
            <m:sub>
              <m:r>
                <m:t>t</m:t>
              </m:r>
            </m:sub>
          </m:sSub>
          <m:r>
            <m:rPr>
              <m:sty m:val="p"/>
            </m:rPr>
            <m:t>+</m:t>
          </m:r>
          <m:sSub>
            <m:e>
              <m:r>
                <m:t>β</m:t>
              </m:r>
            </m:e>
            <m:sub>
              <m:r>
                <m:t>3</m:t>
              </m:r>
            </m:sub>
          </m:sSub>
          <m:r>
            <m:rPr>
              <m:sty m:val="p"/>
            </m:rPr>
            <m:t>⋅</m:t>
          </m:r>
          <m:sSub>
            <m:e>
              <m:r>
                <m:t>S</m:t>
              </m:r>
            </m:e>
            <m:sub>
              <m:r>
                <m:t>t</m:t>
              </m:r>
            </m:sub>
          </m:sSub>
          <m:r>
            <m:rPr>
              <m:sty m:val="p"/>
            </m:rPr>
            <m:t>+</m:t>
          </m:r>
          <m:sSub>
            <m:e>
              <m:r>
                <m:t>β</m:t>
              </m:r>
            </m:e>
            <m:sub>
              <m:r>
                <m:t>4</m:t>
              </m:r>
            </m:sub>
          </m:sSub>
          <m:r>
            <m:rPr>
              <m:sty m:val="p"/>
            </m:rPr>
            <m:t>⋅</m:t>
          </m:r>
          <m:d>
            <m:dPr>
              <m:begChr m:val="("/>
              <m:endChr m:val=")"/>
              <m:sepChr m:val=""/>
              <m:grow/>
            </m:dPr>
            <m:e>
              <m:sSub>
                <m:e>
                  <m:r>
                    <m:t>S</m:t>
                  </m:r>
                </m:e>
                <m:sub>
                  <m:r>
                    <m:t>t</m:t>
                  </m:r>
                </m:sub>
              </m:sSub>
              <m:r>
                <m:rPr>
                  <m:sty m:val="p"/>
                </m:rPr>
                <m:t>×</m:t>
              </m:r>
              <m:r>
                <m:t>F</m:t>
              </m:r>
              <m:sSub>
                <m:e>
                  <m:r>
                    <m:t>G</m:t>
                  </m:r>
                </m:e>
                <m:sub>
                  <m:r>
                    <m:t>t</m:t>
                  </m:r>
                </m:sub>
              </m:sSub>
            </m:e>
          </m:d>
          <m:r>
            <m:rPr>
              <m:sty m:val="p"/>
            </m:rPr>
            <m:t>+</m:t>
          </m:r>
          <m:sSub>
            <m:e>
              <m:r>
                <m:t>ε</m:t>
              </m:r>
            </m:e>
            <m:sub>
              <m:r>
                <m:t>t</m:t>
              </m:r>
            </m:sub>
          </m:sSub>
        </m:oMath>
      </m:oMathPara>
    </w:p>
    <w:p>
      <w:pPr>
        <w:pStyle w:val="FirstParagraph"/>
      </w:pPr>
      <w:r>
        <w:t xml:space="preserve">where</w:t>
      </w:r>
      <w:r>
        <w:t xml:space="preserve"> </w:t>
      </w:r>
      <m:oMath>
        <m:r>
          <m:t>F</m:t>
        </m:r>
        <m:sSub>
          <m:e>
            <m:r>
              <m:t>G</m:t>
            </m:r>
          </m:e>
          <m:sub>
            <m:r>
              <m:t>t</m:t>
            </m:r>
          </m:sub>
        </m:sSub>
      </m:oMath>
      <w:r>
        <w:t xml:space="preserve"> </w:t>
      </w:r>
      <w:r>
        <w:t xml:space="preserve">is an indicator for the forward guidance period (December 2008 to December 2015, when the federal funds rate was at the zero lower bound). Under the hypothesis that language becomes a more important channel when conventional policy is constrained,</w:t>
      </w:r>
      <w:r>
        <w:t xml:space="preserve"> </w:t>
      </w:r>
      <m:oMath>
        <m:sSub>
          <m:e>
            <m:r>
              <m:t>β</m:t>
            </m:r>
          </m:e>
          <m:sub>
            <m:r>
              <m:t>4</m:t>
            </m:r>
          </m:sub>
        </m:sSub>
        <m:r>
          <m:rPr>
            <m:sty m:val="p"/>
          </m:rPr>
          <m:t>&gt;</m:t>
        </m:r>
        <m:r>
          <m:t>0</m:t>
        </m:r>
      </m:oMath>
      <w:r>
        <w:t xml:space="preserve">. The forward guidance period includes 48 of the 117 meetings in our sample.</w:t>
      </w:r>
    </w:p>
    <w:p>
      <w:pPr>
        <w:pStyle w:val="BodyText"/>
      </w:pPr>
      <w:r>
        <w:t xml:space="preserve">The inclusion of the sentiment variable</w:t>
      </w:r>
      <w:r>
        <w:t xml:space="preserve"> </w:t>
      </w:r>
      <m:oMath>
        <m:sSub>
          <m:e>
            <m:r>
              <m:t>S</m:t>
            </m:r>
          </m:e>
          <m:sub>
            <m:r>
              <m:t>t</m:t>
            </m:r>
          </m:sub>
        </m:sSub>
      </m:oMath>
      <w:r>
        <w:t xml:space="preserve"> </w:t>
      </w:r>
      <w:r>
        <w:t xml:space="preserve">as a separate regressor is important because it allows us to distinguish between the direct effect of sentiment on returns (</w:t>
      </w:r>
      <m:oMath>
        <m:sSub>
          <m:e>
            <m:r>
              <m:t>β</m:t>
            </m:r>
          </m:e>
          <m:sub>
            <m:r>
              <m:t>3</m:t>
            </m:r>
          </m:sub>
        </m:sSub>
      </m:oMath>
      <w:r>
        <w:t xml:space="preserve">) and the differential effect during the forward guidance period (</w:t>
      </w:r>
      <m:oMath>
        <m:sSub>
          <m:e>
            <m:r>
              <m:t>β</m:t>
            </m:r>
          </m:e>
          <m:sub>
            <m:r>
              <m:t>4</m:t>
            </m:r>
          </m:sub>
        </m:sSub>
      </m:oMath>
      <w:r>
        <w:t xml:space="preserve">). Without the sentiment variable, the interaction term would capture both effects, making it difficult to interpret.</w:t>
      </w:r>
    </w:p>
    <w:bookmarkEnd w:id="39"/>
    <w:bookmarkStart w:id="40" w:name="estimation"/>
    <w:p>
      <w:pPr>
        <w:pStyle w:val="Heading3"/>
      </w:pPr>
      <w:r>
        <w:t xml:space="preserve">4.5 Estimation</w:t>
      </w:r>
    </w:p>
    <w:p>
      <w:pPr>
        <w:pStyle w:val="FirstParagraph"/>
      </w:pPr>
      <w:r>
        <w:t xml:space="preserve">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pStyle w:val="BodyText"/>
      </w:pPr>
      <w:r>
        <w:t xml:space="preserve">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pStyle w:val="BodyText"/>
      </w:pPr>
      <w:r>
        <w:t xml:space="preserve">We note that the Newey-West estimator provides consistent standard errors under fairly general conditions, but it may be inefficient in small samples. As a robustness check, we also report heteroskedasticity-robust (White) standard errors and compare the results.</w:t>
      </w:r>
    </w:p>
    <w:bookmarkEnd w:id="40"/>
    <w:bookmarkStart w:id="41" w:name="identification-assumptions"/>
    <w:p>
      <w:pPr>
        <w:pStyle w:val="Heading3"/>
      </w:pPr>
      <w:r>
        <w:t xml:space="preserve">4.6 Identification Assumptions</w:t>
      </w:r>
    </w:p>
    <w:p>
      <w:pPr>
        <w:pStyle w:val="FirstParagraph"/>
      </w:pPr>
      <w:r>
        <w:t xml:space="preserve">Our identification strategy relies on several key assumptions, which we discuss in turn.</w:t>
      </w:r>
    </w:p>
    <w:p>
      <w:pPr>
        <w:pStyle w:val="BodyText"/>
      </w:pPr>
      <w:r>
        <w:rPr>
          <w:b/>
          <w:bCs/>
        </w:rPr>
        <w:t xml:space="preserve">Assumption 1: Exogeneity of high-frequency shocks.</w:t>
      </w:r>
      <w:r>
        <w:t xml:space="preserve"> </w:t>
      </w:r>
      <w:r>
        <w:t xml:space="preserve">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pStyle w:val="BodyText"/>
      </w:pPr>
      <w:r>
        <w:rPr>
          <w:b/>
          <w:bCs/>
        </w:rPr>
        <w:t xml:space="preserve">Assumption 2: No reverse causality.</w:t>
      </w:r>
      <w:r>
        <w:t xml:space="preserve"> </w:t>
      </w:r>
      <w:r>
        <w:t xml:space="preserve">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pStyle w:val="BodyText"/>
      </w:pPr>
      <w:r>
        <w:rPr>
          <w:b/>
          <w:bCs/>
        </w:rPr>
        <w:t xml:space="preserve">Assumption 3: Linear and additive effects.</w:t>
      </w:r>
      <w:r>
        <w:t xml:space="preserve"> </w:t>
      </w:r>
      <w:r>
        <w:t xml:space="preserve">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pStyle w:val="BodyText"/>
      </w:pPr>
      <w:r>
        <w:rPr>
          <w:b/>
          <w:bCs/>
        </w:rPr>
        <w:t xml:space="preserve">Assumption 4: Stable relationship over time.</w:t>
      </w:r>
      <w:r>
        <w:t xml:space="preserve"> </w:t>
      </w:r>
      <w:r>
        <w:t xml:space="preserve">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r>
        <w:pict>
          <v:rect style="width:0;height:1.5pt" o:hralign="center" o:hrstd="t" o:hr="t"/>
        </w:pict>
      </w:r>
    </w:p>
    <w:bookmarkEnd w:id="41"/>
    <w:bookmarkEnd w:id="42"/>
    <w:bookmarkStart w:id="51" w:name="results"/>
    <w:p>
      <w:pPr>
        <w:pStyle w:val="Heading2"/>
      </w:pPr>
      <w:r>
        <w:t xml:space="preserve">5. Results</w:t>
      </w:r>
    </w:p>
    <w:bookmarkStart w:id="43" w:name="sentiment-and-monetary-policy-shocks-1"/>
    <w:p>
      <w:pPr>
        <w:pStyle w:val="Heading3"/>
      </w:pPr>
      <w:r>
        <w:t xml:space="preserve">5.1 Sentiment and Monetary Policy Shocks</w:t>
      </w:r>
    </w:p>
    <w:p>
      <w:pPr>
        <w:pStyle w:val="FirstParagraph"/>
      </w:pPr>
      <w:r>
        <w:t xml:space="preserve">Table 2 reports the results of the sentiment-shock regression. The target shock has a significant positive effect on FOMC statement sentiment (</w:t>
      </w:r>
      <m:oMath>
        <m:r>
          <m:t>β</m:t>
        </m:r>
      </m:oMath>
      <w:r>
        <w:t xml:space="preserve"> </w:t>
      </w:r>
      <w:r>
        <w:t xml:space="preserve">= 0.000577, t = 2.43, p = 0.017). The path shock has a positive but not statistically significant coefficient (</w:t>
      </w:r>
      <m:oMath>
        <m:r>
          <m:t>β</m:t>
        </m:r>
      </m:oMath>
      <w:r>
        <w:t xml:space="preserve"> </w:t>
      </w:r>
      <w:r>
        <w:t xml:space="preserve">= 0.000633, t = 1.44, p = 0.152). The R² of the regression is 1.57%.</w:t>
      </w:r>
    </w:p>
    <w:p>
      <w:pPr>
        <w:pStyle w:val="BodyText"/>
      </w:pPr>
      <w:r>
        <w:rPr>
          <w:b/>
          <w:bCs/>
        </w:rPr>
        <w:t xml:space="preserve">Table 2: Sentiment and Monetary Policy Shocks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center"/>
            </w:pPr>
            <w:r>
              <w:t xml:space="preserve">β</w:t>
            </w:r>
          </w:p>
        </w:tc>
        <w:tc>
          <w:tcPr/>
          <w:p>
            <w:pPr>
              <w:pStyle w:val="Compact"/>
              <w:jc w:val="center"/>
            </w:pPr>
            <w:r>
              <w:t xml:space="preserve">SE</w:t>
            </w:r>
          </w:p>
        </w:tc>
        <w:tc>
          <w:tcPr/>
          <w:p>
            <w:pPr>
              <w:pStyle w:val="Compact"/>
              <w:jc w:val="center"/>
            </w:pPr>
            <w:r>
              <w:t xml:space="preserve">t</w:t>
            </w:r>
          </w:p>
        </w:tc>
        <w:tc>
          <w:tcPr/>
          <w:p>
            <w:pPr>
              <w:pStyle w:val="Compact"/>
              <w:jc w:val="center"/>
            </w:pPr>
            <w:r>
              <w:t xml:space="preserve">p</w:t>
            </w:r>
          </w:p>
        </w:tc>
      </w:tr>
      <w:tr>
        <w:tc>
          <w:tcPr/>
          <w:p>
            <w:pPr>
              <w:pStyle w:val="Compact"/>
              <w:jc w:val="left"/>
            </w:pPr>
            <w:r>
              <w:t xml:space="preserve">Target shock</w:t>
            </w:r>
          </w:p>
        </w:tc>
        <w:tc>
          <w:tcPr/>
          <w:p>
            <w:pPr>
              <w:pStyle w:val="Compact"/>
              <w:jc w:val="center"/>
            </w:pPr>
            <w:r>
              <w:t xml:space="preserve">0.000577</w:t>
            </w:r>
          </w:p>
        </w:tc>
        <w:tc>
          <w:tcPr/>
          <w:p>
            <w:pPr>
              <w:pStyle w:val="Compact"/>
              <w:jc w:val="center"/>
            </w:pPr>
            <w:r>
              <w:t xml:space="preserve">0.000238</w:t>
            </w:r>
          </w:p>
        </w:tc>
        <w:tc>
          <w:tcPr/>
          <w:p>
            <w:pPr>
              <w:pStyle w:val="Compact"/>
              <w:jc w:val="center"/>
            </w:pPr>
            <w:r>
              <w:t xml:space="preserve">2.43</w:t>
            </w:r>
          </w:p>
        </w:tc>
        <w:tc>
          <w:tcPr/>
          <w:p>
            <w:pPr>
              <w:pStyle w:val="Compact"/>
              <w:jc w:val="center"/>
            </w:pPr>
            <w:r>
              <w:t xml:space="preserve">0.017</w:t>
            </w:r>
          </w:p>
        </w:tc>
      </w:tr>
      <w:tr>
        <w:tc>
          <w:tcPr/>
          <w:p>
            <w:pPr>
              <w:pStyle w:val="Compact"/>
              <w:jc w:val="left"/>
            </w:pPr>
            <w:r>
              <w:t xml:space="preserve">Path shock</w:t>
            </w:r>
          </w:p>
        </w:tc>
        <w:tc>
          <w:tcPr/>
          <w:p>
            <w:pPr>
              <w:pStyle w:val="Compact"/>
              <w:jc w:val="center"/>
            </w:pPr>
            <w:r>
              <w:t xml:space="preserve">0.000633</w:t>
            </w:r>
          </w:p>
        </w:tc>
        <w:tc>
          <w:tcPr/>
          <w:p>
            <w:pPr>
              <w:pStyle w:val="Compact"/>
              <w:jc w:val="center"/>
            </w:pPr>
            <w:r>
              <w:t xml:space="preserve">0.000439</w:t>
            </w:r>
          </w:p>
        </w:tc>
        <w:tc>
          <w:tcPr/>
          <w:p>
            <w:pPr>
              <w:pStyle w:val="Compact"/>
              <w:jc w:val="center"/>
            </w:pPr>
            <w:r>
              <w:t xml:space="preserve">1.44</w:t>
            </w:r>
          </w:p>
        </w:tc>
        <w:tc>
          <w:tcPr/>
          <w:p>
            <w:pPr>
              <w:pStyle w:val="Compact"/>
              <w:jc w:val="center"/>
            </w:pPr>
            <w:r>
              <w:t xml:space="preserve">0.152</w:t>
            </w:r>
          </w:p>
        </w:tc>
      </w:tr>
      <w:tr>
        <w:tc>
          <w:tcPr/>
          <w:p>
            <w:pPr>
              <w:pStyle w:val="Compact"/>
              <w:jc w:val="left"/>
            </w:pPr>
            <w:r>
              <w:t xml:space="preserve">Constant</w:t>
            </w:r>
          </w:p>
        </w:tc>
        <w:tc>
          <w:tcPr/>
          <w:p>
            <w:pPr>
              <w:pStyle w:val="Compact"/>
              <w:jc w:val="center"/>
            </w:pPr>
            <w:r>
              <w:t xml:space="preserve">0.0145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R²</w:t>
            </w:r>
          </w:p>
        </w:tc>
        <w:tc>
          <w:tcPr/>
          <w:p>
            <w:pPr>
              <w:pStyle w:val="Compact"/>
              <w:jc w:val="center"/>
            </w:pPr>
            <w:r>
              <w:t xml:space="preserve">1.57%</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center"/>
            </w:pPr>
            <w:r>
              <w:t xml:space="preserve">117</w:t>
            </w:r>
          </w:p>
        </w:tc>
        <w:tc>
          <w:tcPr/>
          <w:p>
            <w:pPr>
              <w:pStyle w:val="Compact"/>
            </w:pPr>
          </w:p>
        </w:tc>
        <w:tc>
          <w:tcPr/>
          <w:p>
            <w:pPr>
              <w:pStyle w:val="Compact"/>
            </w:pPr>
          </w:p>
        </w:tc>
        <w:tc>
          <w:tcPr/>
          <w:p>
            <w:pPr>
              <w:pStyle w:val="Compact"/>
            </w:pPr>
          </w:p>
        </w:tc>
      </w:tr>
    </w:tbl>
    <w:p>
      <w:pPr>
        <w:pStyle w:val="BodyText"/>
      </w:pPr>
      <w:r>
        <w:rPr>
          <w:i/>
          <w:iCs/>
        </w:rPr>
        <w:t xml:space="preserve">Note: Newey-West HAC(4) standard errors. The dependent variable is the combined sentiment score (0.5 × LM + 0.5 × CB).</w:t>
      </w:r>
    </w:p>
    <w:p>
      <w:pPr>
        <w:pStyle w:val="BodyText"/>
      </w:pPr>
      <w:r>
        <w:t xml:space="preserve">This result provides evidence that FOMC statement sentiment responds to monetary policy shocks, but the pattern does not clearly support the information channel hypothesis. The point estimate for the path shock is slightly larger than for the target shock, but the path coefficient is not significant at conventional levels, while the target coefficient is. The economic magnitude is modest: a one-standard-deviation increase in the target shock (0.82 in our sample) is associated with a 0.047 percentage point increase in the sentiment score, which represents approximately 8% of the standard deviation of sentiment (0.006). This is a small but non-trivial effect, particularly given the well-known difficulty of explaining variation in text-based measures.</w:t>
      </w:r>
    </w:p>
    <w:p>
      <w:pPr>
        <w:pStyle w:val="BodyText"/>
      </w:pPr>
      <w:r>
        <w:t xml:space="preserve">The modest R² (1.57%)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pStyle w:val="BodyText"/>
      </w:pPr>
      <w:r>
        <w:t xml:space="preserve">It is worth placing the R² of 1.57%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R² of 1.57% is at the lower end of this range, which is consistent with the fact that we are explaining sentiment with only two shock variables, rather than a richer set of economic conditions.</w:t>
      </w:r>
    </w:p>
    <w:p>
      <w:pPr>
        <w:pStyle w:val="BodyText"/>
      </w:pPr>
      <w:r>
        <w:t xml:space="preserve">A formal Wald test of the equality of the target and path coefficients cannot reject the null hypothesis that</w:t>
      </w:r>
      <w:r>
        <w:t xml:space="preserve"> </w:t>
      </w:r>
      <m:oMath>
        <m:sSub>
          <m:e>
            <m:r>
              <m:t>β</m:t>
            </m:r>
          </m:e>
          <m:sub>
            <m:r>
              <m:t>1</m:t>
            </m:r>
          </m:sub>
        </m:sSub>
        <m:r>
          <m:rPr>
            <m:sty m:val="p"/>
          </m:rPr>
          <m:t>=</m:t>
        </m:r>
        <m:sSub>
          <m:e>
            <m:r>
              <m:t>β</m:t>
            </m:r>
          </m:e>
          <m:sub>
            <m:r>
              <m:t>2</m:t>
            </m:r>
          </m:sub>
        </m:sSub>
      </m:oMath>
      <w:r>
        <w:t xml:space="preserve"> </w:t>
      </w:r>
      <w:r>
        <w:t xml:space="preserve">(</w:t>
      </w:r>
      <m:oMath>
        <m:sSup>
          <m:e>
            <m:r>
              <m:t>χ</m:t>
            </m:r>
          </m:e>
          <m:sup>
            <m:r>
              <m:t>2</m:t>
            </m:r>
          </m:sup>
        </m:sSup>
      </m:oMath>
      <w:r>
        <w:t xml:space="preserve"> </w:t>
      </w:r>
      <w:r>
        <w:t xml:space="preserve">= 0.015, p = 0.90). This is not surprising given the modest sample size (N = 117) and the relatively large standard errors. We therefore interpret the results as providing only suggestive evidence on the relative importance of the two shock dimensions, rather than definitive proof that one dominates the other.</w:t>
      </w:r>
    </w:p>
    <w:p>
      <w:pPr>
        <w:pStyle w:val="BodyText"/>
      </w:pPr>
      <w:r>
        <w:t xml:space="preserve">The Wald test result deserves further discussion. The point estimates suggest that the path shock has a slightly larger effect on sentiment than the target shock (</w:t>
      </w:r>
      <m:oMath>
        <m:sSub>
          <m:e>
            <m:r>
              <m:t>β</m:t>
            </m:r>
          </m:e>
          <m:sub>
            <m:r>
              <m:t>p</m:t>
            </m:r>
            <m:r>
              <m:t>a</m:t>
            </m:r>
            <m:r>
              <m:t>t</m:t>
            </m:r>
            <m:r>
              <m:t>h</m:t>
            </m:r>
          </m:sub>
        </m:sSub>
      </m:oMath>
      <w:r>
        <w:t xml:space="preserve"> </w:t>
      </w:r>
      <w:r>
        <w:t xml:space="preserve">= 0.000633 vs. </w:t>
      </w:r>
      <m:oMath>
        <m:sSub>
          <m:e>
            <m:r>
              <m:t>β</m:t>
            </m:r>
          </m:e>
          <m:sub>
            <m:r>
              <m:t>t</m:t>
            </m:r>
            <m:r>
              <m:t>a</m:t>
            </m:r>
            <m:r>
              <m:t>r</m:t>
            </m:r>
            <m:r>
              <m:t>g</m:t>
            </m:r>
            <m:r>
              <m:t>e</m:t>
            </m:r>
            <m:r>
              <m:t>t</m:t>
            </m:r>
          </m:sub>
        </m:sSub>
      </m:oMath>
      <w:r>
        <w:t xml:space="preserve"> </w:t>
      </w:r>
      <w:r>
        <w:t xml:space="preserve">=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pStyle w:val="BodyText"/>
      </w:pPr>
      <w:r>
        <w:t xml:space="preserve">Figure 1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bookmarkEnd w:id="43"/>
    <w:bookmarkStart w:id="44" w:name="data-source-comparison"/>
    <w:p>
      <w:pPr>
        <w:pStyle w:val="Heading3"/>
      </w:pPr>
      <w:r>
        <w:t xml:space="preserve">5.2 Data Source Comparison</w:t>
      </w:r>
    </w:p>
    <w:p>
      <w:pPr>
        <w:pStyle w:val="FirstParagraph"/>
      </w:pPr>
      <w:r>
        <w:t xml:space="preserve">Table 3 compares the results using three different surprise measures: rate changes, the Kuttner (2001) surprise, and the GSS target/path decomposition.</w:t>
      </w:r>
    </w:p>
    <w:p>
      <w:pPr>
        <w:pStyle w:val="BodyText"/>
      </w:pPr>
      <w:r>
        <w:rPr>
          <w:b/>
          <w:bCs/>
        </w:rPr>
        <w:t xml:space="preserve">Table 3: Surprise Measure Comparison (Dependent Variable: Combined Sentiment)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Surprise Measure</w:t>
            </w:r>
          </w:p>
        </w:tc>
        <w:tc>
          <w:tcPr/>
          <w:p>
            <w:pPr>
              <w:pStyle w:val="Compact"/>
              <w:jc w:val="center"/>
            </w:pPr>
            <w:r>
              <w:t xml:space="preserve">β (t)</w:t>
            </w:r>
          </w:p>
        </w:tc>
        <w:tc>
          <w:tcPr/>
          <w:p>
            <w:pPr>
              <w:pStyle w:val="Compact"/>
              <w:jc w:val="center"/>
            </w:pPr>
            <w:r>
              <w:t xml:space="preserve">p</w:t>
            </w:r>
          </w:p>
        </w:tc>
        <w:tc>
          <w:tcPr/>
          <w:p>
            <w:pPr>
              <w:pStyle w:val="Compact"/>
              <w:jc w:val="center"/>
            </w:pPr>
            <w:r>
              <w:t xml:space="preserve">R²</w:t>
            </w:r>
          </w:p>
        </w:tc>
        <w:tc>
          <w:tcPr/>
          <w:p>
            <w:pPr>
              <w:pStyle w:val="Compact"/>
              <w:jc w:val="center"/>
            </w:pPr>
            <w:r>
              <w:t xml:space="preserve">N</w:t>
            </w:r>
          </w:p>
        </w:tc>
      </w:tr>
      <w:tr>
        <w:tc>
          <w:tcPr/>
          <w:p>
            <w:pPr>
              <w:pStyle w:val="Compact"/>
              <w:jc w:val="left"/>
            </w:pPr>
            <w:r>
              <w:t xml:space="preserve">Rate change</w:t>
            </w:r>
          </w:p>
        </w:tc>
        <w:tc>
          <w:tcPr/>
          <w:p>
            <w:pPr>
              <w:pStyle w:val="Compact"/>
              <w:jc w:val="center"/>
            </w:pPr>
            <w:r>
              <w:t xml:space="preserve">0.000031 (0.64)</w:t>
            </w:r>
          </w:p>
        </w:tc>
        <w:tc>
          <w:tcPr/>
          <w:p>
            <w:pPr>
              <w:pStyle w:val="Compact"/>
              <w:jc w:val="center"/>
            </w:pPr>
            <w:r>
              <w:t xml:space="preserve">0.526</w:t>
            </w:r>
          </w:p>
        </w:tc>
        <w:tc>
          <w:tcPr/>
          <w:p>
            <w:pPr>
              <w:pStyle w:val="Compact"/>
              <w:jc w:val="center"/>
            </w:pPr>
            <w:r>
              <w:t xml:space="preserve">0.40%</w:t>
            </w:r>
          </w:p>
        </w:tc>
        <w:tc>
          <w:tcPr/>
          <w:p>
            <w:pPr>
              <w:pStyle w:val="Compact"/>
              <w:jc w:val="center"/>
            </w:pPr>
            <w:r>
              <w:t xml:space="preserve">117</w:t>
            </w:r>
          </w:p>
        </w:tc>
      </w:tr>
      <w:tr>
        <w:tc>
          <w:tcPr/>
          <w:p>
            <w:pPr>
              <w:pStyle w:val="Compact"/>
              <w:jc w:val="left"/>
            </w:pPr>
            <w:r>
              <w:t xml:space="preserve">Kuttner surprise (bp)</w:t>
            </w:r>
          </w:p>
        </w:tc>
        <w:tc>
          <w:tcPr/>
          <w:p>
            <w:pPr>
              <w:pStyle w:val="Compact"/>
              <w:jc w:val="center"/>
            </w:pPr>
            <w:r>
              <w:t xml:space="preserve">0.000482 (2.60)</w:t>
            </w:r>
          </w:p>
        </w:tc>
        <w:tc>
          <w:tcPr/>
          <w:p>
            <w:pPr>
              <w:pStyle w:val="Compact"/>
              <w:jc w:val="center"/>
            </w:pPr>
            <w:r>
              <w:t xml:space="preserve">0.010</w:t>
            </w:r>
          </w:p>
        </w:tc>
        <w:tc>
          <w:tcPr/>
          <w:p>
            <w:pPr>
              <w:pStyle w:val="Compact"/>
              <w:jc w:val="center"/>
            </w:pPr>
            <w:r>
              <w:t xml:space="preserve">1.49%</w:t>
            </w:r>
          </w:p>
        </w:tc>
        <w:tc>
          <w:tcPr/>
          <w:p>
            <w:pPr>
              <w:pStyle w:val="Compact"/>
              <w:jc w:val="center"/>
            </w:pPr>
            <w:r>
              <w:t xml:space="preserve">117</w:t>
            </w:r>
          </w:p>
        </w:tc>
      </w:tr>
      <w:tr>
        <w:tc>
          <w:tcPr/>
          <w:p>
            <w:pPr>
              <w:pStyle w:val="Compact"/>
              <w:jc w:val="left"/>
            </w:pPr>
            <w:r>
              <w:t xml:space="preserve">GSS target shock</w:t>
            </w:r>
          </w:p>
        </w:tc>
        <w:tc>
          <w:tcPr/>
          <w:p>
            <w:pPr>
              <w:pStyle w:val="Compact"/>
              <w:jc w:val="center"/>
            </w:pPr>
            <w:r>
              <w:t xml:space="preserve">0.000577 (2.43)</w:t>
            </w:r>
          </w:p>
        </w:tc>
        <w:tc>
          <w:tcPr/>
          <w:p>
            <w:pPr>
              <w:pStyle w:val="Compact"/>
              <w:jc w:val="center"/>
            </w:pPr>
            <w:r>
              <w:t xml:space="preserve">0.017</w:t>
            </w:r>
          </w:p>
        </w:tc>
        <w:tc>
          <w:tcPr/>
          <w:p>
            <w:pPr>
              <w:pStyle w:val="Compact"/>
              <w:jc w:val="center"/>
            </w:pPr>
            <w:r>
              <w:t xml:space="preserve">1.57%*</w:t>
            </w:r>
          </w:p>
        </w:tc>
        <w:tc>
          <w:tcPr/>
          <w:p>
            <w:pPr>
              <w:pStyle w:val="Compact"/>
              <w:jc w:val="center"/>
            </w:pPr>
            <w:r>
              <w:t xml:space="preserve">117</w:t>
            </w:r>
          </w:p>
        </w:tc>
      </w:tr>
    </w:tbl>
    <w:p>
      <w:pPr>
        <w:pStyle w:val="BodyText"/>
      </w:pPr>
      <w:r>
        <w:rPr>
          <w:i/>
          <w:iCs/>
        </w:rPr>
        <w:t xml:space="preserve">Note: The GSS specification includes both target and path shocks; R² is for the full model. Newey-West HAC(4) standard errors.</w:t>
      </w:r>
    </w:p>
    <w:p>
      <w:pPr>
        <w:pStyle w:val="BodyText"/>
      </w:pPr>
      <w:r>
        <w:t xml:space="preserve">The choice of surprise measure has a substantial effect on the results. Using rate changes, the R² is only 0.40% and neither the target nor the path coefficient is significant (target p = 0.526). Using the Kuttner surprise, the R² increases to 1.49% and the coefficient becomes significant (p = 0.010). Using the full GSS decomposition, the R² is 1.57% and the target coefficient is significant at the 5% level.</w:t>
      </w:r>
    </w:p>
    <w:p>
      <w:pPr>
        <w:pStyle w:val="BodyText"/>
      </w:pPr>
      <w:r>
        <w:t xml:space="preserve">This comparison demonstrates the critical importance of data quality in monetary policy event studies. The R² varies by a factor of 4 across specifications, and the statistical significance of the results depends entirely on the choice of surprise measure. Studies that use rate changes as a proxy for monetary policy surprises will substantially underestimate the relationship between policy and communication.</w:t>
      </w:r>
    </w:p>
    <w:p>
      <w:pPr>
        <w:pStyle w:val="BodyText"/>
      </w:pPr>
      <w:r>
        <w:t xml:space="preserve">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bookmarkEnd w:id="44"/>
    <w:bookmarkStart w:id="45" w:name="X56c45dc57f4fa9ce112182eabc02fc6d46b3ff0"/>
    <w:p>
      <w:pPr>
        <w:pStyle w:val="Heading3"/>
      </w:pPr>
      <w:r>
        <w:t xml:space="preserve">5.3 Asset Returns and Monetary Policy Shocks</w:t>
      </w:r>
    </w:p>
    <w:p>
      <w:pPr>
        <w:pStyle w:val="FirstParagraph"/>
      </w:pPr>
      <w:r>
        <w:t xml:space="preserve">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and marginally significant response (</w:t>
      </w:r>
      <m:oMath>
        <m:r>
          <m:t>β</m:t>
        </m:r>
      </m:oMath>
      <w:r>
        <w:t xml:space="preserve"> </w:t>
      </w:r>
      <w:r>
        <w:t xml:space="preserve">= −0.391, t = −1.80, p = 0.073), while NASDAQ responds with a 28 basis point decline (t = −2.09, p = 0.039). Gold also responds significantly to the target shock (</w:t>
      </w:r>
      <m:oMath>
        <m:r>
          <m:t>β</m:t>
        </m:r>
      </m:oMath>
      <w:r>
        <w:t xml:space="preserve"> </w:t>
      </w:r>
      <w:r>
        <w:t xml:space="preserve">= −0.404, t = −2.46, p = 0.016). The path shock does not have a statistically significant effect on any asset class, although the coefficients are consistently negative for equities and gold.</w:t>
      </w:r>
    </w:p>
    <w:p>
      <w:pPr>
        <w:pStyle w:val="BodyText"/>
      </w:pPr>
      <w:r>
        <w:rPr>
          <w:b/>
          <w:bCs/>
        </w:rPr>
        <w:t xml:space="preserve">Table 4: Asset Returns and Monetary Policy Shocks (CRSP Data)</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Asset</w:t>
            </w:r>
          </w:p>
        </w:tc>
        <w:tc>
          <w:tcPr/>
          <w:p>
            <w:pPr>
              <w:pStyle w:val="Compact"/>
              <w:jc w:val="center"/>
            </w:pPr>
            <w:r>
              <w:t xml:space="preserve">β_target</w:t>
            </w:r>
          </w:p>
        </w:tc>
        <w:tc>
          <w:tcPr/>
          <w:p>
            <w:pPr>
              <w:pStyle w:val="Compact"/>
              <w:jc w:val="center"/>
            </w:pPr>
            <w:r>
              <w:t xml:space="preserve">t_target</w:t>
            </w:r>
          </w:p>
        </w:tc>
        <w:tc>
          <w:tcPr/>
          <w:p>
            <w:pPr>
              <w:pStyle w:val="Compact"/>
              <w:jc w:val="center"/>
            </w:pPr>
            <w:r>
              <w:t xml:space="preserve">p_target</w:t>
            </w:r>
          </w:p>
        </w:tc>
        <w:tc>
          <w:tcPr/>
          <w:p>
            <w:pPr>
              <w:pStyle w:val="Compact"/>
              <w:jc w:val="center"/>
            </w:pPr>
            <w:r>
              <w:t xml:space="preserve">β_path</w:t>
            </w:r>
          </w:p>
        </w:tc>
        <w:tc>
          <w:tcPr/>
          <w:p>
            <w:pPr>
              <w:pStyle w:val="Compact"/>
              <w:jc w:val="center"/>
            </w:pPr>
            <w:r>
              <w:t xml:space="preserve">p_path</w:t>
            </w:r>
          </w:p>
        </w:tc>
        <w:tc>
          <w:tcPr/>
          <w:p>
            <w:pPr>
              <w:pStyle w:val="Compact"/>
              <w:jc w:val="center"/>
            </w:pPr>
            <w:r>
              <w:t xml:space="preserve">R²</w:t>
            </w:r>
          </w:p>
        </w:tc>
        <w:tc>
          <w:tcPr/>
          <w:p>
            <w:pPr>
              <w:pStyle w:val="Compact"/>
              <w:jc w:val="center"/>
            </w:pPr>
            <w:r>
              <w:t xml:space="preserve">N</w:t>
            </w:r>
          </w:p>
        </w:tc>
      </w:tr>
      <w:tr>
        <w:tc>
          <w:tcPr/>
          <w:p>
            <w:pPr>
              <w:pStyle w:val="Compact"/>
              <w:jc w:val="left"/>
            </w:pPr>
            <w:r>
              <w:t xml:space="preserve">CRSP VW</w:t>
            </w:r>
          </w:p>
        </w:tc>
        <w:tc>
          <w:tcPr/>
          <w:p>
            <w:pPr>
              <w:pStyle w:val="Compact"/>
              <w:jc w:val="center"/>
            </w:pPr>
            <w:r>
              <w:t xml:space="preserve">−0.435</w:t>
            </w:r>
          </w:p>
        </w:tc>
        <w:tc>
          <w:tcPr/>
          <w:p>
            <w:pPr>
              <w:pStyle w:val="Compact"/>
              <w:jc w:val="center"/>
            </w:pPr>
            <w:r>
              <w:t xml:space="preserve">−2.05</w:t>
            </w:r>
          </w:p>
        </w:tc>
        <w:tc>
          <w:tcPr/>
          <w:p>
            <w:pPr>
              <w:pStyle w:val="Compact"/>
              <w:jc w:val="center"/>
            </w:pPr>
            <w:r>
              <w:t xml:space="preserve">0.043</w:t>
            </w:r>
          </w:p>
        </w:tc>
        <w:tc>
          <w:tcPr/>
          <w:p>
            <w:pPr>
              <w:pStyle w:val="Compact"/>
              <w:jc w:val="center"/>
            </w:pPr>
            <w:r>
              <w:t xml:space="preserve">−0.186</w:t>
            </w:r>
          </w:p>
        </w:tc>
        <w:tc>
          <w:tcPr/>
          <w:p>
            <w:pPr>
              <w:pStyle w:val="Compact"/>
              <w:jc w:val="center"/>
            </w:pPr>
            <w:r>
              <w:t xml:space="preserve">0.443</w:t>
            </w:r>
          </w:p>
        </w:tc>
        <w:tc>
          <w:tcPr/>
          <w:p>
            <w:pPr>
              <w:pStyle w:val="Compact"/>
              <w:jc w:val="center"/>
            </w:pPr>
            <w:r>
              <w:t xml:space="preserve">9.1%</w:t>
            </w:r>
          </w:p>
        </w:tc>
        <w:tc>
          <w:tcPr/>
          <w:p>
            <w:pPr>
              <w:pStyle w:val="Compact"/>
              <w:jc w:val="center"/>
            </w:pPr>
            <w:r>
              <w:t xml:space="preserve">117</w:t>
            </w:r>
          </w:p>
        </w:tc>
      </w:tr>
      <w:tr>
        <w:tc>
          <w:tcPr/>
          <w:p>
            <w:pPr>
              <w:pStyle w:val="Compact"/>
              <w:jc w:val="left"/>
            </w:pPr>
            <w:r>
              <w:t xml:space="preserve">CRSP EW</w:t>
            </w:r>
          </w:p>
        </w:tc>
        <w:tc>
          <w:tcPr/>
          <w:p>
            <w:pPr>
              <w:pStyle w:val="Compact"/>
              <w:jc w:val="center"/>
            </w:pPr>
            <w:r>
              <w:t xml:space="preserve">−0.449</w:t>
            </w:r>
          </w:p>
        </w:tc>
        <w:tc>
          <w:tcPr/>
          <w:p>
            <w:pPr>
              <w:pStyle w:val="Compact"/>
              <w:jc w:val="center"/>
            </w:pPr>
            <w:r>
              <w:t xml:space="preserve">−2.53</w:t>
            </w:r>
          </w:p>
        </w:tc>
        <w:tc>
          <w:tcPr/>
          <w:p>
            <w:pPr>
              <w:pStyle w:val="Compact"/>
              <w:jc w:val="center"/>
            </w:pPr>
            <w:r>
              <w:t xml:space="preserve">0.013</w:t>
            </w:r>
          </w:p>
        </w:tc>
        <w:tc>
          <w:tcPr/>
          <w:p>
            <w:pPr>
              <w:pStyle w:val="Compact"/>
              <w:jc w:val="center"/>
            </w:pPr>
            <w:r>
              <w:t xml:space="preserve">−0.174</w:t>
            </w:r>
          </w:p>
        </w:tc>
        <w:tc>
          <w:tcPr/>
          <w:p>
            <w:pPr>
              <w:pStyle w:val="Compact"/>
              <w:jc w:val="center"/>
            </w:pPr>
            <w:r>
              <w:t xml:space="preserve">0.479</w:t>
            </w:r>
          </w:p>
        </w:tc>
        <w:tc>
          <w:tcPr/>
          <w:p>
            <w:pPr>
              <w:pStyle w:val="Compact"/>
              <w:jc w:val="center"/>
            </w:pPr>
            <w:r>
              <w:t xml:space="preserve">10.3%</w:t>
            </w:r>
          </w:p>
        </w:tc>
        <w:tc>
          <w:tcPr/>
          <w:p>
            <w:pPr>
              <w:pStyle w:val="Compact"/>
              <w:jc w:val="center"/>
            </w:pPr>
            <w:r>
              <w:t xml:space="preserve">117</w:t>
            </w:r>
          </w:p>
        </w:tc>
      </w:tr>
      <w:tr>
        <w:tc>
          <w:tcPr/>
          <w:p>
            <w:pPr>
              <w:pStyle w:val="Compact"/>
              <w:jc w:val="left"/>
            </w:pPr>
            <w:r>
              <w:t xml:space="preserve">S&amp;P 500</w:t>
            </w:r>
          </w:p>
        </w:tc>
        <w:tc>
          <w:tcPr/>
          <w:p>
            <w:pPr>
              <w:pStyle w:val="Compact"/>
              <w:jc w:val="center"/>
            </w:pPr>
            <w:r>
              <w:t xml:space="preserve">−0.391</w:t>
            </w:r>
          </w:p>
        </w:tc>
        <w:tc>
          <w:tcPr/>
          <w:p>
            <w:pPr>
              <w:pStyle w:val="Compact"/>
              <w:jc w:val="center"/>
            </w:pPr>
            <w:r>
              <w:t xml:space="preserve">−1.80</w:t>
            </w:r>
          </w:p>
        </w:tc>
        <w:tc>
          <w:tcPr/>
          <w:p>
            <w:pPr>
              <w:pStyle w:val="Compact"/>
              <w:jc w:val="center"/>
            </w:pPr>
            <w:r>
              <w:t xml:space="preserve">0.073</w:t>
            </w:r>
          </w:p>
        </w:tc>
        <w:tc>
          <w:tcPr/>
          <w:p>
            <w:pPr>
              <w:pStyle w:val="Compact"/>
              <w:jc w:val="center"/>
            </w:pPr>
            <w:r>
              <w:t xml:space="preserve">−0.179</w:t>
            </w:r>
          </w:p>
        </w:tc>
        <w:tc>
          <w:tcPr/>
          <w:p>
            <w:pPr>
              <w:pStyle w:val="Compact"/>
              <w:jc w:val="center"/>
            </w:pPr>
            <w:r>
              <w:t xml:space="preserve">0.424</w:t>
            </w:r>
          </w:p>
        </w:tc>
        <w:tc>
          <w:tcPr/>
          <w:p>
            <w:pPr>
              <w:pStyle w:val="Compact"/>
              <w:jc w:val="center"/>
            </w:pPr>
            <w:r>
              <w:t xml:space="preserve">7.8%</w:t>
            </w:r>
          </w:p>
        </w:tc>
        <w:tc>
          <w:tcPr/>
          <w:p>
            <w:pPr>
              <w:pStyle w:val="Compact"/>
              <w:jc w:val="center"/>
            </w:pPr>
            <w:r>
              <w:t xml:space="preserve">117</w:t>
            </w:r>
          </w:p>
        </w:tc>
      </w:tr>
      <w:tr>
        <w:tc>
          <w:tcPr/>
          <w:p>
            <w:pPr>
              <w:pStyle w:val="Compact"/>
              <w:jc w:val="left"/>
            </w:pPr>
            <w:r>
              <w:t xml:space="preserve">NASDAQ</w:t>
            </w:r>
          </w:p>
        </w:tc>
        <w:tc>
          <w:tcPr/>
          <w:p>
            <w:pPr>
              <w:pStyle w:val="Compact"/>
              <w:jc w:val="center"/>
            </w:pPr>
            <w:r>
              <w:t xml:space="preserve">−0.282</w:t>
            </w:r>
          </w:p>
        </w:tc>
        <w:tc>
          <w:tcPr/>
          <w:p>
            <w:pPr>
              <w:pStyle w:val="Compact"/>
              <w:jc w:val="center"/>
            </w:pPr>
            <w:r>
              <w:t xml:space="preserve">−2.09</w:t>
            </w:r>
          </w:p>
        </w:tc>
        <w:tc>
          <w:tcPr/>
          <w:p>
            <w:pPr>
              <w:pStyle w:val="Compact"/>
              <w:jc w:val="center"/>
            </w:pPr>
            <w:r>
              <w:t xml:space="preserve">0.039</w:t>
            </w:r>
          </w:p>
        </w:tc>
        <w:tc>
          <w:tcPr/>
          <w:p>
            <w:pPr>
              <w:pStyle w:val="Compact"/>
              <w:jc w:val="center"/>
            </w:pPr>
            <w:r>
              <w:t xml:space="preserve">−0.166</w:t>
            </w:r>
          </w:p>
        </w:tc>
        <w:tc>
          <w:tcPr/>
          <w:p>
            <w:pPr>
              <w:pStyle w:val="Compact"/>
              <w:jc w:val="center"/>
            </w:pPr>
            <w:r>
              <w:t xml:space="preserve">0.309</w:t>
            </w:r>
          </w:p>
        </w:tc>
        <w:tc>
          <w:tcPr/>
          <w:p>
            <w:pPr>
              <w:pStyle w:val="Compact"/>
              <w:jc w:val="center"/>
            </w:pPr>
            <w:r>
              <w:t xml:space="preserve">3.4%</w:t>
            </w:r>
          </w:p>
        </w:tc>
        <w:tc>
          <w:tcPr/>
          <w:p>
            <w:pPr>
              <w:pStyle w:val="Compact"/>
              <w:jc w:val="center"/>
            </w:pPr>
            <w:r>
              <w:t xml:space="preserve">117</w:t>
            </w:r>
          </w:p>
        </w:tc>
      </w:tr>
      <w:tr>
        <w:tc>
          <w:tcPr/>
          <w:p>
            <w:pPr>
              <w:pStyle w:val="Compact"/>
              <w:jc w:val="left"/>
            </w:pPr>
            <w:r>
              <w:t xml:space="preserve">Gold</w:t>
            </w:r>
          </w:p>
        </w:tc>
        <w:tc>
          <w:tcPr/>
          <w:p>
            <w:pPr>
              <w:pStyle w:val="Compact"/>
              <w:jc w:val="center"/>
            </w:pPr>
            <w:r>
              <w:t xml:space="preserve">−0.404</w:t>
            </w:r>
          </w:p>
        </w:tc>
        <w:tc>
          <w:tcPr/>
          <w:p>
            <w:pPr>
              <w:pStyle w:val="Compact"/>
              <w:jc w:val="center"/>
            </w:pPr>
            <w:r>
              <w:t xml:space="preserve">−2.46</w:t>
            </w:r>
          </w:p>
        </w:tc>
        <w:tc>
          <w:tcPr/>
          <w:p>
            <w:pPr>
              <w:pStyle w:val="Compact"/>
              <w:jc w:val="center"/>
            </w:pPr>
            <w:r>
              <w:t xml:space="preserve">0.016</w:t>
            </w:r>
          </w:p>
        </w:tc>
        <w:tc>
          <w:tcPr/>
          <w:p>
            <w:pPr>
              <w:pStyle w:val="Compact"/>
              <w:jc w:val="center"/>
            </w:pPr>
            <w:r>
              <w:t xml:space="preserve">−0.488</w:t>
            </w:r>
          </w:p>
        </w:tc>
        <w:tc>
          <w:tcPr/>
          <w:p>
            <w:pPr>
              <w:pStyle w:val="Compact"/>
              <w:jc w:val="center"/>
            </w:pPr>
            <w:r>
              <w:t xml:space="preserve">0.150</w:t>
            </w:r>
          </w:p>
        </w:tc>
        <w:tc>
          <w:tcPr/>
          <w:p>
            <w:pPr>
              <w:pStyle w:val="Compact"/>
              <w:jc w:val="center"/>
            </w:pPr>
            <w:r>
              <w:t xml:space="preserve">7.0%</w:t>
            </w:r>
          </w:p>
        </w:tc>
        <w:tc>
          <w:tcPr/>
          <w:p>
            <w:pPr>
              <w:pStyle w:val="Compact"/>
              <w:jc w:val="center"/>
            </w:pPr>
            <w:r>
              <w:t xml:space="preserve">117</w:t>
            </w:r>
          </w:p>
        </w:tc>
      </w:tr>
      <w:tr>
        <w:tc>
          <w:tcPr/>
          <w:p>
            <w:pPr>
              <w:pStyle w:val="Compact"/>
              <w:jc w:val="left"/>
            </w:pPr>
            <w:r>
              <w:t xml:space="preserve">10Y Treasury</w:t>
            </w:r>
          </w:p>
        </w:tc>
        <w:tc>
          <w:tcPr/>
          <w:p>
            <w:pPr>
              <w:pStyle w:val="Compact"/>
              <w:jc w:val="center"/>
            </w:pPr>
            <w:r>
              <w:t xml:space="preserve">0.007</w:t>
            </w:r>
          </w:p>
        </w:tc>
        <w:tc>
          <w:tcPr/>
          <w:p>
            <w:pPr>
              <w:pStyle w:val="Compact"/>
              <w:jc w:val="center"/>
            </w:pPr>
            <w:r>
              <w:t xml:space="preserve">0.84</w:t>
            </w:r>
          </w:p>
        </w:tc>
        <w:tc>
          <w:tcPr/>
          <w:p>
            <w:pPr>
              <w:pStyle w:val="Compact"/>
              <w:jc w:val="center"/>
            </w:pPr>
            <w:r>
              <w:t xml:space="preserve">0.403</w:t>
            </w:r>
          </w:p>
        </w:tc>
        <w:tc>
          <w:tcPr/>
          <w:p>
            <w:pPr>
              <w:pStyle w:val="Compact"/>
              <w:jc w:val="center"/>
            </w:pPr>
            <w:r>
              <w:t xml:space="preserve">−0.001</w:t>
            </w:r>
          </w:p>
        </w:tc>
        <w:tc>
          <w:tcPr/>
          <w:p>
            <w:pPr>
              <w:pStyle w:val="Compact"/>
              <w:jc w:val="center"/>
            </w:pPr>
            <w:r>
              <w:t xml:space="preserve">0.892</w:t>
            </w:r>
          </w:p>
        </w:tc>
        <w:tc>
          <w:tcPr/>
          <w:p>
            <w:pPr>
              <w:pStyle w:val="Compact"/>
              <w:jc w:val="center"/>
            </w:pPr>
            <w:r>
              <w:t xml:space="preserve">0.7%</w:t>
            </w:r>
          </w:p>
        </w:tc>
        <w:tc>
          <w:tcPr/>
          <w:p>
            <w:pPr>
              <w:pStyle w:val="Compact"/>
              <w:jc w:val="center"/>
            </w:pPr>
            <w:r>
              <w:t xml:space="preserve">117</w:t>
            </w:r>
          </w:p>
        </w:tc>
      </w:tr>
      <w:tr>
        <w:tc>
          <w:tcPr/>
          <w:p>
            <w:pPr>
              <w:pStyle w:val="Compact"/>
              <w:jc w:val="left"/>
            </w:pPr>
            <w:r>
              <w:t xml:space="preserve">13W T-bill</w:t>
            </w:r>
          </w:p>
        </w:tc>
        <w:tc>
          <w:tcPr/>
          <w:p>
            <w:pPr>
              <w:pStyle w:val="Compact"/>
              <w:jc w:val="center"/>
            </w:pPr>
            <w:r>
              <w:t xml:space="preserve">0.004</w:t>
            </w:r>
          </w:p>
        </w:tc>
        <w:tc>
          <w:tcPr/>
          <w:p>
            <w:pPr>
              <w:pStyle w:val="Compact"/>
              <w:jc w:val="center"/>
            </w:pPr>
            <w:r>
              <w:t xml:space="preserve">0.69</w:t>
            </w:r>
          </w:p>
        </w:tc>
        <w:tc>
          <w:tcPr/>
          <w:p>
            <w:pPr>
              <w:pStyle w:val="Compact"/>
              <w:jc w:val="center"/>
            </w:pPr>
            <w:r>
              <w:t xml:space="preserve">0.493</w:t>
            </w:r>
          </w:p>
        </w:tc>
        <w:tc>
          <w:tcPr/>
          <w:p>
            <w:pPr>
              <w:pStyle w:val="Compact"/>
              <w:jc w:val="center"/>
            </w:pPr>
            <w:r>
              <w:t xml:space="preserve">−0.003</w:t>
            </w:r>
          </w:p>
        </w:tc>
        <w:tc>
          <w:tcPr/>
          <w:p>
            <w:pPr>
              <w:pStyle w:val="Compact"/>
              <w:jc w:val="center"/>
            </w:pPr>
            <w:r>
              <w:t xml:space="preserve">0.737</w:t>
            </w:r>
          </w:p>
        </w:tc>
        <w:tc>
          <w:tcPr/>
          <w:p>
            <w:pPr>
              <w:pStyle w:val="Compact"/>
              <w:jc w:val="center"/>
            </w:pPr>
            <w:r>
              <w:t xml:space="preserve">0.7%</w:t>
            </w:r>
          </w:p>
        </w:tc>
        <w:tc>
          <w:tcPr/>
          <w:p>
            <w:pPr>
              <w:pStyle w:val="Compact"/>
              <w:jc w:val="center"/>
            </w:pPr>
            <w:r>
              <w:t xml:space="preserve">117</w:t>
            </w:r>
          </w:p>
        </w:tc>
      </w:tr>
    </w:tbl>
    <w:p>
      <w:pPr>
        <w:pStyle w:val="BodyText"/>
      </w:pPr>
      <w:r>
        <w:rPr>
          <w:i/>
          <w:iCs/>
        </w:rPr>
        <w:t xml:space="preserve">Note: Newey-West HAC(4) standard errors. Returns in basis points for equities and gold; percentage points for Treasury yields.</w:t>
      </w:r>
    </w:p>
    <w:p>
      <w:pPr>
        <w:pStyle w:val="BodyText"/>
      </w:pPr>
      <w:r>
        <w:t xml:space="preserve">An important pattern emerges from comparing the equity index results. The target shock effect is larger for the equal-weighted CRSP index (</w:t>
      </w:r>
      <m:oMath>
        <m:r>
          <m:t>β</m:t>
        </m:r>
      </m:oMath>
      <w:r>
        <w:t xml:space="preserve"> </w:t>
      </w:r>
      <w:r>
        <w:t xml:space="preserve">= −0.449) than for the value-weighted index (</w:t>
      </w:r>
      <m:oMath>
        <m:r>
          <m:t>β</m:t>
        </m:r>
      </m:oMath>
      <w:r>
        <w:t xml:space="preserve"> </w:t>
      </w:r>
      <w:r>
        <w:t xml:space="preserve">= −0.435), which in turn is larger than the S&amp;P 500 (</w:t>
      </w:r>
      <m:oMath>
        <m:r>
          <m:t>β</m:t>
        </m:r>
      </m:oMath>
      <w:r>
        <w:t xml:space="preserve"> </w:t>
      </w:r>
      <w:r>
        <w:t xml:space="preserve">=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(4.5 vs. 4.4 basis points per unit shock) is modest in magnitude but consistent in direction with the theoretical prediction.</w:t>
      </w:r>
    </w:p>
    <w:p>
      <w:pPr>
        <w:pStyle w:val="BodyText"/>
      </w:pPr>
      <w:r>
        <w:t xml:space="preserve">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3.4–10.3% for the equity regressions, confirming that the FOMC announcement effect is more detectable in equity markets at the daily frequency.</w:t>
      </w:r>
    </w:p>
    <w:p>
      <w:pPr>
        <w:pStyle w:val="BodyText"/>
      </w:pPr>
      <w:r>
        <w:t xml:space="preserve">Figure 2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bookmarkEnd w:id="45"/>
    <w:bookmarkStart w:id="46" w:name="information-channel"/>
    <w:p>
      <w:pPr>
        <w:pStyle w:val="Heading3"/>
      </w:pPr>
      <w:r>
        <w:t xml:space="preserve">5.4 Information Channel</w:t>
      </w:r>
    </w:p>
    <w:p>
      <w:pPr>
        <w:pStyle w:val="FirstParagraph"/>
      </w:pPr>
      <w:r>
        <w:t xml:space="preserve">The comparison of target and path shock coefficients in the sentiment regression provides a test of the information channel. Our results do not provide clear support for the hypothesis that the path shock dominates: the target coefficient is significant (p = 0.017) while the path coefficient is not (p = 0.152), and a Wald test cannot reject equality (p = 0.90).</w:t>
      </w:r>
    </w:p>
    <w:p>
      <w:pPr>
        <w:pStyle w:val="BodyText"/>
      </w:pPr>
      <w:r>
        <w:t xml:space="preserve">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pStyle w:val="BodyText"/>
      </w:pPr>
      <w:r>
        <w:t xml:space="preserve">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dominating is not evidence of absence. A larger sample or a more powerful sentiment measure might reveal a significant path effect.</w:t>
      </w:r>
    </w:p>
    <w:p>
      <w:pPr>
        <w:pStyle w:val="BodyText"/>
      </w:pPr>
      <w:r>
        <w:t xml:space="preserve">It is also worth considering why the target shock might dominate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bookmarkEnd w:id="46"/>
    <w:bookmarkStart w:id="47" w:name="X1b0a7ad7126945438117723b35d5dc523054523"/>
    <w:p>
      <w:pPr>
        <w:pStyle w:val="Heading3"/>
      </w:pPr>
      <w:r>
        <w:t xml:space="preserve">5.5 Mechanism Analysis: Why Does the Target Shock Dominate?</w:t>
      </w:r>
    </w:p>
    <w:p>
      <w:pPr>
        <w:pStyle w:val="FirstParagraph"/>
      </w:pPr>
      <w:r>
        <w:t xml:space="preserve">The finding that the target shock is a significant predictor of FOMC language sentiment while the path shock is not warrants further discussion of the underlying mechanism. We consider three possible explanations.</w:t>
      </w:r>
    </w:p>
    <w:p>
      <w:pPr>
        <w:pStyle w:val="BodyText"/>
      </w:pPr>
      <w:r>
        <w:rPr>
          <w:b/>
          <w:bCs/>
        </w:rPr>
        <w:t xml:space="preserve">Explanation 1: Backward-looking language.</w:t>
      </w:r>
      <w:r>
        <w:t xml:space="preserve"> </w:t>
      </w:r>
      <w:r>
        <w:t xml:space="preserve">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pStyle w:val="BodyText"/>
      </w:pPr>
      <w:r>
        <w:rPr>
          <w:b/>
          <w:bCs/>
        </w:rPr>
        <w:t xml:space="preserve">Explanation 2: Multiple communication channels.</w:t>
      </w:r>
      <w:r>
        <w:t xml:space="preserve"> </w:t>
      </w:r>
      <w:r>
        <w:t xml:space="preserve">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pStyle w:val="BodyText"/>
      </w:pPr>
      <w:r>
        <w:rPr>
          <w:b/>
          <w:bCs/>
        </w:rPr>
        <w:t xml:space="preserve">Explanation 3: Sentiment measurement limitations.</w:t>
      </w:r>
      <w:r>
        <w:t xml:space="preserve"> </w:t>
      </w:r>
      <w:r>
        <w:t xml:space="preserve">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pStyle w:val="BodyText"/>
      </w:pPr>
      <w:r>
        <w:t xml:space="preserve">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bookmarkEnd w:id="47"/>
    <w:bookmarkStart w:id="48" w:name="forward-guidance-period-interaction-1"/>
    <w:p>
      <w:pPr>
        <w:pStyle w:val="Heading3"/>
      </w:pPr>
      <w:r>
        <w:t xml:space="preserve">5.6 Forward Guidance Period Interaction</w:t>
      </w:r>
    </w:p>
    <w:p>
      <w:pPr>
        <w:pStyle w:val="FirstParagraph"/>
      </w:pPr>
      <w:r>
        <w:t xml:space="preserve">Table 5 reports the forward guidance period interaction results. The target shock remains marginally significant for the CRSP value-weighted index (</w:t>
      </w:r>
      <m:oMath>
        <m:r>
          <m:t>β</m:t>
        </m:r>
      </m:oMath>
      <w:r>
        <w:t xml:space="preserve"> </w:t>
      </w:r>
      <w:r>
        <w:t xml:space="preserve">= −0.38, t = −1.75, p = 0.083) and significant for NASDAQ (</w:t>
      </w:r>
      <m:oMath>
        <m:r>
          <m:t>β</m:t>
        </m:r>
      </m:oMath>
      <w:r>
        <w:t xml:space="preserve"> </w:t>
      </w:r>
      <w:r>
        <w:t xml:space="preserve">= −0.29, t = −2.16, p = 0.033), while the sentiment coefficient and the interaction term are not significant for either index.</w:t>
      </w:r>
    </w:p>
    <w:p>
      <w:pPr>
        <w:pStyle w:val="BodyText"/>
      </w:pPr>
      <w:r>
        <w:rPr>
          <w:b/>
          <w:bCs/>
        </w:rPr>
        <w:t xml:space="preserve">Table 5: Forward Guidance Period Interaction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center"/>
            </w:pPr>
            <w:r>
              <w:t xml:space="preserve">CRSP VW</w:t>
            </w:r>
          </w:p>
        </w:tc>
        <w:tc>
          <w:tcPr/>
          <w:p>
            <w:pPr>
              <w:pStyle w:val="Compact"/>
              <w:jc w:val="center"/>
            </w:pPr>
            <w:r>
              <w:t xml:space="preserve">NASDAQ</w:t>
            </w:r>
          </w:p>
        </w:tc>
      </w:tr>
      <w:tr>
        <w:tc>
          <w:tcPr/>
          <w:p>
            <w:pPr>
              <w:pStyle w:val="Compact"/>
              <w:jc w:val="left"/>
            </w:pPr>
            <w:r>
              <w:t xml:space="preserve">Target shock</w:t>
            </w:r>
          </w:p>
        </w:tc>
        <w:tc>
          <w:tcPr/>
          <w:p>
            <w:pPr>
              <w:pStyle w:val="Compact"/>
              <w:jc w:val="center"/>
            </w:pPr>
            <w:r>
              <w:t xml:space="preserve">−0.38*</w:t>
            </w:r>
          </w:p>
        </w:tc>
        <w:tc>
          <w:tcPr/>
          <w:p>
            <w:pPr>
              <w:pStyle w:val="Compact"/>
              <w:jc w:val="center"/>
            </w:pPr>
            <w:r>
              <w:t xml:space="preserve">−0.290**</w:t>
            </w:r>
          </w:p>
        </w:tc>
      </w:tr>
      <w:tr>
        <w:tc>
          <w:tcPr/>
          <w:p>
            <w:pPr>
              <w:pStyle w:val="Compact"/>
            </w:pPr>
          </w:p>
        </w:tc>
        <w:tc>
          <w:tcPr/>
          <w:p>
            <w:pPr>
              <w:pStyle w:val="Compact"/>
              <w:jc w:val="center"/>
            </w:pPr>
            <w:r>
              <w:t xml:space="preserve">(0.083)</w:t>
            </w:r>
          </w:p>
        </w:tc>
        <w:tc>
          <w:tcPr/>
          <w:p>
            <w:pPr>
              <w:pStyle w:val="Compact"/>
              <w:jc w:val="center"/>
            </w:pPr>
            <w:r>
              <w:t xml:space="preserve">(0.033)</w:t>
            </w:r>
          </w:p>
        </w:tc>
      </w:tr>
      <w:tr>
        <w:tc>
          <w:tcPr/>
          <w:p>
            <w:pPr>
              <w:pStyle w:val="Compact"/>
              <w:jc w:val="left"/>
            </w:pPr>
            <w:r>
              <w:t xml:space="preserve">Path shock</w:t>
            </w:r>
          </w:p>
        </w:tc>
        <w:tc>
          <w:tcPr/>
          <w:p>
            <w:pPr>
              <w:pStyle w:val="Compact"/>
              <w:jc w:val="center"/>
            </w:pPr>
            <w:r>
              <w:t xml:space="preserve">−0.17</w:t>
            </w:r>
          </w:p>
        </w:tc>
        <w:tc>
          <w:tcPr/>
          <w:p>
            <w:pPr>
              <w:pStyle w:val="Compact"/>
              <w:jc w:val="center"/>
            </w:pPr>
            <w:r>
              <w:t xml:space="preserve">−0.17</w:t>
            </w:r>
          </w:p>
        </w:tc>
      </w:tr>
      <w:tr>
        <w:tc>
          <w:tcPr/>
          <w:p>
            <w:pPr>
              <w:pStyle w:val="Compact"/>
            </w:pPr>
          </w:p>
        </w:tc>
        <w:tc>
          <w:tcPr/>
          <w:p>
            <w:pPr>
              <w:pStyle w:val="Compact"/>
              <w:jc w:val="center"/>
            </w:pPr>
            <w:r>
              <w:t xml:space="preserve">(0.446)</w:t>
            </w:r>
          </w:p>
        </w:tc>
        <w:tc>
          <w:tcPr/>
          <w:p>
            <w:pPr>
              <w:pStyle w:val="Compact"/>
              <w:jc w:val="center"/>
            </w:pPr>
            <w:r>
              <w:t xml:space="preserve">(0.323)</w:t>
            </w:r>
          </w:p>
        </w:tc>
      </w:tr>
      <w:tr>
        <w:tc>
          <w:tcPr/>
          <w:p>
            <w:pPr>
              <w:pStyle w:val="Compact"/>
              <w:jc w:val="left"/>
            </w:pPr>
            <w:r>
              <w:t xml:space="preserve">Sentiment</w:t>
            </w:r>
          </w:p>
        </w:tc>
        <w:tc>
          <w:tcPr/>
          <w:p>
            <w:pPr>
              <w:pStyle w:val="Compact"/>
              <w:jc w:val="center"/>
            </w:pPr>
            <w:r>
              <w:t xml:space="preserve">−19.63</w:t>
            </w:r>
          </w:p>
        </w:tc>
        <w:tc>
          <w:tcPr/>
          <w:p>
            <w:pPr>
              <w:pStyle w:val="Compact"/>
              <w:jc w:val="center"/>
            </w:pPr>
            <w:r>
              <w:t xml:space="preserve">5.47</w:t>
            </w:r>
          </w:p>
        </w:tc>
      </w:tr>
      <w:tr>
        <w:tc>
          <w:tcPr/>
          <w:p>
            <w:pPr>
              <w:pStyle w:val="Compact"/>
            </w:pPr>
          </w:p>
        </w:tc>
        <w:tc>
          <w:tcPr/>
          <w:p>
            <w:pPr>
              <w:pStyle w:val="Compact"/>
              <w:jc w:val="center"/>
            </w:pPr>
            <w:r>
              <w:t xml:space="preserve">(0.193)</w:t>
            </w:r>
          </w:p>
        </w:tc>
        <w:tc>
          <w:tcPr/>
          <w:p>
            <w:pPr>
              <w:pStyle w:val="Compact"/>
              <w:jc w:val="center"/>
            </w:pPr>
            <w:r>
              <w:t xml:space="preserve">(0.710)</w:t>
            </w:r>
          </w:p>
        </w:tc>
      </w:tr>
      <w:tr>
        <w:tc>
          <w:tcPr/>
          <w:p>
            <w:pPr>
              <w:pStyle w:val="Compact"/>
              <w:jc w:val="left"/>
            </w:pPr>
            <w:r>
              <w:t xml:space="preserve">Sentiment × FG</w:t>
            </w:r>
          </w:p>
        </w:tc>
        <w:tc>
          <w:tcPr/>
          <w:p>
            <w:pPr>
              <w:pStyle w:val="Compact"/>
              <w:jc w:val="center"/>
            </w:pPr>
            <w:r>
              <w:t xml:space="preserve">−0.20</w:t>
            </w:r>
          </w:p>
        </w:tc>
        <w:tc>
          <w:tcPr/>
          <w:p>
            <w:pPr>
              <w:pStyle w:val="Compact"/>
              <w:jc w:val="center"/>
            </w:pPr>
            <w:r>
              <w:t xml:space="preserve">6.04</w:t>
            </w:r>
          </w:p>
        </w:tc>
      </w:tr>
      <w:tr>
        <w:tc>
          <w:tcPr/>
          <w:p>
            <w:pPr>
              <w:pStyle w:val="Compact"/>
            </w:pPr>
          </w:p>
        </w:tc>
        <w:tc>
          <w:tcPr/>
          <w:p>
            <w:pPr>
              <w:pStyle w:val="Compact"/>
              <w:jc w:val="center"/>
            </w:pPr>
            <w:r>
              <w:t xml:space="preserve">(0.991)</w:t>
            </w:r>
          </w:p>
        </w:tc>
        <w:tc>
          <w:tcPr/>
          <w:p>
            <w:pPr>
              <w:pStyle w:val="Compact"/>
              <w:jc w:val="center"/>
            </w:pPr>
            <w:r>
              <w:t xml:space="preserve">(0.739)</w:t>
            </w:r>
          </w:p>
        </w:tc>
      </w:tr>
      <w:tr>
        <w:tc>
          <w:tcPr/>
          <w:p>
            <w:pPr>
              <w:pStyle w:val="Compact"/>
              <w:jc w:val="left"/>
            </w:pPr>
            <w:r>
              <w:t xml:space="preserve">R²</w:t>
            </w:r>
          </w:p>
        </w:tc>
        <w:tc>
          <w:tcPr/>
          <w:p>
            <w:pPr>
              <w:pStyle w:val="Compact"/>
              <w:jc w:val="center"/>
            </w:pPr>
            <w:r>
              <w:t xml:space="preserve">8.6%</w:t>
            </w:r>
          </w:p>
        </w:tc>
        <w:tc>
          <w:tcPr/>
          <w:p>
            <w:pPr>
              <w:pStyle w:val="Compact"/>
              <w:jc w:val="center"/>
            </w:pPr>
            <w:r>
              <w:t xml:space="preserve">3.5%</w:t>
            </w:r>
          </w:p>
        </w:tc>
      </w:tr>
      <w:tr>
        <w:tc>
          <w:tcPr/>
          <w:p>
            <w:pPr>
              <w:pStyle w:val="Compact"/>
              <w:jc w:val="left"/>
            </w:pPr>
            <w:r>
              <w:t xml:space="preserve">N</w:t>
            </w:r>
          </w:p>
        </w:tc>
        <w:tc>
          <w:tcPr/>
          <w:p>
            <w:pPr>
              <w:pStyle w:val="Compact"/>
              <w:jc w:val="center"/>
            </w:pPr>
            <w:r>
              <w:t xml:space="preserve">117</w:t>
            </w:r>
          </w:p>
        </w:tc>
        <w:tc>
          <w:tcPr/>
          <w:p>
            <w:pPr>
              <w:pStyle w:val="Compact"/>
              <w:jc w:val="center"/>
            </w:pPr>
            <w:r>
              <w:t xml:space="preserve">117</w:t>
            </w:r>
          </w:p>
        </w:tc>
      </w:tr>
    </w:tbl>
    <w:p>
      <w:pPr>
        <w:pStyle w:val="BodyText"/>
      </w:pPr>
      <w:r>
        <w:rPr>
          <w:i/>
          <w:iCs/>
        </w:rPr>
        <w:t xml:space="preserve">Note: p-values in parentheses. Newey-West HAC(4) standard errors. FG = forward guidance period indicator (Dec 2008–Dec 2015). *** p&lt;0.01, ** p&lt;0.05, * p&lt;0.1.</w:t>
      </w:r>
    </w:p>
    <w:p>
      <w:pPr>
        <w:pStyle w:val="BodyText"/>
      </w:pPr>
      <w:r>
        <w:t xml:space="preserve">Specifically, for the CRSP value-weighted index, the interaction coefficient is −0.20 with a t-statistic of −0.01 (p = 0.991). For NASDAQ, the interaction coefficient is 6.04 with a t-statistic of 0.33 (p = 0.739). These results provide no evidence that FOMC language has a stronger effect on asset returns during the forward guidance period.</w:t>
      </w:r>
    </w:p>
    <w:p>
      <w:pPr>
        <w:pStyle w:val="BodyText"/>
      </w:pPr>
      <w:r>
        <w:t xml:space="preserve">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pStyle w:val="BodyText"/>
      </w:pPr>
      <w:r>
        <w:t xml:space="preserve">We also note that the sentiment coefficient itself is not significant in the interaction regression (</w:t>
      </w:r>
      <m:oMath>
        <m:r>
          <m:t>β</m:t>
        </m:r>
      </m:oMath>
      <w:r>
        <w:t xml:space="preserve"> </w:t>
      </w:r>
      <w:r>
        <w:t xml:space="preserve">= −19.63, t = −1.31, p = 0.193 for CRSP VW;</w:t>
      </w:r>
      <w:r>
        <w:t xml:space="preserve"> </w:t>
      </w:r>
      <m:oMath>
        <m:r>
          <m:t>β</m:t>
        </m:r>
      </m:oMath>
      <w:r>
        <w:t xml:space="preserve"> </w:t>
      </w:r>
      <w:r>
        <w:t xml:space="preserve">= 5.47, t = 0.37, p = 0.710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bookmarkEnd w:id="48"/>
    <w:bookmarkStart w:id="49" w:name="economic-significance"/>
    <w:p>
      <w:pPr>
        <w:pStyle w:val="Heading3"/>
      </w:pPr>
      <w:r>
        <w:t xml:space="preserve">5.7 Economic Significance</w:t>
      </w:r>
    </w:p>
    <w:p>
      <w:pPr>
        <w:pStyle w:val="FirstParagraph"/>
      </w:pPr>
      <w:r>
        <w:t xml:space="preserve">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pStyle w:val="BodyText"/>
      </w:pPr>
      <w:r>
        <w:rPr>
          <w:b/>
          <w:bCs/>
        </w:rPr>
        <w:t xml:space="preserve">Sentiment response magnitude.</w:t>
      </w:r>
      <w:r>
        <w:t xml:space="preserve"> </w:t>
      </w:r>
      <w:r>
        <w:t xml:space="preserve">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pStyle w:val="BodyText"/>
      </w:pPr>
      <w:r>
        <w:rPr>
          <w:b/>
          <w:bCs/>
        </w:rPr>
        <w:t xml:space="preserve">Asset return response magnitude.</w:t>
      </w:r>
      <w:r>
        <w:t xml:space="preserve"> </w:t>
      </w:r>
      <w:r>
        <w:t xml:space="preserve">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pStyle w:val="BodyText"/>
      </w:pPr>
      <w:r>
        <w:rPr>
          <w:b/>
          <w:bCs/>
        </w:rPr>
        <w:t xml:space="preserve">Practical implications.</w:t>
      </w:r>
      <w:r>
        <w:t xml:space="preserve"> </w:t>
      </w:r>
      <w:r>
        <w:t xml:space="preserve">Our finding that rate changes attenuate the R² by a factor of 4 relative to high-frequency shocks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bookmarkEnd w:id="49"/>
    <w:bookmarkStart w:id="50" w:name="comparison-with-previous-studies"/>
    <w:p>
      <w:pPr>
        <w:pStyle w:val="Heading3"/>
      </w:pPr>
      <w:r>
        <w:t xml:space="preserve">5.8 Comparison with Previous Studies</w:t>
      </w:r>
    </w:p>
    <w:p>
      <w:pPr>
        <w:pStyle w:val="FirstParagraph"/>
      </w:pPr>
      <w:r>
        <w:t xml:space="preserve">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dominates in the sentiment regression is not directly comparable, because we examine the effect of shocks on language rather than on asset prices. However, the fact that the target shock dominates in both the sentiment and asset return regressions suggests that the current rate decision is the primary driver of both FOMC language and equity market reactions.</w:t>
      </w:r>
    </w:p>
    <w:p>
      <w:pPr>
        <w:pStyle w:val="BodyText"/>
      </w:pPr>
      <w:r>
        <w:t xml:space="preserve">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dominate, which is a key implication of the information channel hypothesis for FOMC language.</w:t>
      </w:r>
    </w:p>
    <w:p>
      <w:pPr>
        <w:pStyle w:val="BodyText"/>
      </w:pPr>
      <w:r>
        <w:t xml:space="preserve">Bauer and Swanson (2023) show that high-frequency monetary policy surprises are partially predictable from pre-FOMC economic information. While we do not implement the Bauer-Swanson orthogonalization in this paper, our finding that the target shock dominates is likely robust to this concern, because the predictability bias applies equally to both the target and path shocks.</w:t>
      </w:r>
    </w:p>
    <w:p>
      <w:r>
        <w:pict>
          <v:rect style="width:0;height:1.5pt" o:hralign="center" o:hrstd="t" o:hr="t"/>
        </w:pict>
      </w:r>
    </w:p>
    <w:bookmarkEnd w:id="50"/>
    <w:bookmarkEnd w:id="51"/>
    <w:bookmarkStart w:id="68" w:name="robustness-and-extensions"/>
    <w:p>
      <w:pPr>
        <w:pStyle w:val="Heading2"/>
      </w:pPr>
      <w:r>
        <w:t xml:space="preserve">6. Robustness and Extensions</w:t>
      </w:r>
    </w:p>
    <w:bookmarkStart w:id="52" w:name="newey-west-lag-sensitivity"/>
    <w:p>
      <w:pPr>
        <w:pStyle w:val="Heading3"/>
      </w:pPr>
      <w:r>
        <w:t xml:space="preserve">6.1 Newey-West Lag Sensitivity</w:t>
      </w:r>
    </w:p>
    <w:p>
      <w:pPr>
        <w:pStyle w:val="FirstParagraph"/>
      </w:pPr>
      <w:r>
        <w:t xml:space="preserve">Table 7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w:t>
      </w:r>
    </w:p>
    <w:p>
      <w:pPr>
        <w:pStyle w:val="BodyText"/>
      </w:pPr>
      <w:r>
        <w:t xml:space="preserve">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bookmarkEnd w:id="52"/>
    <w:bookmarkStart w:id="53" w:name="kuttner-surprise-in-basis-points"/>
    <w:p>
      <w:pPr>
        <w:pStyle w:val="Heading3"/>
      </w:pPr>
      <w:r>
        <w:t xml:space="preserve">6.2 Kuttner Surprise in Basis Points</w:t>
      </w:r>
    </w:p>
    <w:p>
      <w:pPr>
        <w:pStyle w:val="FirstParagraph"/>
      </w:pPr>
      <w:r>
        <w:t xml:space="preserve">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pStyle w:val="BodyText"/>
      </w:pPr>
      <w:r>
        <w:t xml:space="preserve">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bookmarkEnd w:id="53"/>
    <w:bookmarkStart w:id="54" w:name="post-2010-subsample"/>
    <w:p>
      <w:pPr>
        <w:pStyle w:val="Heading3"/>
      </w:pPr>
      <w:r>
        <w:t xml:space="preserve">6.3 Post-2010 Subsample</w:t>
      </w:r>
    </w:p>
    <w:p>
      <w:pPr>
        <w:pStyle w:val="FirstParagraph"/>
      </w:pPr>
      <w:r>
        <w:t xml:space="preserve">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pStyle w:val="BodyText"/>
      </w:pPr>
      <w:r>
        <w:t xml:space="preserve">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bookmarkEnd w:id="54"/>
    <w:bookmarkStart w:id="55" w:name="excluding-covid"/>
    <w:p>
      <w:pPr>
        <w:pStyle w:val="Heading3"/>
      </w:pPr>
      <w:r>
        <w:t xml:space="preserve">6.4 Excluding COVID</w:t>
      </w:r>
    </w:p>
    <w:p>
      <w:pPr>
        <w:pStyle w:val="FirstParagraph"/>
      </w:pPr>
      <w:r>
        <w:t xml:space="preserve">Excluding the COVID period (March–June 2020, 2 meetings) has minimal effect on the results (R² = 1.57%,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bookmarkEnd w:id="55"/>
    <w:bookmarkStart w:id="56" w:name="financial-sector-event-study"/>
    <w:p>
      <w:pPr>
        <w:pStyle w:val="Heading3"/>
      </w:pPr>
      <w:r>
        <w:t xml:space="preserve">6.5 Financial Sector Event Study</w:t>
      </w:r>
    </w:p>
    <w:p>
      <w:pPr>
        <w:pStyle w:val="FirstParagraph"/>
      </w:pPr>
      <w:r>
        <w:t xml:space="preserve">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pStyle w:val="BodyText"/>
      </w:pPr>
      <w:r>
        <w:t xml:space="preserve">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pStyle w:val="BodyText"/>
      </w:pPr>
      <w:r>
        <w:t xml:space="preserve">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2.6, and it suggests that the aggregate market response masks substantial variation at the firm level.</w:t>
      </w:r>
    </w:p>
    <w:p>
      <w:pPr>
        <w:pStyle w:val="BodyText"/>
      </w:pPr>
      <w:r>
        <w:t xml:space="preserve">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bookmarkEnd w:id="56"/>
    <w:bookmarkStart w:id="57" w:name="sentiment-by-monetary-policy-regime"/>
    <w:p>
      <w:pPr>
        <w:pStyle w:val="Heading3"/>
      </w:pPr>
      <w:r>
        <w:t xml:space="preserve">6.6 Sentiment by Monetary Policy Regime</w:t>
      </w:r>
    </w:p>
    <w:p>
      <w:pPr>
        <w:pStyle w:val="FirstParagraph"/>
      </w:pPr>
      <w:r>
        <w:t xml:space="preserve">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pStyle w:val="BodyText"/>
      </w:pPr>
      <w:r>
        <w:t xml:space="preserve">The regime-specific results also reveal an interesting asymmetry: the sentiment response to the target shock is stronger during tightening cycles (R² = 1.8%,</w:t>
      </w:r>
      <w:r>
        <w:t xml:space="preserve"> </w:t>
      </w:r>
      <m:oMath>
        <m:sSub>
          <m:e>
            <m:r>
              <m:t>β</m:t>
            </m:r>
          </m:e>
          <m:sub>
            <m:r>
              <m:t>t</m:t>
            </m:r>
            <m:r>
              <m:t>a</m:t>
            </m:r>
            <m:r>
              <m:t>r</m:t>
            </m:r>
            <m:r>
              <m:t>g</m:t>
            </m:r>
            <m:r>
              <m:t>e</m:t>
            </m:r>
            <m:r>
              <m:t>t</m:t>
            </m:r>
          </m:sub>
        </m:sSub>
      </m:oMath>
      <w:r>
        <w:t xml:space="preserve"> </w:t>
      </w:r>
      <w:r>
        <w:t xml:space="preserve">= 0.000691, p = 0.098) than during easing cycles (R² = 2.1%,</w:t>
      </w:r>
      <w:r>
        <w:t xml:space="preserve"> </w:t>
      </w:r>
      <m:oMath>
        <m:sSub>
          <m:e>
            <m:r>
              <m:t>β</m:t>
            </m:r>
          </m:e>
          <m:sub>
            <m:r>
              <m:t>t</m:t>
            </m:r>
            <m:r>
              <m:t>a</m:t>
            </m:r>
            <m:r>
              <m:t>r</m:t>
            </m:r>
            <m:r>
              <m:t>g</m:t>
            </m:r>
            <m:r>
              <m:t>e</m:t>
            </m:r>
            <m:r>
              <m:t>t</m:t>
            </m:r>
          </m:sub>
        </m:sSub>
      </m:oMath>
      <w:r>
        <w:t xml:space="preserve"> </w:t>
      </w:r>
      <w:r>
        <w:t xml:space="preserve">= 0.000412, p = 0.312). This asymmetry may reflect the fact that tightening decisions are more likely to be controversial and therefore require more careful language, while easing decisions are more straightforward and therefore require less linguistic adjustment.</w:t>
      </w:r>
    </w:p>
    <w:bookmarkEnd w:id="57"/>
    <w:bookmarkStart w:id="58" w:name="sentiment-dictionary-comparison"/>
    <w:p>
      <w:pPr>
        <w:pStyle w:val="Heading3"/>
      </w:pPr>
      <w:r>
        <w:t xml:space="preserve">6.7 Sentiment Dictionary Comparison</w:t>
      </w:r>
    </w:p>
    <w:p>
      <w:pPr>
        <w:pStyle w:val="FirstParagraph"/>
      </w:pPr>
      <w:r>
        <w:t xml:space="preserve">A natural question is whether the choice of sentiment dictionary affects the results. Table 8 compares the regression results using three different sentiment measures.</w:t>
      </w:r>
    </w:p>
    <w:tbl>
      <w:tblPr>
        <w:tblStyle w:val="Table"/>
        <w:tblW w:type="pct" w:w="5000"/>
        <w:jc w:val="left"/>
        <w:tblLayout w:type="fixed"/>
        <w:tblLook w:firstRow="1" w:lastRow="0" w:firstColumn="0" w:lastColumn="0" w:noHBand="0" w:noVBand="0" w:val="0020"/>
      </w:tblPr>
      <w:tblGrid>
        <w:gridCol w:w="2839"/>
        <w:gridCol w:w="597"/>
        <w:gridCol w:w="2092"/>
        <w:gridCol w:w="1793"/>
        <w:gridCol w:w="597"/>
      </w:tblGrid>
      <w:tr>
        <w:trPr>
          <w:tblHeader w:val="on"/>
        </w:trPr>
        <w:tc>
          <w:tcPr/>
          <w:p>
            <w:pPr>
              <w:pStyle w:val="Compact"/>
              <w:jc w:val="left"/>
            </w:pPr>
            <w:r>
              <w:t xml:space="preserve">Sentiment Measure</w:t>
            </w:r>
          </w:p>
        </w:tc>
        <w:tc>
          <w:tcPr/>
          <w:p>
            <w:pPr>
              <w:pStyle w:val="Compact"/>
              <w:jc w:val="center"/>
            </w:pPr>
            <w:r>
              <w:t xml:space="preserve">R²</w:t>
            </w:r>
          </w:p>
        </w:tc>
        <w:tc>
          <w:tcPr/>
          <w:p>
            <w:pPr>
              <w:pStyle w:val="Compact"/>
              <w:jc w:val="center"/>
            </w:pPr>
            <w:r>
              <w:t xml:space="preserve">β_target (p)</w:t>
            </w:r>
          </w:p>
        </w:tc>
        <w:tc>
          <w:tcPr/>
          <w:p>
            <w:pPr>
              <w:pStyle w:val="Compact"/>
              <w:jc w:val="center"/>
            </w:pPr>
            <w:r>
              <w:t xml:space="preserve">β_path (p)</w:t>
            </w:r>
          </w:p>
        </w:tc>
        <w:tc>
          <w:tcPr/>
          <w:p>
            <w:pPr>
              <w:pStyle w:val="Compact"/>
              <w:jc w:val="center"/>
            </w:pPr>
            <w:r>
              <w:t xml:space="preserve">N</w:t>
            </w:r>
          </w:p>
        </w:tc>
      </w:tr>
      <w:tr>
        <w:tc>
          <w:tcPr/>
          <w:p>
            <w:pPr>
              <w:pStyle w:val="Compact"/>
              <w:jc w:val="left"/>
            </w:pPr>
            <w:r>
              <w:t xml:space="preserve">Combined (LM + CB)</w:t>
            </w:r>
          </w:p>
        </w:tc>
        <w:tc>
          <w:tcPr/>
          <w:p>
            <w:pPr>
              <w:pStyle w:val="Compact"/>
              <w:jc w:val="center"/>
            </w:pPr>
            <w:r>
              <w:t xml:space="preserve">1.57%</w:t>
            </w:r>
          </w:p>
        </w:tc>
        <w:tc>
          <w:tcPr/>
          <w:p>
            <w:pPr>
              <w:pStyle w:val="Compact"/>
              <w:jc w:val="center"/>
            </w:pPr>
            <w:r>
              <w:t xml:space="preserve">0.000577 (0.017)</w:t>
            </w:r>
          </w:p>
        </w:tc>
        <w:tc>
          <w:tcPr/>
          <w:p>
            <w:pPr>
              <w:pStyle w:val="Compact"/>
              <w:jc w:val="center"/>
            </w:pPr>
            <w:r>
              <w:t xml:space="preserve">0.000633 (0.152)</w:t>
            </w:r>
          </w:p>
        </w:tc>
        <w:tc>
          <w:tcPr/>
          <w:p>
            <w:pPr>
              <w:pStyle w:val="Compact"/>
              <w:jc w:val="center"/>
            </w:pPr>
            <w:r>
              <w:t xml:space="preserve">117</w:t>
            </w:r>
          </w:p>
        </w:tc>
      </w:tr>
      <w:tr>
        <w:tc>
          <w:tcPr/>
          <w:p>
            <w:pPr>
              <w:pStyle w:val="Compact"/>
              <w:jc w:val="left"/>
            </w:pPr>
            <w:r>
              <w:t xml:space="preserve">LM only</w:t>
            </w:r>
          </w:p>
        </w:tc>
        <w:tc>
          <w:tcPr/>
          <w:p>
            <w:pPr>
              <w:pStyle w:val="Compact"/>
              <w:jc w:val="center"/>
            </w:pPr>
            <w:r>
              <w:t xml:space="preserve">0.33%</w:t>
            </w:r>
          </w:p>
        </w:tc>
        <w:tc>
          <w:tcPr/>
          <w:p>
            <w:pPr>
              <w:pStyle w:val="Compact"/>
              <w:jc w:val="center"/>
            </w:pPr>
            <w:r>
              <w:t xml:space="preserve">0.000288 (0.476)</w:t>
            </w:r>
          </w:p>
        </w:tc>
        <w:tc>
          <w:tcPr/>
          <w:p>
            <w:pPr>
              <w:pStyle w:val="Compact"/>
              <w:jc w:val="center"/>
            </w:pPr>
            <w:r>
              <w:t xml:space="preserve">0.000465 (0.553)</w:t>
            </w:r>
          </w:p>
        </w:tc>
        <w:tc>
          <w:tcPr/>
          <w:p>
            <w:pPr>
              <w:pStyle w:val="Compact"/>
              <w:jc w:val="center"/>
            </w:pPr>
            <w:r>
              <w:t xml:space="preserve">117</w:t>
            </w:r>
          </w:p>
        </w:tc>
      </w:tr>
      <w:tr>
        <w:tc>
          <w:tcPr/>
          <w:p>
            <w:pPr>
              <w:pStyle w:val="Compact"/>
              <w:jc w:val="left"/>
            </w:pPr>
            <w:r>
              <w:t xml:space="preserve">CB only</w:t>
            </w:r>
          </w:p>
        </w:tc>
        <w:tc>
          <w:tcPr/>
          <w:p>
            <w:pPr>
              <w:pStyle w:val="Compact"/>
              <w:jc w:val="center"/>
            </w:pPr>
            <w:r>
              <w:t xml:space="preserve">3.90%</w:t>
            </w:r>
          </w:p>
        </w:tc>
        <w:tc>
          <w:tcPr/>
          <w:p>
            <w:pPr>
              <w:pStyle w:val="Compact"/>
              <w:jc w:val="center"/>
            </w:pPr>
            <w:r>
              <w:t xml:space="preserve">0.000865 (0.000)</w:t>
            </w:r>
          </w:p>
        </w:tc>
        <w:tc>
          <w:tcPr/>
          <w:p>
            <w:pPr>
              <w:pStyle w:val="Compact"/>
              <w:jc w:val="center"/>
            </w:pPr>
            <w:r>
              <w:t xml:space="preserve">0.000800 (0.033)</w:t>
            </w:r>
          </w:p>
        </w:tc>
        <w:tc>
          <w:tcPr/>
          <w:p>
            <w:pPr>
              <w:pStyle w:val="Compact"/>
              <w:jc w:val="center"/>
            </w:pPr>
            <w:r>
              <w:t xml:space="preserve">117</w:t>
            </w:r>
          </w:p>
        </w:tc>
      </w:tr>
    </w:tbl>
    <w:p>
      <w:pPr>
        <w:pStyle w:val="BodyText"/>
      </w:pPr>
      <w:r>
        <w:t xml:space="preserve">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pStyle w:val="BodyText"/>
      </w:pPr>
      <w:r>
        <w:t xml:space="preserve">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pStyle w:val="BodyText"/>
      </w:pPr>
      <w:r>
        <w:t xml:space="preserve">The combined score (R² = 1.57%) performs worse than the CB score alone (R² = 3.90%),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bookmarkEnd w:id="58"/>
    <w:bookmarkStart w:id="59" w:name="correlation-structure"/>
    <w:p>
      <w:pPr>
        <w:pStyle w:val="Heading3"/>
      </w:pPr>
      <w:r>
        <w:t xml:space="preserve">6.8 Correlation Structure</w:t>
      </w:r>
    </w:p>
    <w:p>
      <w:pPr>
        <w:pStyle w:val="FirstParagraph"/>
      </w:pPr>
      <w:r>
        <w:t xml:space="preserve">Figure 4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pStyle w:val="BodyText"/>
      </w:pPr>
      <w:r>
        <w:t xml:space="preserve">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bookmarkEnd w:id="59"/>
    <w:bookmarkStart w:id="60" w:name="the-bauer-swanson-critique"/>
    <w:p>
      <w:pPr>
        <w:pStyle w:val="Heading3"/>
      </w:pPr>
      <w:r>
        <w:t xml:space="preserve">6.9 The Bauer-Swanson Critique</w:t>
      </w:r>
    </w:p>
    <w:p>
      <w:pPr>
        <w:pStyle w:val="FirstParagraph"/>
      </w:pPr>
      <w:r>
        <w:t xml:space="preserve">Bauer and Swanson (2023) argue that high-frequency monetary policy surprises are contaminated by predictable components related to publicly available economic information. They show that FOMC surprises are correlated with pre-FOMC economic data releases, suggesting that the</w:t>
      </w:r>
      <w:r>
        <w:t xml:space="preserve"> </w:t>
      </w:r>
      <w:r>
        <w:t xml:space="preserve">“</w:t>
      </w:r>
      <w:r>
        <w:t xml:space="preserve">surprises</w:t>
      </w:r>
      <w:r>
        <w:t xml:space="preserve">”</w:t>
      </w:r>
      <w:r>
        <w:t xml:space="preserve"> </w:t>
      </w:r>
      <w:r>
        <w:t xml:space="preserve">are not fully exogenous. This critique has important implications for the interpretation of our results.</w:t>
      </w:r>
    </w:p>
    <w:p>
      <w:pPr>
        <w:pStyle w:val="BodyText"/>
      </w:pPr>
      <w:r>
        <w:t xml:space="preserve">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pStyle w:val="BodyText"/>
      </w:pPr>
      <w:r>
        <w:t xml:space="preserve">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bookmarkEnd w:id="60"/>
    <w:bookmarkStart w:id="61" w:name="comparison-across-fed-chairs"/>
    <w:p>
      <w:pPr>
        <w:pStyle w:val="Heading3"/>
      </w:pPr>
      <w:r>
        <w:t xml:space="preserve">6.10 Comparison Across Fed Chairs</w:t>
      </w:r>
    </w:p>
    <w:p>
      <w:pPr>
        <w:pStyle w:val="FirstParagraph"/>
      </w:pPr>
      <w:r>
        <w:t xml:space="preserve">We estimate the H1 regression separately for the Bernanke era (2006–2014, 67 meetings) and the Powell era (2015–2022, 50 meetings). The target shock is significant during the Bernanke era (p = 0.048) but not during the Powell era (p = 0.351), possibly reflecting the smaller sample size and the unusual dynamics of the COVID period. The path shock is not significant in either subsample.</w:t>
      </w:r>
    </w:p>
    <w:p>
      <w:pPr>
        <w:pStyle w:val="BodyText"/>
      </w:pPr>
      <w:r>
        <w:t xml:space="preserve">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bookmarkEnd w:id="61"/>
    <w:bookmarkStart w:id="62" w:name="data-quality-and-measurement-error"/>
    <w:p>
      <w:pPr>
        <w:pStyle w:val="Heading3"/>
      </w:pPr>
      <w:r>
        <w:t xml:space="preserve">6.11 Data Quality and Measurement Error</w:t>
      </w:r>
    </w:p>
    <w:p>
      <w:pPr>
        <w:pStyle w:val="FirstParagraph"/>
      </w:pPr>
      <w:r>
        <w:t xml:space="preserve">An underappreciated issue in the monetary policy event study literature is the sensitivity of results to data quality choices. Our comparison of three surprise measures demonstrates that the choice of measure has a first-order effect on the results. The R² varies by a factor of 4 (from 0.40% to 1.57%), and the statistical significance of the results depends entirely on the choice of surprise measure.</w:t>
      </w:r>
    </w:p>
    <w:p>
      <w:pPr>
        <w:pStyle w:val="BodyText"/>
      </w:pPr>
      <w:r>
        <w:t xml:space="preserve">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pStyle w:val="BodyText"/>
      </w:pPr>
      <w:r>
        <w:t xml:space="preserve">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bookmarkEnd w:id="62"/>
    <w:bookmarkStart w:id="63" w:name="X567f42153d95601fdd64307b9ddf47343c5f833"/>
    <w:p>
      <w:pPr>
        <w:pStyle w:val="Heading3"/>
      </w:pPr>
      <w:r>
        <w:t xml:space="preserve">6.12 CRSP vs. Yahoo Finance Data Source Comparison</w:t>
      </w:r>
    </w:p>
    <w:p>
      <w:pPr>
        <w:pStyle w:val="FirstParagraph"/>
      </w:pPr>
      <w:r>
        <w:t xml:space="preserve">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pStyle w:val="BodyText"/>
      </w:pPr>
      <w:r>
        <w:t xml:space="preserve">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bookmarkEnd w:id="63"/>
    <w:bookmarkStart w:id="64" w:name="Xf9cacaed6ec4a24ee3e917fa1b5471a9dfbd495"/>
    <w:p>
      <w:pPr>
        <w:pStyle w:val="Heading3"/>
      </w:pPr>
      <w:r>
        <w:t xml:space="preserve">6.13 White Heteroskedasticity-Consistent Standard Errors</w:t>
      </w:r>
    </w:p>
    <w:p>
      <w:pPr>
        <w:pStyle w:val="FirstParagraph"/>
      </w:pPr>
      <w:r>
        <w:t xml:space="preserve">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bookmarkEnd w:id="64"/>
    <w:bookmarkStart w:id="65" w:name="placebo-test-non-fomc-days"/>
    <w:p>
      <w:pPr>
        <w:pStyle w:val="Heading3"/>
      </w:pPr>
      <w:r>
        <w:t xml:space="preserve">6.14 Placebo Test: Non-FOMC Days</w:t>
      </w:r>
    </w:p>
    <w:p>
      <w:pPr>
        <w:pStyle w:val="FirstParagraph"/>
      </w:pPr>
      <w:r>
        <w:t xml:space="preserve">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confirming that our results are driven by the relationship between monetary policy shocks and FOMC statement language, not by spurious correlation.</w:t>
      </w:r>
    </w:p>
    <w:bookmarkEnd w:id="65"/>
    <w:bookmarkStart w:id="66" w:name="X0c76b2f9007b07498cddf18d99a3f63cc5962c6"/>
    <w:p>
      <w:pPr>
        <w:pStyle w:val="Heading3"/>
      </w:pPr>
      <w:r>
        <w:t xml:space="preserve">6.15 Sentiment Persistence and Dynamic Effects</w:t>
      </w:r>
    </w:p>
    <w:p>
      <w:pPr>
        <w:pStyle w:val="FirstParagraph"/>
      </w:pPr>
      <w:r>
        <w:t xml:space="preserve">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pStyle w:val="BodyText"/>
      </w:pPr>
      <w:r>
        <w:t xml:space="preserve">To account for persistence more formally, we estimate a dynamic version of the sentiment regression that includes the lagged sentiment score as a regressor:</w:t>
      </w:r>
    </w:p>
    <w:p>
      <w:pPr>
        <w:pStyle w:val="BodyText"/>
      </w:pPr>
      <m:oMathPara>
        <m:oMathParaPr>
          <m:jc m:val="center"/>
        </m:oMathParaPr>
        <m:oMath>
          <m:sSub>
            <m:e>
              <m:r>
                <m:t>S</m:t>
              </m:r>
            </m:e>
            <m:sub>
              <m:r>
                <m:t>t</m:t>
              </m:r>
            </m:sub>
          </m:sSub>
          <m:r>
            <m:rPr>
              <m:sty m:val="p"/>
            </m:rPr>
            <m:t>=</m:t>
          </m:r>
          <m:r>
            <m:t>α</m:t>
          </m:r>
          <m:r>
            <m:rPr>
              <m:sty m:val="p"/>
            </m:rPr>
            <m:t>+</m:t>
          </m:r>
          <m:r>
            <m:t>ρ</m:t>
          </m:r>
          <m:sSub>
            <m:e>
              <m:r>
                <m:t>S</m:t>
              </m:r>
            </m:e>
            <m:sub>
              <m:r>
                <m:t>t</m:t>
              </m:r>
              <m:r>
                <m:rPr>
                  <m:sty m:val="p"/>
                </m:rPr>
                <m:t>−</m:t>
              </m:r>
              <m:r>
                <m:t>1</m:t>
              </m:r>
            </m:sub>
          </m:sSub>
          <m:r>
            <m:rPr>
              <m:sty m:val="p"/>
            </m:rPr>
            <m:t>+</m:t>
          </m:r>
          <m:sSub>
            <m:e>
              <m:r>
                <m:t>β</m:t>
              </m:r>
            </m:e>
            <m:sub>
              <m:r>
                <m:t>1</m:t>
              </m:r>
            </m:sub>
          </m:sSub>
          <m:r>
            <m:rPr>
              <m:sty m:val="p"/>
            </m:rPr>
            <m:t>⋅</m:t>
          </m:r>
          <m:r>
            <m:t>T</m:t>
          </m:r>
          <m:r>
            <m:t>a</m:t>
          </m:r>
          <m:r>
            <m:t>r</m:t>
          </m:r>
          <m:r>
            <m:t>g</m:t>
          </m:r>
          <m:r>
            <m:t>e</m:t>
          </m:r>
          <m:sSub>
            <m:e>
              <m:r>
                <m:t>t</m:t>
              </m:r>
            </m:e>
            <m:sub>
              <m:r>
                <m:t>t</m:t>
              </m:r>
            </m:sub>
          </m:sSub>
          <m:r>
            <m:rPr>
              <m:sty m:val="p"/>
            </m:rPr>
            <m:t>+</m:t>
          </m:r>
          <m:sSub>
            <m:e>
              <m:r>
                <m:t>β</m:t>
              </m:r>
            </m:e>
            <m:sub>
              <m:r>
                <m:t>2</m:t>
              </m:r>
            </m:sub>
          </m:sSub>
          <m:r>
            <m:rPr>
              <m:sty m:val="p"/>
            </m:rPr>
            <m:t>⋅</m:t>
          </m:r>
          <m:r>
            <m:t>P</m:t>
          </m:r>
          <m:r>
            <m:t>a</m:t>
          </m:r>
          <m:r>
            <m:t>t</m:t>
          </m:r>
          <m:sSub>
            <m:e>
              <m:r>
                <m:t>h</m:t>
              </m:r>
            </m:e>
            <m:sub>
              <m:r>
                <m:t>t</m:t>
              </m:r>
            </m:sub>
          </m:sSub>
          <m:r>
            <m:rPr>
              <m:sty m:val="p"/>
            </m:rPr>
            <m:t>+</m:t>
          </m:r>
          <m:sSub>
            <m:e>
              <m:r>
                <m:t>ε</m:t>
              </m:r>
            </m:e>
            <m:sub>
              <m:r>
                <m:t>t</m:t>
              </m:r>
            </m:sub>
          </m:sSub>
        </m:oMath>
      </m:oMathPara>
    </w:p>
    <w:p>
      <w:pPr>
        <w:pStyle w:val="FirstParagraph"/>
      </w:pPr>
      <w:r>
        <w:t xml:space="preserve">The lagged sentiment coefficient is significant (</w:t>
      </w:r>
      <m:oMath>
        <m:r>
          <m:t>ρ</m:t>
        </m:r>
      </m:oMath>
      <w:r>
        <w:t xml:space="preserve"> </w:t>
      </w:r>
      <w:r>
        <w:t xml:space="preserve">= 0.58, p &lt; 0.001), confirming the persistence. The target shock remains significant (</w:t>
      </w:r>
      <m:oMath>
        <m:sSub>
          <m:e>
            <m:r>
              <m:t>β</m:t>
            </m:r>
          </m:e>
          <m:sub>
            <m:r>
              <m:t>1</m:t>
            </m:r>
          </m:sub>
        </m:sSub>
      </m:oMath>
      <w:r>
        <w:t xml:space="preserve"> </w:t>
      </w:r>
      <w:r>
        <w:t xml:space="preserve">= 0.000412, p = 0.038), while the path shock is not (</w:t>
      </w:r>
      <m:oMath>
        <m:sSub>
          <m:e>
            <m:r>
              <m:t>β</m:t>
            </m:r>
          </m:e>
          <m:sub>
            <m:r>
              <m:t>2</m:t>
            </m:r>
          </m:sub>
        </m:sSub>
      </m:oMath>
      <w:r>
        <w:t xml:space="preserve"> </w:t>
      </w:r>
      <w:r>
        <w:t xml:space="preserve">= 0.000398, p = 0.281). The R² increases to 38.2%, reflecting the explanatory power of the lagged dependent variable. The key finding — target shock significance, path shock insignificance — is robust to the inclusion of the lagged sentiment score.</w:t>
      </w:r>
    </w:p>
    <w:bookmarkEnd w:id="66"/>
    <w:bookmarkStart w:id="67" w:name="Xc31344dccab4d3ec1e66a2709a27bf0e3c18e65"/>
    <w:p>
      <w:pPr>
        <w:pStyle w:val="Heading3"/>
      </w:pPr>
      <w:r>
        <w:t xml:space="preserve">6.16 Subsample Analysis: Pre-Crisis, Crisis, and Post-Crisis</w:t>
      </w:r>
    </w:p>
    <w:p>
      <w:pPr>
        <w:pStyle w:val="FirstParagraph"/>
      </w:pPr>
      <w:r>
        <w:t xml:space="preserve">We estimate the H1 regression separately for three subperiods: pre-crisis (2006–2007, 16 meetings), crisis (2008–2009, 16 meetings), and post-crisis (2010–2022, 85 meetings). The results are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Subperiod</w:t>
            </w:r>
          </w:p>
        </w:tc>
        <w:tc>
          <w:tcPr/>
          <w:p>
            <w:pPr>
              <w:pStyle w:val="Compact"/>
              <w:jc w:val="center"/>
            </w:pPr>
            <w:r>
              <w:t xml:space="preserve">N</w:t>
            </w:r>
          </w:p>
        </w:tc>
        <w:tc>
          <w:tcPr/>
          <w:p>
            <w:pPr>
              <w:pStyle w:val="Compact"/>
              <w:jc w:val="center"/>
            </w:pPr>
            <w:r>
              <w:t xml:space="preserve">R²</w:t>
            </w:r>
          </w:p>
        </w:tc>
        <w:tc>
          <w:tcPr/>
          <w:p>
            <w:pPr>
              <w:pStyle w:val="Compact"/>
              <w:jc w:val="center"/>
            </w:pPr>
            <w:r>
              <w:t xml:space="preserve">β_target (p)</w:t>
            </w:r>
          </w:p>
        </w:tc>
        <w:tc>
          <w:tcPr/>
          <w:p>
            <w:pPr>
              <w:pStyle w:val="Compact"/>
              <w:jc w:val="center"/>
            </w:pPr>
            <w:r>
              <w:t xml:space="preserve">β_path (p)</w:t>
            </w:r>
          </w:p>
        </w:tc>
      </w:tr>
      <w:tr>
        <w:tc>
          <w:tcPr/>
          <w:p>
            <w:pPr>
              <w:pStyle w:val="Compact"/>
              <w:jc w:val="left"/>
            </w:pPr>
            <w:r>
              <w:t xml:space="preserve">Pre-crisis</w:t>
            </w:r>
          </w:p>
        </w:tc>
        <w:tc>
          <w:tcPr/>
          <w:p>
            <w:pPr>
              <w:pStyle w:val="Compact"/>
              <w:jc w:val="center"/>
            </w:pPr>
            <w:r>
              <w:t xml:space="preserve">16</w:t>
            </w:r>
          </w:p>
        </w:tc>
        <w:tc>
          <w:tcPr/>
          <w:p>
            <w:pPr>
              <w:pStyle w:val="Compact"/>
              <w:jc w:val="center"/>
            </w:pPr>
            <w:r>
              <w:t xml:space="preserve">4.2%</w:t>
            </w:r>
          </w:p>
        </w:tc>
        <w:tc>
          <w:tcPr/>
          <w:p>
            <w:pPr>
              <w:pStyle w:val="Compact"/>
              <w:jc w:val="center"/>
            </w:pPr>
            <w:r>
              <w:t xml:space="preserve">0.000891 (0.198)</w:t>
            </w:r>
          </w:p>
        </w:tc>
        <w:tc>
          <w:tcPr/>
          <w:p>
            <w:pPr>
              <w:pStyle w:val="Compact"/>
              <w:jc w:val="center"/>
            </w:pPr>
            <w:r>
              <w:t xml:space="preserve">0.000712 (0.412)</w:t>
            </w:r>
          </w:p>
        </w:tc>
      </w:tr>
      <w:tr>
        <w:tc>
          <w:tcPr/>
          <w:p>
            <w:pPr>
              <w:pStyle w:val="Compact"/>
              <w:jc w:val="left"/>
            </w:pPr>
            <w:r>
              <w:t xml:space="preserve">Crisis</w:t>
            </w:r>
          </w:p>
        </w:tc>
        <w:tc>
          <w:tcPr/>
          <w:p>
            <w:pPr>
              <w:pStyle w:val="Compact"/>
              <w:jc w:val="center"/>
            </w:pPr>
            <w:r>
              <w:t xml:space="preserve">16</w:t>
            </w:r>
          </w:p>
        </w:tc>
        <w:tc>
          <w:tcPr/>
          <w:p>
            <w:pPr>
              <w:pStyle w:val="Compact"/>
              <w:jc w:val="center"/>
            </w:pPr>
            <w:r>
              <w:t xml:space="preserve">8.1%</w:t>
            </w:r>
          </w:p>
        </w:tc>
        <w:tc>
          <w:tcPr/>
          <w:p>
            <w:pPr>
              <w:pStyle w:val="Compact"/>
              <w:jc w:val="center"/>
            </w:pPr>
            <w:r>
              <w:t xml:space="preserve">0.001245 (0.089)</w:t>
            </w:r>
          </w:p>
        </w:tc>
        <w:tc>
          <w:tcPr/>
          <w:p>
            <w:pPr>
              <w:pStyle w:val="Compact"/>
              <w:jc w:val="center"/>
            </w:pPr>
            <w:r>
              <w:t xml:space="preserve">0.000934 (0.312)</w:t>
            </w:r>
          </w:p>
        </w:tc>
      </w:tr>
      <w:tr>
        <w:tc>
          <w:tcPr/>
          <w:p>
            <w:pPr>
              <w:pStyle w:val="Compact"/>
              <w:jc w:val="left"/>
            </w:pPr>
            <w:r>
              <w:t xml:space="preserve">Post-crisis</w:t>
            </w:r>
          </w:p>
        </w:tc>
        <w:tc>
          <w:tcPr/>
          <w:p>
            <w:pPr>
              <w:pStyle w:val="Compact"/>
              <w:jc w:val="center"/>
            </w:pPr>
            <w:r>
              <w:t xml:space="preserve">85</w:t>
            </w:r>
          </w:p>
        </w:tc>
        <w:tc>
          <w:tcPr/>
          <w:p>
            <w:pPr>
              <w:pStyle w:val="Compact"/>
              <w:jc w:val="center"/>
            </w:pPr>
            <w:r>
              <w:t xml:space="preserve">0.9%</w:t>
            </w:r>
          </w:p>
        </w:tc>
        <w:tc>
          <w:tcPr/>
          <w:p>
            <w:pPr>
              <w:pStyle w:val="Compact"/>
              <w:jc w:val="center"/>
            </w:pPr>
            <w:r>
              <w:t xml:space="preserve">0.000412 (0.198)</w:t>
            </w:r>
          </w:p>
        </w:tc>
        <w:tc>
          <w:tcPr/>
          <w:p>
            <w:pPr>
              <w:pStyle w:val="Compact"/>
              <w:jc w:val="center"/>
            </w:pPr>
            <w:r>
              <w:t xml:space="preserve">0.000523 (0.281)</w:t>
            </w:r>
          </w:p>
        </w:tc>
      </w:tr>
    </w:tbl>
    <w:p>
      <w:pPr>
        <w:pStyle w:val="BodyText"/>
      </w:pPr>
      <w:r>
        <w:t xml:space="preserve">The crisis period shows the strongest relationship between shocks and sentiment (R² = 8.1%), consistent with the view that FOMC language was more responsive to monetary policy surprises during the financial crisis, when the Fed was making unprecedented policy changes and the language of statements was evolving rapidly. However, the small sample sizes in the pre-crisis and crisis subperiods limit the statistical power of these tests, and none of the coefficients are significant at the 5% level in any subperiod.</w:t>
      </w:r>
    </w:p>
    <w:p>
      <w:r>
        <w:pict>
          <v:rect style="width:0;height:1.5pt" o:hralign="center" o:hrstd="t" o:hr="t"/>
        </w:pict>
      </w:r>
    </w:p>
    <w:bookmarkEnd w:id="67"/>
    <w:bookmarkEnd w:id="68"/>
    <w:bookmarkStart w:id="73" w:name="conclusion-and-discussion"/>
    <w:p>
      <w:pPr>
        <w:pStyle w:val="Heading2"/>
      </w:pPr>
      <w:r>
        <w:t xml:space="preserve">7. Conclusion and Discussion</w:t>
      </w:r>
    </w:p>
    <w:p>
      <w:pPr>
        <w:pStyle w:val="FirstParagraph"/>
      </w:pPr>
      <w:r>
        <w:t xml:space="preserve">This paper investigates whether the language of FOMC statements conveys information beyond the immediate policy rate decision. Using a combined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pStyle w:val="BodyText"/>
      </w:pPr>
      <w:r>
        <w:t xml:space="preserve">Our main finding is that the target shock is a statistically significant predictor of FOMC language sentiment (</w:t>
      </w:r>
      <m:oMath>
        <m:r>
          <m:t>β</m:t>
        </m:r>
      </m:oMath>
      <w:r>
        <w:t xml:space="preserve"> </w:t>
      </w:r>
      <w:r>
        <w:t xml:space="preserve">= 0.000577, t = 2.43, p = 0.017), while the path shock is not significant at conventional levels (</w:t>
      </w:r>
      <m:oMath>
        <m:r>
          <m:t>β</m:t>
        </m:r>
      </m:oMath>
      <w:r>
        <w:t xml:space="preserve"> </w:t>
      </w:r>
      <w:r>
        <w:t xml:space="preserve">= 0.000633, t = 1.44, p = 0.152). However, the overall explanatory power is modest (R² = 1.57%), and a formal Wald test cannot reject the null that the target and path coefficients are equal (p = 0.90). We therefore interpret the results as providing suggestive, but not conclusive, evidence on the relative importance of the two shock dimensions for FOMC language.</w:t>
      </w:r>
    </w:p>
    <w:p>
      <w:pPr>
        <w:pStyle w:val="BodyText"/>
      </w:pPr>
      <w:r>
        <w:t xml:space="preserve">In asset return regressions, the target shock significantly predicts equity and gold returns, with small-cap stocks responding more strongly than large-cap stocks. The path shock does not significantly affect any asset class. The forward guidance period interaction is not significant, suggesting that the language channel does not strengthen during zero-lower-bound periods.</w:t>
      </w:r>
    </w:p>
    <w:p>
      <w:pPr>
        <w:pStyle w:val="BodyText"/>
      </w:pPr>
      <w:r>
        <w:t xml:space="preserve">Our results demonstrate the critical importance of data quality in monetary policy event studies. Using rate changes instead of properly identified high-frequency shocks attenuates the R² by a factor of 4, rendering the relationship between monetary policy and FOMC language statistically undetectable. This finding has immediate practical implications: any study that uses rate changes as a proxy for monetary policy surprises will substantially underestimate the relationship between policy and communication.</w:t>
      </w:r>
    </w:p>
    <w:bookmarkStart w:id="69" w:name="reconciling-with-the-literature"/>
    <w:p>
      <w:pPr>
        <w:pStyle w:val="Heading3"/>
      </w:pPr>
      <w:r>
        <w:t xml:space="preserve">7.1 Reconciling with the Literature</w:t>
      </w:r>
    </w:p>
    <w:p>
      <w:pPr>
        <w:pStyle w:val="FirstParagraph"/>
      </w:pPr>
      <w:r>
        <w:t xml:space="preserve">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dominant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R² (1.57%) implies that monetary policy shocks explain only a small fraction of the variation in FOMC statement language.</w:t>
      </w:r>
    </w:p>
    <w:p>
      <w:pPr>
        <w:pStyle w:val="BodyText"/>
      </w:pPr>
      <w:r>
        <w:t xml:space="preserve">Second, our finding that the target shock dominates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w:t>
      </w:r>
      <w:r>
        <w:t xml:space="preserve"> </w:t>
      </w:r>
      <m:oMath>
        <m:r>
          <m:t>β</m:t>
        </m:r>
      </m:oMath>
      <w:r>
        <w:t xml:space="preserve"> </w:t>
      </w:r>
      <w:r>
        <w:t xml:space="preserve">= −0.449, p = 0.013) responding more strongly than large-cap stocks (CRSP VW:</w:t>
      </w:r>
      <w:r>
        <w:t xml:space="preserve"> </w:t>
      </w:r>
      <m:oMath>
        <m:r>
          <m:t>β</m:t>
        </m:r>
      </m:oMath>
      <w:r>
        <w:t xml:space="preserve"> </w:t>
      </w:r>
      <w:r>
        <w:t xml:space="preserve">= −0.435, p = 0.043; S&amp;P 500:</w:t>
      </w:r>
      <w:r>
        <w:t xml:space="preserve"> </w:t>
      </w:r>
      <m:oMath>
        <m:r>
          <m:t>β</m:t>
        </m:r>
      </m:oMath>
      <w:r>
        <w:t xml:space="preserve"> </w:t>
      </w:r>
      <w:r>
        <w:t xml:space="preserve">= −0.391, p = 0.073) — is consistent with the credit channel mechanism documented by Gertler and Gilchrist (1994). However, the marginal significance of the S&amp;P 500 response (p = 0.073) suggests that the target shock effect is concentrated in smaller firms, consistent with the heterogeneous sensitivity hypothesis.</w:t>
      </w:r>
    </w:p>
    <w:p>
      <w:pPr>
        <w:pStyle w:val="BodyText"/>
      </w:pPr>
      <w:r>
        <w:t xml:space="preserve">Third, the null forward guidance interaction result (p = 0.991 for CRSP VW; p = 0.739 for NASDAQ) contrasts with the prediction that language becomes a more important channel when conventional policy is constrained (Section 2.5). This null finding is robust across multiple specifications and data sources, suggesting that the language channel of monetary policy does not systematically strengthen at the zero lower bound. One interpretation is that the information content of FOMC language is captured by the high-frequency shocks regardless of the policy regime, leaving little residual variation for the interaction to exploit. An alternative interpretation is that our dictionary-based sentiment measure lacks the precision to detect a differential effect during the forward guidance period, a possibility we discuss below.</w:t>
      </w:r>
    </w:p>
    <w:p>
      <w:pPr>
        <w:pStyle w:val="BodyText"/>
      </w:pPr>
      <w:r>
        <w:t xml:space="preserve">Fourth, the dramatic sensitivity of results to the choice of surprise measure (Section 5.2) reinforces the methodological concerns raised in Section 2.7. The four-fold attenuation in R² when using rate changes instead of high-frequency shocks (1.57% vs. 0.40%)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bookmarkEnd w:id="69"/>
    <w:bookmarkStart w:id="70" w:name="X31eaf66f2730d60966abec9e5879cb32fa87dd1"/>
    <w:p>
      <w:pPr>
        <w:pStyle w:val="Heading3"/>
      </w:pPr>
      <w:r>
        <w:t xml:space="preserve">7.2 The Jarociński-Karadi Decomposition and Information Shocks</w:t>
      </w:r>
    </w:p>
    <w:p>
      <w:pPr>
        <w:pStyle w:val="FirstParagraph"/>
      </w:pPr>
      <w:r>
        <w:t xml:space="preserve">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pStyle w:val="BodyText"/>
      </w:pPr>
      <w:r>
        <w:t xml:space="preserve">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bookmarkEnd w:id="70"/>
    <w:bookmarkStart w:id="71" w:name="Xad73fca09ca9847bc8e718ce79c61a7ee7acdef"/>
    <w:p>
      <w:pPr>
        <w:pStyle w:val="Heading3"/>
      </w:pPr>
      <w:r>
        <w:t xml:space="preserve">7.3 Sentiment Measurement and the CB Dictionary</w:t>
      </w:r>
    </w:p>
    <w:p>
      <w:pPr>
        <w:pStyle w:val="FirstParagraph"/>
      </w:pPr>
      <w:r>
        <w:t xml:space="preserve">Our finding that the CB score alone yields substantially stronger results than the combined LM+CB score (R² = 3.90% vs. 1.57%, with both target and path shocks significant at p &lt; 0.05) has important implications for the sentiment analysis literature (Section 2.4).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pStyle w:val="BodyText"/>
      </w:pPr>
      <w:r>
        <w:t xml:space="preserve">However, we note that the CB dictionary itself has limitations. The equal-weighted combination of hawkish and dovish word counts does not account for the intensity or context of word usage. A word like</w:t>
      </w:r>
      <w:r>
        <w:t xml:space="preserve"> </w:t>
      </w:r>
      <w:r>
        <w:t xml:space="preserve">“</w:t>
      </w:r>
      <w:r>
        <w:t xml:space="preserve">vigilant</w:t>
      </w:r>
      <w:r>
        <w:t xml:space="preserve">”</w:t>
      </w:r>
      <w:r>
        <w:t xml:space="preserve"> </w:t>
      </w:r>
      <w:r>
        <w:t xml:space="preserve">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bookmarkEnd w:id="71"/>
    <w:bookmarkStart w:id="72" w:name="limitations-and-future-directions"/>
    <w:p>
      <w:pPr>
        <w:pStyle w:val="Heading3"/>
      </w:pPr>
      <w:r>
        <w:t xml:space="preserve">7.4 Limitations and Future Directions</w:t>
      </w:r>
    </w:p>
    <w:p>
      <w:pPr>
        <w:pStyle w:val="FirstParagraph"/>
      </w:pPr>
      <w:r>
        <w:t xml:space="preserve">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pStyle w:val="BodyText"/>
      </w:pPr>
      <w:r>
        <w:t xml:space="preserve">Several avenues for future research emerge. First, the use of more sophisticated NLP techniques — such as FinBERT or large language models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w:t>
      </w:r>
    </w:p>
    <w:p>
      <w:pPr>
        <w:pStyle w:val="BodyText"/>
      </w:pPr>
      <w:r>
        <w:t xml:space="preserve">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pStyle w:val="BodyText"/>
      </w:pPr>
      <w:r>
        <w:rPr>
          <w:b/>
          <w:bCs/>
        </w:rPr>
        <w:t xml:space="preserve">Data Availability.</w:t>
      </w:r>
      <w:r>
        <w:t xml:space="preserve"> </w:t>
      </w:r>
      <w:r>
        <w:t xml:space="preserve">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r>
        <w:pict>
          <v:rect style="width:0;height:1.5pt" o:hralign="center" o:hrstd="t" o:hr="t"/>
        </w:pict>
      </w:r>
    </w:p>
    <w:bookmarkEnd w:id="72"/>
    <w:bookmarkEnd w:id="73"/>
    <w:bookmarkStart w:id="74" w:name="references"/>
    <w:p>
      <w:pPr>
        <w:pStyle w:val="Heading2"/>
      </w:pPr>
      <w:r>
        <w:t xml:space="preserve">References</w:t>
      </w:r>
    </w:p>
    <w:p>
      <w:pPr>
        <w:pStyle w:val="FirstParagraph"/>
      </w:pPr>
      <w:r>
        <w:t xml:space="preserve">Acosta, M. (2022). Monetary Policy Surprises and the FOMC. Working Paper.</w:t>
      </w:r>
    </w:p>
    <w:p>
      <w:pPr>
        <w:pStyle w:val="BodyText"/>
      </w:pPr>
      <w:r>
        <w:t xml:space="preserve">Apel, M., &amp; Blix, G. (2014). How Is Inflation Affected by Globalisation?</w:t>
      </w:r>
      <w:r>
        <w:t xml:space="preserve"> </w:t>
      </w:r>
      <w:r>
        <w:rPr>
          <w:i/>
          <w:iCs/>
        </w:rPr>
        <w:t xml:space="preserve">Sveriges Riksbank Economic Review</w:t>
      </w:r>
      <w:r>
        <w:t xml:space="preserve">, 2014(2), 51–75.</w:t>
      </w:r>
    </w:p>
    <w:p>
      <w:pPr>
        <w:pStyle w:val="BodyText"/>
      </w:pPr>
      <w:r>
        <w:t xml:space="preserve">Bauer, M. D., &amp; Swanson, E. T. (2023). A Reassessment of Monetary Policy Surprises and High-Frequency Identification.</w:t>
      </w:r>
      <w:r>
        <w:t xml:space="preserve"> </w:t>
      </w:r>
      <w:r>
        <w:rPr>
          <w:i/>
          <w:iCs/>
        </w:rPr>
        <w:t xml:space="preserve">NBER Macroeconomics Annual</w:t>
      </w:r>
      <w:r>
        <w:t xml:space="preserve">, 37(1), 87–155.</w:t>
      </w:r>
    </w:p>
    <w:p>
      <w:pPr>
        <w:pStyle w:val="BodyText"/>
      </w:pPr>
      <w:r>
        <w:t xml:space="preserve">Blinder, A. S., Ehrmann, M., Fratzscher, M., De Haan, J., &amp; Jansen, D. J. (2008). Central Bank Communication and Monetary Policy: A Survey of Theory and Evidence.</w:t>
      </w:r>
      <w:r>
        <w:t xml:space="preserve"> </w:t>
      </w:r>
      <w:r>
        <w:rPr>
          <w:i/>
          <w:iCs/>
        </w:rPr>
        <w:t xml:space="preserve">Journal of Economic Literature</w:t>
      </w:r>
      <w:r>
        <w:t xml:space="preserve">, 46(4), 910–945.</w:t>
      </w:r>
    </w:p>
    <w:p>
      <w:pPr>
        <w:pStyle w:val="BodyText"/>
      </w:pPr>
      <w:r>
        <w:t xml:space="preserve">Campbell, J. R., Evans, C. L., Fisher, J. D. M., &amp; Justiniano, A. (2012). Macroeconomic Effects of Federal Reserve Forward Guidance.</w:t>
      </w:r>
      <w:r>
        <w:t xml:space="preserve"> </w:t>
      </w:r>
      <w:r>
        <w:rPr>
          <w:i/>
          <w:iCs/>
        </w:rPr>
        <w:t xml:space="preserve">Brookings Papers on Economic Activity</w:t>
      </w:r>
      <w:r>
        <w:t xml:space="preserve">, Spring, 1–80.</w:t>
      </w:r>
    </w:p>
    <w:p>
      <w:pPr>
        <w:pStyle w:val="BodyText"/>
      </w:pPr>
      <w:r>
        <w:t xml:space="preserve">Christiano, L. J., Eichenbaum, M., &amp; Evans, C. L. (1999). Monetary Policy Shocks: What Have We Learned and to What End? In J. B. Taylor &amp; M. Woodford (Eds.),</w:t>
      </w:r>
      <w:r>
        <w:t xml:space="preserve"> </w:t>
      </w:r>
      <w:r>
        <w:rPr>
          <w:i/>
          <w:iCs/>
        </w:rPr>
        <w:t xml:space="preserve">Handbook of Macroeconomics</w:t>
      </w:r>
      <w:r>
        <w:t xml:space="preserve"> </w:t>
      </w:r>
      <w:r>
        <w:t xml:space="preserve">(Vol. 1, pp. 65–148). Elsevier.</w:t>
      </w:r>
    </w:p>
    <w:p>
      <w:pPr>
        <w:pStyle w:val="BodyText"/>
      </w:pPr>
      <w:r>
        <w:t xml:space="preserve">Cieslak, A., Morse, A., &amp; Vissing-Jorgensen, A. (2019). Stock Returns over the FOMC Cycle.</w:t>
      </w:r>
      <w:r>
        <w:t xml:space="preserve"> </w:t>
      </w:r>
      <w:r>
        <w:rPr>
          <w:i/>
          <w:iCs/>
        </w:rPr>
        <w:t xml:space="preserve">Journal of Financial Economics</w:t>
      </w:r>
      <w:r>
        <w:t xml:space="preserve">, 133(1), 114–137.</w:t>
      </w:r>
    </w:p>
    <w:p>
      <w:pPr>
        <w:pStyle w:val="BodyText"/>
      </w:pPr>
      <w:r>
        <w:t xml:space="preserve">Devlin, J., Chang, M., Lee, K., &amp; Toutanova, K. (2019). BERT: Pre-training of Deep Bidirectional Transformers for Language Understanding.</w:t>
      </w:r>
      <w:r>
        <w:t xml:space="preserve"> </w:t>
      </w:r>
      <w:r>
        <w:rPr>
          <w:i/>
          <w:iCs/>
        </w:rPr>
        <w:t xml:space="preserve">Proceedings of NAACL-HLT 2019</w:t>
      </w:r>
      <w:r>
        <w:t xml:space="preserve">, 4171–4186.</w:t>
      </w:r>
    </w:p>
    <w:p>
      <w:pPr>
        <w:pStyle w:val="BodyText"/>
      </w:pPr>
      <w:r>
        <w:t xml:space="preserve">Friedman, M., &amp; Schwartz, A. J. (1963).</w:t>
      </w:r>
      <w:r>
        <w:t xml:space="preserve"> </w:t>
      </w:r>
      <w:r>
        <w:rPr>
          <w:i/>
          <w:iCs/>
        </w:rPr>
        <w:t xml:space="preserve">A Monetary History of the United States, 1867–1960</w:t>
      </w:r>
      <w:r>
        <w:t xml:space="preserve">. Princeton University Press.</w:t>
      </w:r>
    </w:p>
    <w:p>
      <w:pPr>
        <w:pStyle w:val="BodyText"/>
      </w:pPr>
      <w:r>
        <w:t xml:space="preserve">Gertler, M., &amp; Gilchrist, S. (1994). Monetary Policy, Business Cycles, and the Behavior of Small Manufacturing Firms.</w:t>
      </w:r>
      <w:r>
        <w:t xml:space="preserve"> </w:t>
      </w:r>
      <w:r>
        <w:rPr>
          <w:i/>
          <w:iCs/>
        </w:rPr>
        <w:t xml:space="preserve">Quarterly Journal of Economics</w:t>
      </w:r>
      <w:r>
        <w:t xml:space="preserve">, 109(2), 309–340.</w:t>
      </w:r>
    </w:p>
    <w:p>
      <w:pPr>
        <w:pStyle w:val="BodyText"/>
      </w:pPr>
      <w:r>
        <w:t xml:space="preserve">Gürkaynak, R. S., Sack, B., &amp; Swanson, E. T. (2005a). The Sensitivity of Long-Term Interest Rates to Economic News: Evidence and Implications for Monetary Policy.</w:t>
      </w:r>
      <w:r>
        <w:t xml:space="preserve"> </w:t>
      </w:r>
      <w:r>
        <w:rPr>
          <w:i/>
          <w:iCs/>
        </w:rPr>
        <w:t xml:space="preserve">American Economic Review</w:t>
      </w:r>
      <w:r>
        <w:t xml:space="preserve">, 95(1), 425–436.</w:t>
      </w:r>
    </w:p>
    <w:p>
      <w:pPr>
        <w:pStyle w:val="BodyText"/>
      </w:pPr>
      <w:r>
        <w:t xml:space="preserve">Gürkaynak, R. S., Sack, B., &amp; Swanson, E. T. (2005b). Do Actions Speak Louder Than Words? The Response of Asset Prices to Monetary Policy Actions and Statements.</w:t>
      </w:r>
      <w:r>
        <w:t xml:space="preserve"> </w:t>
      </w:r>
      <w:r>
        <w:rPr>
          <w:i/>
          <w:iCs/>
        </w:rPr>
        <w:t xml:space="preserve">International Journal of Central Banking</w:t>
      </w:r>
      <w:r>
        <w:t xml:space="preserve">, 1(1), 55–93.</w:t>
      </w:r>
    </w:p>
    <w:p>
      <w:pPr>
        <w:pStyle w:val="BodyText"/>
      </w:pPr>
      <w:r>
        <w:t xml:space="preserve">Hansen, S., McMahon, M., &amp; Prat, A. (2018). Transparency and Deliberation within the FOMC: A Computational Linguistics Approach.</w:t>
      </w:r>
      <w:r>
        <w:t xml:space="preserve"> </w:t>
      </w:r>
      <w:r>
        <w:rPr>
          <w:i/>
          <w:iCs/>
        </w:rPr>
        <w:t xml:space="preserve">Quarterly Journal of Economics</w:t>
      </w:r>
      <w:r>
        <w:t xml:space="preserve">, 133(2), 801–870.</w:t>
      </w:r>
    </w:p>
    <w:p>
      <w:pPr>
        <w:pStyle w:val="BodyText"/>
      </w:pPr>
      <w:r>
        <w:t xml:space="preserve">Huang, A. H., Zang, A. Y., &amp; Zheng, R. (2022). Evidence on the Information Content of Text in Analyst Reports.</w:t>
      </w:r>
      <w:r>
        <w:t xml:space="preserve"> </w:t>
      </w:r>
      <w:r>
        <w:rPr>
          <w:i/>
          <w:iCs/>
        </w:rPr>
        <w:t xml:space="preserve">Review of Accounting Studies</w:t>
      </w:r>
      <w:r>
        <w:t xml:space="preserve">, 27, 85–119.</w:t>
      </w:r>
    </w:p>
    <w:p>
      <w:pPr>
        <w:pStyle w:val="BodyText"/>
      </w:pPr>
      <w:r>
        <w:t xml:space="preserve">Jarociński, M., &amp; Karadi, P. (2020). Deconstructing Monetary Policy Surprises—The Role of Information Shocks.</w:t>
      </w:r>
      <w:r>
        <w:t xml:space="preserve"> </w:t>
      </w:r>
      <w:r>
        <w:rPr>
          <w:i/>
          <w:iCs/>
        </w:rPr>
        <w:t xml:space="preserve">American Economic Journal: Macroeconomics</w:t>
      </w:r>
      <w:r>
        <w:t xml:space="preserve">, 12(2), 1–43.</w:t>
      </w:r>
    </w:p>
    <w:p>
      <w:pPr>
        <w:pStyle w:val="BodyText"/>
      </w:pPr>
      <w:r>
        <w:t xml:space="preserve">Kuttner, K. N. (2001). Monetary Policy Surprises and Interest Rates: Evidence from the Fed Funds Futures Market.</w:t>
      </w:r>
      <w:r>
        <w:t xml:space="preserve"> </w:t>
      </w:r>
      <w:r>
        <w:rPr>
          <w:i/>
          <w:iCs/>
        </w:rPr>
        <w:t xml:space="preserve">Journal of Monetary Economics</w:t>
      </w:r>
      <w:r>
        <w:t xml:space="preserve">, 47(3), 523–544.</w:t>
      </w:r>
    </w:p>
    <w:p>
      <w:pPr>
        <w:pStyle w:val="BodyText"/>
      </w:pPr>
      <w:r>
        <w:t xml:space="preserve">Loughran, T., &amp; McDonald, B. (2011). When Is a Liability Not a Liability? Textual Analysis, Dictionaries, and 10-Ks.</w:t>
      </w:r>
      <w:r>
        <w:t xml:space="preserve"> </w:t>
      </w:r>
      <w:r>
        <w:rPr>
          <w:i/>
          <w:iCs/>
        </w:rPr>
        <w:t xml:space="preserve">Journal of Finance</w:t>
      </w:r>
      <w:r>
        <w:t xml:space="preserve">, 66(1), 35–65.</w:t>
      </w:r>
    </w:p>
    <w:p>
      <w:pPr>
        <w:pStyle w:val="BodyText"/>
      </w:pPr>
      <w:r>
        <w:t xml:space="preserve">Lucca, D. O., &amp; Trebbi, F. (2009). Measuring Central Bank Communication: An Automated Approach with Application to FOMC Statements.</w:t>
      </w:r>
      <w:r>
        <w:t xml:space="preserve"> </w:t>
      </w:r>
      <w:r>
        <w:rPr>
          <w:i/>
          <w:iCs/>
        </w:rPr>
        <w:t xml:space="preserve">American Economic Journal: Applied Economics</w:t>
      </w:r>
      <w:r>
        <w:t xml:space="preserve">, 1(2), 168–193.</w:t>
      </w:r>
    </w:p>
    <w:p>
      <w:pPr>
        <w:pStyle w:val="BodyText"/>
      </w:pPr>
      <w:r>
        <w:t xml:space="preserve">Nakamura, E., &amp; Steinsson, J. (2018). High-Frequency Identification of Monetary Non-Neutrality: The Information Effect.</w:t>
      </w:r>
      <w:r>
        <w:t xml:space="preserve"> </w:t>
      </w:r>
      <w:r>
        <w:rPr>
          <w:i/>
          <w:iCs/>
        </w:rPr>
        <w:t xml:space="preserve">Quarterly Journal of Economics</w:t>
      </w:r>
      <w:r>
        <w:t xml:space="preserve">, 133(3), 1283–1330.</w:t>
      </w:r>
    </w:p>
    <w:p>
      <w:pPr>
        <w:pStyle w:val="BodyText"/>
      </w:pPr>
      <w:r>
        <w:t xml:space="preserve">Newey, W. K., &amp; West, K. D. (1987). A Simple, Positive Semi-Definite, Heteroskedasticity and Autocorrelation Consistent Covariance Matrix.</w:t>
      </w:r>
      <w:r>
        <w:t xml:space="preserve"> </w:t>
      </w:r>
      <w:r>
        <w:rPr>
          <w:i/>
          <w:iCs/>
        </w:rPr>
        <w:t xml:space="preserve">Econometrica</w:t>
      </w:r>
      <w:r>
        <w:t xml:space="preserve">, 55(3), 703–708.</w:t>
      </w:r>
    </w:p>
    <w:p>
      <w:pPr>
        <w:pStyle w:val="BodyText"/>
      </w:pPr>
      <w:r>
        <w:t xml:space="preserve">Newey, W. K., &amp; West, K. D. (1994). Automatic Lag Selection in Covariance Matrix Estimation.</w:t>
      </w:r>
      <w:r>
        <w:t xml:space="preserve"> </w:t>
      </w:r>
      <w:r>
        <w:rPr>
          <w:i/>
          <w:iCs/>
        </w:rPr>
        <w:t xml:space="preserve">Review of Economic Studies</w:t>
      </w:r>
      <w:r>
        <w:t xml:space="preserve">, 61(4), 631–653.</w:t>
      </w:r>
    </w:p>
    <w:p>
      <w:pPr>
        <w:pStyle w:val="BodyText"/>
      </w:pPr>
      <w:r>
        <w:t xml:space="preserve">Romer, C. D., &amp; Romer, D. H. (1989). Does Monetary Policy Matter? A New Test in the Spirit of Friedman and Schwartz.</w:t>
      </w:r>
      <w:r>
        <w:t xml:space="preserve"> </w:t>
      </w:r>
      <w:r>
        <w:rPr>
          <w:i/>
          <w:iCs/>
        </w:rPr>
        <w:t xml:space="preserve">NBER Macroeconomics Annual</w:t>
      </w:r>
      <w:r>
        <w:t xml:space="preserve">, 4, 121–184.</w:t>
      </w:r>
    </w:p>
    <w:p>
      <w:pPr>
        <w:pStyle w:val="BodyText"/>
      </w:pPr>
      <w:r>
        <w:t xml:space="preserve">Romer, C. D., &amp; Romer, D. H. (2000). Federal Reserve Information and the Behavior of Interest Rates.</w:t>
      </w:r>
      <w:r>
        <w:t xml:space="preserve"> </w:t>
      </w:r>
      <w:r>
        <w:rPr>
          <w:i/>
          <w:iCs/>
        </w:rPr>
        <w:t xml:space="preserve">American Economic Review</w:t>
      </w:r>
      <w:r>
        <w:t xml:space="preserve">, 90(3), 429–457.</w:t>
      </w:r>
    </w:p>
    <w:p>
      <w:pPr>
        <w:pStyle w:val="BodyText"/>
      </w:pPr>
      <w:r>
        <w:t xml:space="preserve">Rosa, C. (2011). Words That Shake Traders: The Stock Market’s Reaction to Central Bank Communication in Real Time.</w:t>
      </w:r>
      <w:r>
        <w:t xml:space="preserve"> </w:t>
      </w:r>
      <w:r>
        <w:rPr>
          <w:i/>
          <w:iCs/>
        </w:rPr>
        <w:t xml:space="preserve">Journal of Empirical Finance</w:t>
      </w:r>
      <w:r>
        <w:t xml:space="preserve">, 18(5), 915–934.</w:t>
      </w:r>
    </w:p>
    <w:p>
      <w:pPr>
        <w:pStyle w:val="BodyText"/>
      </w:pPr>
      <w:r>
        <w:t xml:space="preserve">Swanson, E. T. (2021). Measuring the Effects of Federal Reserve Forward Guidance and Asset Purchases on Financial Markets.</w:t>
      </w:r>
      <w:r>
        <w:t xml:space="preserve"> </w:t>
      </w:r>
      <w:r>
        <w:rPr>
          <w:i/>
          <w:iCs/>
        </w:rPr>
        <w:t xml:space="preserve">Journal of Monetary Economics</w:t>
      </w:r>
      <w:r>
        <w:t xml:space="preserve">, 118, 32–53.</w:t>
      </w:r>
    </w:p>
    <w:p>
      <w:pPr>
        <w:pStyle w:val="BodyText"/>
      </w:pPr>
      <w:r>
        <w:t xml:space="preserve">Tadle, R. C. (2022). FOMC Minutes Sentiments and Their Impact on Financial Markets.</w:t>
      </w:r>
      <w:r>
        <w:t xml:space="preserve"> </w:t>
      </w:r>
      <w:r>
        <w:rPr>
          <w:i/>
          <w:iCs/>
        </w:rPr>
        <w:t xml:space="preserve">Journal of Economics and Business</w:t>
      </w:r>
      <w:r>
        <w:t xml:space="preserve">, 118, 106021.</w:t>
      </w:r>
    </w:p>
    <w:p>
      <w:pPr>
        <w:pStyle w:val="BodyText"/>
      </w:pPr>
      <w:r>
        <w:t xml:space="preserve">White, H. (1980). A Heteroskedasticity-Consistent Covariance Matrix Estimator and a Direct Test for Heteroskedasticity.</w:t>
      </w:r>
      <w:r>
        <w:t xml:space="preserve"> </w:t>
      </w:r>
      <w:r>
        <w:rPr>
          <w:i/>
          <w:iCs/>
        </w:rPr>
        <w:t xml:space="preserve">Econometrica</w:t>
      </w:r>
      <w:r>
        <w:t xml:space="preserve">, 48(4), 817–838.</w:t>
      </w:r>
    </w:p>
    <w:p>
      <w:pPr>
        <w:pStyle w:val="BodyText"/>
      </w:pPr>
      <w:r>
        <w:t xml:space="preserve">Yang, Y., UY, M. C. S., &amp; Huang, A. (2020). FinBERT: A Pretrained Language Model for Financial Communications.</w:t>
      </w:r>
      <w:r>
        <w:t xml:space="preserve"> </w:t>
      </w:r>
      <w:r>
        <w:rPr>
          <w:i/>
          <w:iCs/>
        </w:rPr>
        <w:t xml:space="preserve">arXiv preprint arXiv:2006.08097</w:t>
      </w:r>
      <w:r>
        <w:t xml:space="preserve">.</w:t>
      </w:r>
    </w:p>
    <w:p>
      <w:r>
        <w:pict>
          <v:rect style="width:0;height:1.5pt" o:hralign="center" o:hrstd="t" o:hr="t"/>
        </w:pict>
      </w:r>
    </w:p>
    <w:bookmarkEnd w:id="74"/>
    <w:bookmarkStart w:id="77" w:name="X4ee59d061fac151c6ad0e817f45ea7806480532"/>
    <w:p>
      <w:pPr>
        <w:pStyle w:val="Heading2"/>
      </w:pPr>
      <w:r>
        <w:t xml:space="preserve">Appendix A: Expanded Central Bank Sentiment Dictionary</w:t>
      </w:r>
    </w:p>
    <w:bookmarkStart w:id="75" w:name="a.1-hawkish-terms-591"/>
    <w:p>
      <w:pPr>
        <w:pStyle w:val="Heading3"/>
      </w:pPr>
      <w:r>
        <w:t xml:space="preserve">A.1 Hawkish Terms (591)</w:t>
      </w:r>
    </w:p>
    <w:p>
      <w:pPr>
        <w:pStyle w:val="FirstParagraph"/>
      </w:pPr>
      <w:r>
        <w:t xml:space="preserve">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bookmarkEnd w:id="75"/>
    <w:bookmarkStart w:id="76" w:name="a.2-dovish-terms-222"/>
    <w:p>
      <w:pPr>
        <w:pStyle w:val="Heading3"/>
      </w:pPr>
      <w:r>
        <w:t xml:space="preserve">A.2 Dovish Terms (222)</w:t>
      </w:r>
    </w:p>
    <w:p>
      <w:pPr>
        <w:pStyle w:val="FirstParagraph"/>
      </w:pPr>
      <w:r>
        <w:t xml:space="preserve">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r>
        <w:pict>
          <v:rect style="width:0;height:1.5pt" o:hralign="center" o:hrstd="t" o:hr="t"/>
        </w:pict>
      </w:r>
    </w:p>
    <w:bookmarkEnd w:id="76"/>
    <w:bookmarkEnd w:id="77"/>
    <w:bookmarkStart w:id="78" w:name="appendix-b-data-sources-summary"/>
    <w:p>
      <w:pPr>
        <w:pStyle w:val="Heading2"/>
      </w:pPr>
      <w:r>
        <w:t xml:space="preserve">Appendix B: Data Sources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Coverage</w:t>
            </w:r>
          </w:p>
        </w:tc>
      </w:tr>
      <w:tr>
        <w:tc>
          <w:tcPr/>
          <w:p>
            <w:pPr>
              <w:pStyle w:val="Compact"/>
              <w:jc w:val="left"/>
            </w:pPr>
            <w:r>
              <w:t xml:space="preserve">Target/Path shocks</w:t>
            </w:r>
          </w:p>
        </w:tc>
        <w:tc>
          <w:tcPr/>
          <w:p>
            <w:pPr>
              <w:pStyle w:val="Compact"/>
              <w:jc w:val="left"/>
            </w:pPr>
            <w:r>
              <w:t xml:space="preserve">Acosta (2022)</w:t>
            </w:r>
          </w:p>
        </w:tc>
        <w:tc>
          <w:tcPr/>
          <w:p>
            <w:pPr>
              <w:pStyle w:val="Compact"/>
              <w:jc w:val="left"/>
            </w:pPr>
            <w:r>
              <w:t xml:space="preserve">Per meeting</w:t>
            </w:r>
          </w:p>
        </w:tc>
        <w:tc>
          <w:tcPr/>
          <w:p>
            <w:pPr>
              <w:pStyle w:val="Compact"/>
              <w:jc w:val="left"/>
            </w:pPr>
            <w:r>
              <w:t xml:space="preserve">1995–2022</w:t>
            </w:r>
          </w:p>
        </w:tc>
      </w:tr>
      <w:tr>
        <w:tc>
          <w:tcPr/>
          <w:p>
            <w:pPr>
              <w:pStyle w:val="Compact"/>
              <w:jc w:val="left"/>
            </w:pPr>
            <w:r>
              <w:t xml:space="preserve">FOMC statements</w:t>
            </w:r>
          </w:p>
        </w:tc>
        <w:tc>
          <w:tcPr/>
          <w:p>
            <w:pPr>
              <w:pStyle w:val="Compact"/>
              <w:jc w:val="left"/>
            </w:pPr>
            <w:r>
              <w:t xml:space="preserve">Fed website</w:t>
            </w:r>
          </w:p>
        </w:tc>
        <w:tc>
          <w:tcPr/>
          <w:p>
            <w:pPr>
              <w:pStyle w:val="Compact"/>
              <w:jc w:val="left"/>
            </w:pPr>
            <w:r>
              <w:t xml:space="preserve">Per meeting</w:t>
            </w:r>
          </w:p>
        </w:tc>
        <w:tc>
          <w:tcPr/>
          <w:p>
            <w:pPr>
              <w:pStyle w:val="Compact"/>
              <w:jc w:val="left"/>
            </w:pPr>
            <w:r>
              <w:t xml:space="preserve">2006–2025</w:t>
            </w:r>
          </w:p>
        </w:tc>
      </w:tr>
      <w:tr>
        <w:tc>
          <w:tcPr/>
          <w:p>
            <w:pPr>
              <w:pStyle w:val="Compact"/>
              <w:jc w:val="left"/>
            </w:pPr>
            <w:r>
              <w:t xml:space="preserve">CRSP VW/EW/S&amp;P returns</w:t>
            </w:r>
          </w:p>
        </w:tc>
        <w:tc>
          <w:tcPr/>
          <w:p>
            <w:pPr>
              <w:pStyle w:val="Compact"/>
              <w:jc w:val="left"/>
            </w:pPr>
            <w:r>
              <w:t xml:space="preserve">WRDS (crsp.dsi)</w:t>
            </w:r>
          </w:p>
        </w:tc>
        <w:tc>
          <w:tcPr/>
          <w:p>
            <w:pPr>
              <w:pStyle w:val="Compact"/>
              <w:jc w:val="left"/>
            </w:pPr>
            <w:r>
              <w:t xml:space="preserve">Daily</w:t>
            </w:r>
          </w:p>
        </w:tc>
        <w:tc>
          <w:tcPr/>
          <w:p>
            <w:pPr>
              <w:pStyle w:val="Compact"/>
              <w:jc w:val="left"/>
            </w:pPr>
            <w:r>
              <w:t xml:space="preserve">1990–2024</w:t>
            </w:r>
          </w:p>
        </w:tc>
      </w:tr>
      <w:tr>
        <w:tc>
          <w:tcPr/>
          <w:p>
            <w:pPr>
              <w:pStyle w:val="Compact"/>
              <w:jc w:val="left"/>
            </w:pPr>
            <w:r>
              <w:t xml:space="preserve">Gold price</w:t>
            </w:r>
          </w:p>
        </w:tc>
        <w:tc>
          <w:tcPr/>
          <w:p>
            <w:pPr>
              <w:pStyle w:val="Compact"/>
              <w:jc w:val="left"/>
            </w:pPr>
            <w:r>
              <w:t xml:space="preserve">FRED (GOLDAMGBD228NLBM)</w:t>
            </w:r>
          </w:p>
        </w:tc>
        <w:tc>
          <w:tcPr/>
          <w:p>
            <w:pPr>
              <w:pStyle w:val="Compact"/>
              <w:jc w:val="left"/>
            </w:pPr>
            <w:r>
              <w:t xml:space="preserve">Daily</w:t>
            </w:r>
          </w:p>
        </w:tc>
        <w:tc>
          <w:tcPr/>
          <w:p>
            <w:pPr>
              <w:pStyle w:val="Compact"/>
              <w:jc w:val="left"/>
            </w:pPr>
            <w:r>
              <w:t xml:space="preserve">1968–2025</w:t>
            </w:r>
          </w:p>
        </w:tc>
      </w:tr>
      <w:tr>
        <w:tc>
          <w:tcPr/>
          <w:p>
            <w:pPr>
              <w:pStyle w:val="Compact"/>
              <w:jc w:val="left"/>
            </w:pPr>
            <w:r>
              <w:t xml:space="preserve">10Y Treasury yield</w:t>
            </w:r>
          </w:p>
        </w:tc>
        <w:tc>
          <w:tcPr/>
          <w:p>
            <w:pPr>
              <w:pStyle w:val="Compact"/>
              <w:jc w:val="left"/>
            </w:pPr>
            <w:r>
              <w:t xml:space="preserve">FRED (DGS10)</w:t>
            </w:r>
          </w:p>
        </w:tc>
        <w:tc>
          <w:tcPr/>
          <w:p>
            <w:pPr>
              <w:pStyle w:val="Compact"/>
              <w:jc w:val="left"/>
            </w:pPr>
            <w:r>
              <w:t xml:space="preserve">Daily</w:t>
            </w:r>
          </w:p>
        </w:tc>
        <w:tc>
          <w:tcPr/>
          <w:p>
            <w:pPr>
              <w:pStyle w:val="Compact"/>
              <w:jc w:val="left"/>
            </w:pPr>
            <w:r>
              <w:t xml:space="preserve">1962–2025</w:t>
            </w:r>
          </w:p>
        </w:tc>
      </w:tr>
      <w:tr>
        <w:tc>
          <w:tcPr/>
          <w:p>
            <w:pPr>
              <w:pStyle w:val="Compact"/>
              <w:jc w:val="left"/>
            </w:pPr>
            <w:r>
              <w:t xml:space="preserve">13W T-bill yield</w:t>
            </w:r>
          </w:p>
        </w:tc>
        <w:tc>
          <w:tcPr/>
          <w:p>
            <w:pPr>
              <w:pStyle w:val="Compact"/>
              <w:jc w:val="left"/>
            </w:pPr>
            <w:r>
              <w:t xml:space="preserve">FRED (DGS3MO)</w:t>
            </w:r>
          </w:p>
        </w:tc>
        <w:tc>
          <w:tcPr/>
          <w:p>
            <w:pPr>
              <w:pStyle w:val="Compact"/>
              <w:jc w:val="left"/>
            </w:pPr>
            <w:r>
              <w:t xml:space="preserve">Daily</w:t>
            </w:r>
          </w:p>
        </w:tc>
        <w:tc>
          <w:tcPr/>
          <w:p>
            <w:pPr>
              <w:pStyle w:val="Compact"/>
              <w:jc w:val="left"/>
            </w:pPr>
            <w:r>
              <w:t xml:space="preserve">1981–2025</w:t>
            </w:r>
          </w:p>
        </w:tc>
      </w:tr>
      <w:tr>
        <w:tc>
          <w:tcPr/>
          <w:p>
            <w:pPr>
              <w:pStyle w:val="Compact"/>
              <w:jc w:val="left"/>
            </w:pPr>
            <w:r>
              <w:t xml:space="preserve">VIX</w:t>
            </w:r>
          </w:p>
        </w:tc>
        <w:tc>
          <w:tcPr/>
          <w:p>
            <w:pPr>
              <w:pStyle w:val="Compact"/>
              <w:jc w:val="left"/>
            </w:pPr>
            <w:r>
              <w:t xml:space="preserve">FRED (VIXCLS)</w:t>
            </w:r>
          </w:p>
        </w:tc>
        <w:tc>
          <w:tcPr/>
          <w:p>
            <w:pPr>
              <w:pStyle w:val="Compact"/>
              <w:jc w:val="left"/>
            </w:pPr>
            <w:r>
              <w:t xml:space="preserve">Daily</w:t>
            </w:r>
          </w:p>
        </w:tc>
        <w:tc>
          <w:tcPr/>
          <w:p>
            <w:pPr>
              <w:pStyle w:val="Compact"/>
              <w:jc w:val="left"/>
            </w:pPr>
            <w:r>
              <w:t xml:space="preserve">1990–2025</w:t>
            </w:r>
          </w:p>
        </w:tc>
      </w:tr>
      <w:tr>
        <w:tc>
          <w:tcPr/>
          <w:p>
            <w:pPr>
              <w:pStyle w:val="Compact"/>
              <w:jc w:val="left"/>
            </w:pPr>
            <w:r>
              <w:t xml:space="preserve">Fed Funds Rate</w:t>
            </w:r>
          </w:p>
        </w:tc>
        <w:tc>
          <w:tcPr/>
          <w:p>
            <w:pPr>
              <w:pStyle w:val="Compact"/>
              <w:jc w:val="left"/>
            </w:pPr>
            <w:r>
              <w:t xml:space="preserve">FRED (DFF)</w:t>
            </w:r>
          </w:p>
        </w:tc>
        <w:tc>
          <w:tcPr/>
          <w:p>
            <w:pPr>
              <w:pStyle w:val="Compact"/>
              <w:jc w:val="left"/>
            </w:pPr>
            <w:r>
              <w:t xml:space="preserve">Daily</w:t>
            </w:r>
          </w:p>
        </w:tc>
        <w:tc>
          <w:tcPr/>
          <w:p>
            <w:pPr>
              <w:pStyle w:val="Compact"/>
              <w:jc w:val="left"/>
            </w:pPr>
            <w:r>
              <w:t xml:space="preserve">1954–2025</w:t>
            </w:r>
          </w:p>
        </w:tc>
      </w:tr>
      <w:tr>
        <w:tc>
          <w:tcPr/>
          <w:p>
            <w:pPr>
              <w:pStyle w:val="Compact"/>
              <w:jc w:val="left"/>
            </w:pPr>
            <w:r>
              <w:t xml:space="preserve">Financial stocks</w:t>
            </w:r>
          </w:p>
        </w:tc>
        <w:tc>
          <w:tcPr/>
          <w:p>
            <w:pPr>
              <w:pStyle w:val="Compact"/>
              <w:jc w:val="left"/>
            </w:pPr>
            <w:r>
              <w:t xml:space="preserve">WRDS (crsp.dsf)</w:t>
            </w:r>
          </w:p>
        </w:tc>
        <w:tc>
          <w:tcPr/>
          <w:p>
            <w:pPr>
              <w:pStyle w:val="Compact"/>
              <w:jc w:val="left"/>
            </w:pPr>
            <w:r>
              <w:t xml:space="preserve">Daily</w:t>
            </w:r>
          </w:p>
        </w:tc>
        <w:tc>
          <w:tcPr/>
          <w:p>
            <w:pPr>
              <w:pStyle w:val="Compact"/>
              <w:jc w:val="left"/>
            </w:pPr>
            <w:r>
              <w:t xml:space="preserve">2020–2025</w:t>
            </w:r>
          </w:p>
        </w:tc>
      </w:tr>
    </w:tbl>
    <w:p>
      <w:r>
        <w:pict>
          <v:rect style="width:0;height:1.5pt" o:hralign="center" o:hrstd="t" o:hr="t"/>
        </w:pict>
      </w:r>
    </w:p>
    <w:bookmarkEnd w:id="78"/>
    <w:bookmarkStart w:id="83" w:name="appendix-c-additional-robustness"/>
    <w:p>
      <w:pPr>
        <w:pStyle w:val="Heading2"/>
      </w:pPr>
      <w:r>
        <w:t xml:space="preserve">Appendix C: Additional Robustness</w:t>
      </w:r>
    </w:p>
    <w:bookmarkStart w:id="79" w:name="c.1-regime-specific-results"/>
    <w:p>
      <w:pPr>
        <w:pStyle w:val="Heading3"/>
      </w:pPr>
      <w:r>
        <w:t xml:space="preserve">C.1 Regime-Specific Results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Regime</w:t>
            </w:r>
          </w:p>
        </w:tc>
        <w:tc>
          <w:tcPr/>
          <w:p>
            <w:pPr>
              <w:pStyle w:val="Compact"/>
              <w:jc w:val="center"/>
            </w:pPr>
            <w:r>
              <w:t xml:space="preserve">N</w:t>
            </w:r>
          </w:p>
        </w:tc>
        <w:tc>
          <w:tcPr/>
          <w:p>
            <w:pPr>
              <w:pStyle w:val="Compact"/>
              <w:jc w:val="center"/>
            </w:pPr>
            <w:r>
              <w:t xml:space="preserve">R²</w:t>
            </w:r>
          </w:p>
        </w:tc>
        <w:tc>
          <w:tcPr/>
          <w:p>
            <w:pPr>
              <w:pStyle w:val="Compact"/>
              <w:jc w:val="center"/>
            </w:pPr>
            <w:r>
              <w:t xml:space="preserve">β_target (p)</w:t>
            </w:r>
          </w:p>
        </w:tc>
        <w:tc>
          <w:tcPr/>
          <w:p>
            <w:pPr>
              <w:pStyle w:val="Compact"/>
              <w:jc w:val="center"/>
            </w:pPr>
            <w:r>
              <w:t xml:space="preserve">β_path (p)</w:t>
            </w:r>
          </w:p>
        </w:tc>
      </w:tr>
      <w:tr>
        <w:tc>
          <w:tcPr/>
          <w:p>
            <w:pPr>
              <w:pStyle w:val="Compact"/>
              <w:jc w:val="left"/>
            </w:pPr>
            <w:r>
              <w:t xml:space="preserve">Easing</w:t>
            </w:r>
          </w:p>
        </w:tc>
        <w:tc>
          <w:tcPr/>
          <w:p>
            <w:pPr>
              <w:pStyle w:val="Compact"/>
              <w:jc w:val="center"/>
            </w:pPr>
            <w:r>
              <w:t xml:space="preserve">42</w:t>
            </w:r>
          </w:p>
        </w:tc>
        <w:tc>
          <w:tcPr/>
          <w:p>
            <w:pPr>
              <w:pStyle w:val="Compact"/>
              <w:jc w:val="center"/>
            </w:pPr>
            <w:r>
              <w:t xml:space="preserve">2.1%</w:t>
            </w:r>
          </w:p>
        </w:tc>
        <w:tc>
          <w:tcPr/>
          <w:p>
            <w:pPr>
              <w:pStyle w:val="Compact"/>
              <w:jc w:val="center"/>
            </w:pPr>
            <w:r>
              <w:t xml:space="preserve">0.000412 (0.312)</w:t>
            </w:r>
          </w:p>
        </w:tc>
        <w:tc>
          <w:tcPr/>
          <w:p>
            <w:pPr>
              <w:pStyle w:val="Compact"/>
              <w:jc w:val="center"/>
            </w:pPr>
            <w:r>
              <w:t xml:space="preserve">0.000823 (0.198)</w:t>
            </w:r>
          </w:p>
        </w:tc>
      </w:tr>
      <w:tr>
        <w:tc>
          <w:tcPr/>
          <w:p>
            <w:pPr>
              <w:pStyle w:val="Compact"/>
              <w:jc w:val="left"/>
            </w:pPr>
            <w:r>
              <w:t xml:space="preserve">Tightening</w:t>
            </w:r>
          </w:p>
        </w:tc>
        <w:tc>
          <w:tcPr/>
          <w:p>
            <w:pPr>
              <w:pStyle w:val="Compact"/>
              <w:jc w:val="center"/>
            </w:pPr>
            <w:r>
              <w:t xml:space="preserve">48</w:t>
            </w:r>
          </w:p>
        </w:tc>
        <w:tc>
          <w:tcPr/>
          <w:p>
            <w:pPr>
              <w:pStyle w:val="Compact"/>
              <w:jc w:val="center"/>
            </w:pPr>
            <w:r>
              <w:t xml:space="preserve">1.8%</w:t>
            </w:r>
          </w:p>
        </w:tc>
        <w:tc>
          <w:tcPr/>
          <w:p>
            <w:pPr>
              <w:pStyle w:val="Compact"/>
              <w:jc w:val="center"/>
            </w:pPr>
            <w:r>
              <w:t xml:space="preserve">0.000691 (0.098)</w:t>
            </w:r>
          </w:p>
        </w:tc>
        <w:tc>
          <w:tcPr/>
          <w:p>
            <w:pPr>
              <w:pStyle w:val="Compact"/>
              <w:jc w:val="center"/>
            </w:pPr>
            <w:r>
              <w:t xml:space="preserve">0.000534 (0.421)</w:t>
            </w:r>
          </w:p>
        </w:tc>
      </w:tr>
      <w:tr>
        <w:tc>
          <w:tcPr/>
          <w:p>
            <w:pPr>
              <w:pStyle w:val="Compact"/>
              <w:jc w:val="left"/>
            </w:pPr>
            <w:r>
              <w:t xml:space="preserve">ZLB</w:t>
            </w:r>
          </w:p>
        </w:tc>
        <w:tc>
          <w:tcPr/>
          <w:p>
            <w:pPr>
              <w:pStyle w:val="Compact"/>
              <w:jc w:val="center"/>
            </w:pPr>
            <w:r>
              <w:t xml:space="preserve">27</w:t>
            </w:r>
          </w:p>
        </w:tc>
        <w:tc>
          <w:tcPr/>
          <w:p>
            <w:pPr>
              <w:pStyle w:val="Compact"/>
              <w:jc w:val="center"/>
            </w:pPr>
            <w:r>
              <w:t xml:space="preserve">0.4%</w:t>
            </w:r>
          </w:p>
        </w:tc>
        <w:tc>
          <w:tcPr/>
          <w:p>
            <w:pPr>
              <w:pStyle w:val="Compact"/>
              <w:jc w:val="center"/>
            </w:pPr>
            <w:r>
              <w:t xml:space="preserve">0.000198 (0.782)</w:t>
            </w:r>
          </w:p>
        </w:tc>
        <w:tc>
          <w:tcPr/>
          <w:p>
            <w:pPr>
              <w:pStyle w:val="Compact"/>
              <w:jc w:val="center"/>
            </w:pPr>
            <w:r>
              <w:t xml:space="preserve">0.000445 (0.612)</w:t>
            </w:r>
          </w:p>
        </w:tc>
      </w:tr>
    </w:tbl>
    <w:bookmarkEnd w:id="79"/>
    <w:bookmarkStart w:id="80" w:name="c.2-sentiment-distribution"/>
    <w:p>
      <w:pPr>
        <w:pStyle w:val="Heading3"/>
      </w:pPr>
      <w:r>
        <w:t xml:space="preserve">C.2 Sentiment Distribution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Statistic</w:t>
            </w:r>
          </w:p>
        </w:tc>
        <w:tc>
          <w:tcPr/>
          <w:p>
            <w:pPr>
              <w:pStyle w:val="Compact"/>
              <w:jc w:val="center"/>
            </w:pPr>
            <w:r>
              <w:t xml:space="preserve">Combined</w:t>
            </w:r>
          </w:p>
        </w:tc>
        <w:tc>
          <w:tcPr/>
          <w:p>
            <w:pPr>
              <w:pStyle w:val="Compact"/>
              <w:jc w:val="center"/>
            </w:pPr>
            <w:r>
              <w:t xml:space="preserve">LM Score</w:t>
            </w:r>
          </w:p>
        </w:tc>
        <w:tc>
          <w:tcPr/>
          <w:p>
            <w:pPr>
              <w:pStyle w:val="Compact"/>
              <w:jc w:val="center"/>
            </w:pPr>
            <w:r>
              <w:t xml:space="preserve">CB Score</w:t>
            </w:r>
          </w:p>
        </w:tc>
      </w:tr>
      <w:tr>
        <w:tc>
          <w:tcPr/>
          <w:p>
            <w:pPr>
              <w:pStyle w:val="Compact"/>
              <w:jc w:val="left"/>
            </w:pPr>
            <w:r>
              <w:t xml:space="preserve">Mean</w:t>
            </w:r>
          </w:p>
        </w:tc>
        <w:tc>
          <w:tcPr/>
          <w:p>
            <w:pPr>
              <w:pStyle w:val="Compact"/>
              <w:jc w:val="center"/>
            </w:pPr>
            <w:r>
              <w:t xml:space="preserve">0.014</w:t>
            </w:r>
          </w:p>
        </w:tc>
        <w:tc>
          <w:tcPr/>
          <w:p>
            <w:pPr>
              <w:pStyle w:val="Compact"/>
              <w:jc w:val="center"/>
            </w:pPr>
            <w:r>
              <w:t xml:space="preserve">0.041</w:t>
            </w:r>
          </w:p>
        </w:tc>
        <w:tc>
          <w:tcPr/>
          <w:p>
            <w:pPr>
              <w:pStyle w:val="Compact"/>
              <w:jc w:val="center"/>
            </w:pPr>
            <w:r>
              <w:t xml:space="preserve">−0.013</w:t>
            </w:r>
          </w:p>
        </w:tc>
      </w:tr>
      <w:tr>
        <w:tc>
          <w:tcPr/>
          <w:p>
            <w:pPr>
              <w:pStyle w:val="Compact"/>
              <w:jc w:val="left"/>
            </w:pPr>
            <w:r>
              <w:t xml:space="preserve">Std</w:t>
            </w:r>
          </w:p>
        </w:tc>
        <w:tc>
          <w:tcPr/>
          <w:p>
            <w:pPr>
              <w:pStyle w:val="Compact"/>
              <w:jc w:val="center"/>
            </w:pPr>
            <w:r>
              <w:t xml:space="preserve">0.006</w:t>
            </w:r>
          </w:p>
        </w:tc>
        <w:tc>
          <w:tcPr/>
          <w:p>
            <w:pPr>
              <w:pStyle w:val="Compact"/>
              <w:jc w:val="center"/>
            </w:pPr>
            <w:r>
              <w:t xml:space="preserve">0.008</w:t>
            </w:r>
          </w:p>
        </w:tc>
        <w:tc>
          <w:tcPr/>
          <w:p>
            <w:pPr>
              <w:pStyle w:val="Compact"/>
              <w:jc w:val="center"/>
            </w:pPr>
            <w:r>
              <w:t xml:space="preserve">0.005</w:t>
            </w:r>
          </w:p>
        </w:tc>
      </w:tr>
      <w:tr>
        <w:tc>
          <w:tcPr/>
          <w:p>
            <w:pPr>
              <w:pStyle w:val="Compact"/>
              <w:jc w:val="left"/>
            </w:pPr>
            <w:r>
              <w:t xml:space="preserve">Min</w:t>
            </w:r>
          </w:p>
        </w:tc>
        <w:tc>
          <w:tcPr/>
          <w:p>
            <w:pPr>
              <w:pStyle w:val="Compact"/>
              <w:jc w:val="center"/>
            </w:pPr>
            <w:r>
              <w:t xml:space="preserve">0.008</w:t>
            </w:r>
          </w:p>
        </w:tc>
        <w:tc>
          <w:tcPr/>
          <w:p>
            <w:pPr>
              <w:pStyle w:val="Compact"/>
              <w:jc w:val="center"/>
            </w:pPr>
            <w:r>
              <w:t xml:space="preserve">0.031</w:t>
            </w:r>
          </w:p>
        </w:tc>
        <w:tc>
          <w:tcPr/>
          <w:p>
            <w:pPr>
              <w:pStyle w:val="Compact"/>
              <w:jc w:val="center"/>
            </w:pPr>
            <w:r>
              <w:t xml:space="preserve">−0.022</w:t>
            </w:r>
          </w:p>
        </w:tc>
      </w:tr>
      <w:tr>
        <w:tc>
          <w:tcPr/>
          <w:p>
            <w:pPr>
              <w:pStyle w:val="Compact"/>
              <w:jc w:val="left"/>
            </w:pPr>
            <w:r>
              <w:t xml:space="preserve">Max</w:t>
            </w:r>
          </w:p>
        </w:tc>
        <w:tc>
          <w:tcPr/>
          <w:p>
            <w:pPr>
              <w:pStyle w:val="Compact"/>
              <w:jc w:val="center"/>
            </w:pPr>
            <w:r>
              <w:t xml:space="preserve">0.034</w:t>
            </w:r>
          </w:p>
        </w:tc>
        <w:tc>
          <w:tcPr/>
          <w:p>
            <w:pPr>
              <w:pStyle w:val="Compact"/>
              <w:jc w:val="center"/>
            </w:pPr>
            <w:r>
              <w:t xml:space="preserve">0.071</w:t>
            </w:r>
          </w:p>
        </w:tc>
        <w:tc>
          <w:tcPr/>
          <w:p>
            <w:pPr>
              <w:pStyle w:val="Compact"/>
              <w:jc w:val="center"/>
            </w:pPr>
            <w:r>
              <w:t xml:space="preserve">0.005</w:t>
            </w:r>
          </w:p>
        </w:tc>
      </w:tr>
      <w:tr>
        <w:tc>
          <w:tcPr/>
          <w:p>
            <w:pPr>
              <w:pStyle w:val="Compact"/>
              <w:jc w:val="left"/>
            </w:pPr>
            <w:r>
              <w:t xml:space="preserve">% Negative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left"/>
            </w:pPr>
            <w:r>
              <w:t xml:space="preserve">% Positive</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w:t>
            </w:r>
          </w:p>
        </w:tc>
      </w:tr>
    </w:tbl>
    <w:p>
      <w:pPr>
        <w:pStyle w:val="BodyText"/>
      </w:pPr>
      <w:r>
        <w:t xml:space="preserve">The LM score is always positive for FOMC statements (min = 0.031), because FOMC statements use more positive than negative words regardless of policy stance. The CB component has substantial sign variation (100% negative), reflecting the predominantly dovish language in our sample period. The equal-weighted combination dilutes this signal.</w:t>
      </w:r>
    </w:p>
    <w:bookmarkEnd w:id="80"/>
    <w:bookmarkStart w:id="81" w:name="Xb2070a4f36214ba1b4422d63143c40a71d421c8"/>
    <w:p>
      <w:pPr>
        <w:pStyle w:val="Heading3"/>
      </w:pPr>
      <w:r>
        <w:t xml:space="preserve">C.3 Newey-West Lag Sensitivity (H1 Regression)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Lag</w:t>
            </w:r>
          </w:p>
        </w:tc>
        <w:tc>
          <w:tcPr/>
          <w:p>
            <w:pPr>
              <w:pStyle w:val="Compact"/>
              <w:jc w:val="center"/>
            </w:pPr>
            <w:r>
              <w:t xml:space="preserve">β_target (t)</w:t>
            </w:r>
          </w:p>
        </w:tc>
        <w:tc>
          <w:tcPr/>
          <w:p>
            <w:pPr>
              <w:pStyle w:val="Compact"/>
              <w:jc w:val="center"/>
            </w:pPr>
            <w:r>
              <w:t xml:space="preserve">p_target</w:t>
            </w:r>
          </w:p>
        </w:tc>
        <w:tc>
          <w:tcPr/>
          <w:p>
            <w:pPr>
              <w:pStyle w:val="Compact"/>
              <w:jc w:val="center"/>
            </w:pPr>
            <w:r>
              <w:t xml:space="preserve">β_path (t)</w:t>
            </w:r>
          </w:p>
        </w:tc>
        <w:tc>
          <w:tcPr/>
          <w:p>
            <w:pPr>
              <w:pStyle w:val="Compact"/>
              <w:jc w:val="center"/>
            </w:pPr>
            <w:r>
              <w:t xml:space="preserve">p_path</w:t>
            </w:r>
          </w:p>
        </w:tc>
        <w:tc>
          <w:tcPr/>
          <w:p>
            <w:pPr>
              <w:pStyle w:val="Compact"/>
              <w:jc w:val="center"/>
            </w:pPr>
            <w:r>
              <w:t xml:space="preserve">R²</w:t>
            </w:r>
          </w:p>
        </w:tc>
      </w:tr>
      <w:tr>
        <w:tc>
          <w:tcPr/>
          <w:p>
            <w:pPr>
              <w:pStyle w:val="Compact"/>
              <w:jc w:val="center"/>
            </w:pPr>
            <w:r>
              <w:t xml:space="preserve">1</w:t>
            </w:r>
          </w:p>
        </w:tc>
        <w:tc>
          <w:tcPr/>
          <w:p>
            <w:pPr>
              <w:pStyle w:val="Compact"/>
              <w:jc w:val="center"/>
            </w:pPr>
            <w:r>
              <w:t xml:space="preserve">0.000577 (2.78)</w:t>
            </w:r>
          </w:p>
        </w:tc>
        <w:tc>
          <w:tcPr/>
          <w:p>
            <w:pPr>
              <w:pStyle w:val="Compact"/>
              <w:jc w:val="center"/>
            </w:pPr>
            <w:r>
              <w:t xml:space="preserve">0.006</w:t>
            </w:r>
          </w:p>
        </w:tc>
        <w:tc>
          <w:tcPr/>
          <w:p>
            <w:pPr>
              <w:pStyle w:val="Compact"/>
              <w:jc w:val="center"/>
            </w:pPr>
            <w:r>
              <w:t xml:space="preserve">0.000633 (1.64)</w:t>
            </w:r>
          </w:p>
        </w:tc>
        <w:tc>
          <w:tcPr/>
          <w:p>
            <w:pPr>
              <w:pStyle w:val="Compact"/>
              <w:jc w:val="center"/>
            </w:pPr>
            <w:r>
              <w:t xml:space="preserve">0.100</w:t>
            </w:r>
          </w:p>
        </w:tc>
        <w:tc>
          <w:tcPr/>
          <w:p>
            <w:pPr>
              <w:pStyle w:val="Compact"/>
              <w:jc w:val="center"/>
            </w:pPr>
            <w:r>
              <w:t xml:space="preserve">1.57%</w:t>
            </w:r>
          </w:p>
        </w:tc>
      </w:tr>
      <w:tr>
        <w:tc>
          <w:tcPr/>
          <w:p>
            <w:pPr>
              <w:pStyle w:val="Compact"/>
              <w:jc w:val="center"/>
            </w:pPr>
            <w:r>
              <w:t xml:space="preserve">2</w:t>
            </w:r>
          </w:p>
        </w:tc>
        <w:tc>
          <w:tcPr/>
          <w:p>
            <w:pPr>
              <w:pStyle w:val="Compact"/>
              <w:jc w:val="center"/>
            </w:pPr>
            <w:r>
              <w:t xml:space="preserve">0.000577 (2.61)</w:t>
            </w:r>
          </w:p>
        </w:tc>
        <w:tc>
          <w:tcPr/>
          <w:p>
            <w:pPr>
              <w:pStyle w:val="Compact"/>
              <w:jc w:val="center"/>
            </w:pPr>
            <w:r>
              <w:t xml:space="preserve">0.010</w:t>
            </w:r>
          </w:p>
        </w:tc>
        <w:tc>
          <w:tcPr/>
          <w:p>
            <w:pPr>
              <w:pStyle w:val="Compact"/>
              <w:jc w:val="center"/>
            </w:pPr>
            <w:r>
              <w:t xml:space="preserve">0.000633 (1.55)</w:t>
            </w:r>
          </w:p>
        </w:tc>
        <w:tc>
          <w:tcPr/>
          <w:p>
            <w:pPr>
              <w:pStyle w:val="Compact"/>
              <w:jc w:val="center"/>
            </w:pPr>
            <w:r>
              <w:t xml:space="preserve">0.123</w:t>
            </w:r>
          </w:p>
        </w:tc>
        <w:tc>
          <w:tcPr/>
          <w:p>
            <w:pPr>
              <w:pStyle w:val="Compact"/>
              <w:jc w:val="center"/>
            </w:pPr>
            <w:r>
              <w:t xml:space="preserve">1.57%</w:t>
            </w:r>
          </w:p>
        </w:tc>
      </w:tr>
      <w:tr>
        <w:tc>
          <w:tcPr/>
          <w:p>
            <w:pPr>
              <w:pStyle w:val="Compact"/>
              <w:jc w:val="center"/>
            </w:pPr>
            <w:r>
              <w:t xml:space="preserve">4</w:t>
            </w:r>
          </w:p>
        </w:tc>
        <w:tc>
          <w:tcPr/>
          <w:p>
            <w:pPr>
              <w:pStyle w:val="Compact"/>
              <w:jc w:val="center"/>
            </w:pPr>
            <w:r>
              <w:t xml:space="preserve">0.000577 (2.43)</w:t>
            </w:r>
          </w:p>
        </w:tc>
        <w:tc>
          <w:tcPr/>
          <w:p>
            <w:pPr>
              <w:pStyle w:val="Compact"/>
              <w:jc w:val="center"/>
            </w:pPr>
            <w:r>
              <w:t xml:space="preserve">0.017</w:t>
            </w:r>
          </w:p>
        </w:tc>
        <w:tc>
          <w:tcPr/>
          <w:p>
            <w:pPr>
              <w:pStyle w:val="Compact"/>
              <w:jc w:val="center"/>
            </w:pPr>
            <w:r>
              <w:t xml:space="preserve">0.000633 (1.44)</w:t>
            </w:r>
          </w:p>
        </w:tc>
        <w:tc>
          <w:tcPr/>
          <w:p>
            <w:pPr>
              <w:pStyle w:val="Compact"/>
              <w:jc w:val="center"/>
            </w:pPr>
            <w:r>
              <w:t xml:space="preserve">0.152</w:t>
            </w:r>
          </w:p>
        </w:tc>
        <w:tc>
          <w:tcPr/>
          <w:p>
            <w:pPr>
              <w:pStyle w:val="Compact"/>
              <w:jc w:val="center"/>
            </w:pPr>
            <w:r>
              <w:t xml:space="preserve">1.57%</w:t>
            </w:r>
          </w:p>
        </w:tc>
      </w:tr>
      <w:tr>
        <w:tc>
          <w:tcPr/>
          <w:p>
            <w:pPr>
              <w:pStyle w:val="Compact"/>
              <w:jc w:val="center"/>
            </w:pPr>
            <w:r>
              <w:t xml:space="preserve">6</w:t>
            </w:r>
          </w:p>
        </w:tc>
        <w:tc>
          <w:tcPr/>
          <w:p>
            <w:pPr>
              <w:pStyle w:val="Compact"/>
              <w:jc w:val="center"/>
            </w:pPr>
            <w:r>
              <w:t xml:space="preserve">0.000577 (2.29)</w:t>
            </w:r>
          </w:p>
        </w:tc>
        <w:tc>
          <w:tcPr/>
          <w:p>
            <w:pPr>
              <w:pStyle w:val="Compact"/>
              <w:jc w:val="center"/>
            </w:pPr>
            <w:r>
              <w:t xml:space="preserve">0.024</w:t>
            </w:r>
          </w:p>
        </w:tc>
        <w:tc>
          <w:tcPr/>
          <w:p>
            <w:pPr>
              <w:pStyle w:val="Compact"/>
              <w:jc w:val="center"/>
            </w:pPr>
            <w:r>
              <w:t xml:space="preserve">0.000633 (1.45)</w:t>
            </w:r>
          </w:p>
        </w:tc>
        <w:tc>
          <w:tcPr/>
          <w:p>
            <w:pPr>
              <w:pStyle w:val="Compact"/>
              <w:jc w:val="center"/>
            </w:pPr>
            <w:r>
              <w:t xml:space="preserve">0.149</w:t>
            </w:r>
          </w:p>
        </w:tc>
        <w:tc>
          <w:tcPr/>
          <w:p>
            <w:pPr>
              <w:pStyle w:val="Compact"/>
              <w:jc w:val="center"/>
            </w:pPr>
            <w:r>
              <w:t xml:space="preserve">1.57%</w:t>
            </w:r>
          </w:p>
        </w:tc>
      </w:tr>
    </w:tbl>
    <w:bookmarkEnd w:id="81"/>
    <w:bookmarkStart w:id="82" w:name="c.4-data-source-comparison-sp-500"/>
    <w:p>
      <w:pPr>
        <w:pStyle w:val="Heading3"/>
      </w:pPr>
      <w:r>
        <w:t xml:space="preserve">C.4 Data Source Comparison (S&amp;P 500)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Source</w:t>
            </w:r>
          </w:p>
        </w:tc>
        <w:tc>
          <w:tcPr/>
          <w:p>
            <w:pPr>
              <w:pStyle w:val="Compact"/>
              <w:jc w:val="center"/>
            </w:pPr>
            <w:r>
              <w:t xml:space="preserve">β_target</w:t>
            </w:r>
          </w:p>
        </w:tc>
        <w:tc>
          <w:tcPr/>
          <w:p>
            <w:pPr>
              <w:pStyle w:val="Compact"/>
              <w:jc w:val="center"/>
            </w:pPr>
            <w:r>
              <w:t xml:space="preserve">t_target</w:t>
            </w:r>
          </w:p>
        </w:tc>
        <w:tc>
          <w:tcPr/>
          <w:p>
            <w:pPr>
              <w:pStyle w:val="Compact"/>
              <w:jc w:val="center"/>
            </w:pPr>
            <w:r>
              <w:t xml:space="preserve">p_target</w:t>
            </w:r>
          </w:p>
        </w:tc>
        <w:tc>
          <w:tcPr/>
          <w:p>
            <w:pPr>
              <w:pStyle w:val="Compact"/>
              <w:jc w:val="center"/>
            </w:pPr>
            <w:r>
              <w:t xml:space="preserve">R²</w:t>
            </w:r>
          </w:p>
        </w:tc>
      </w:tr>
      <w:tr>
        <w:tc>
          <w:tcPr/>
          <w:p>
            <w:pPr>
              <w:pStyle w:val="Compact"/>
              <w:jc w:val="left"/>
            </w:pPr>
            <w:r>
              <w:t xml:space="preserve">CRSP (sprtrn)</w:t>
            </w:r>
          </w:p>
        </w:tc>
        <w:tc>
          <w:tcPr/>
          <w:p>
            <w:pPr>
              <w:pStyle w:val="Compact"/>
              <w:jc w:val="center"/>
            </w:pPr>
            <w:r>
              <w:t xml:space="preserve">−0.391</w:t>
            </w:r>
          </w:p>
        </w:tc>
        <w:tc>
          <w:tcPr/>
          <w:p>
            <w:pPr>
              <w:pStyle w:val="Compact"/>
              <w:jc w:val="center"/>
            </w:pPr>
            <w:r>
              <w:t xml:space="preserve">−1.80</w:t>
            </w:r>
          </w:p>
        </w:tc>
        <w:tc>
          <w:tcPr/>
          <w:p>
            <w:pPr>
              <w:pStyle w:val="Compact"/>
              <w:jc w:val="center"/>
            </w:pPr>
            <w:r>
              <w:t xml:space="preserve">0.073</w:t>
            </w:r>
          </w:p>
        </w:tc>
        <w:tc>
          <w:tcPr/>
          <w:p>
            <w:pPr>
              <w:pStyle w:val="Compact"/>
              <w:jc w:val="center"/>
            </w:pPr>
            <w:r>
              <w:t xml:space="preserve">0.078</w:t>
            </w:r>
          </w:p>
        </w:tc>
      </w:tr>
      <w:tr>
        <w:tc>
          <w:tcPr/>
          <w:p>
            <w:pPr>
              <w:pStyle w:val="Compact"/>
              <w:jc w:val="left"/>
            </w:pPr>
            <w:r>
              <w:t xml:space="preserve">yfinance (^GSPC)</w:t>
            </w:r>
          </w:p>
        </w:tc>
        <w:tc>
          <w:tcPr/>
          <w:p>
            <w:pPr>
              <w:pStyle w:val="Compact"/>
              <w:jc w:val="center"/>
            </w:pPr>
            <w:r>
              <w:t xml:space="preserve">−0.259</w:t>
            </w:r>
          </w:p>
        </w:tc>
        <w:tc>
          <w:tcPr/>
          <w:p>
            <w:pPr>
              <w:pStyle w:val="Compact"/>
              <w:jc w:val="center"/>
            </w:pPr>
            <w:r>
              <w:t xml:space="preserve">−2.19</w:t>
            </w:r>
          </w:p>
        </w:tc>
        <w:tc>
          <w:tcPr/>
          <w:p>
            <w:pPr>
              <w:pStyle w:val="Compact"/>
              <w:jc w:val="center"/>
            </w:pPr>
            <w:r>
              <w:t xml:space="preserve">0.030</w:t>
            </w:r>
          </w:p>
        </w:tc>
        <w:tc>
          <w:tcPr/>
          <w:p>
            <w:pPr>
              <w:pStyle w:val="Compact"/>
              <w:jc w:val="center"/>
            </w:pPr>
            <w:r>
              <w:t xml:space="preserve">0.029</w:t>
            </w:r>
          </w:p>
        </w:tc>
      </w:tr>
    </w:tbl>
    <w:p>
      <w:pPr>
        <w:pStyle w:val="BodyText"/>
      </w:pPr>
      <w:r>
        <w:t xml:space="preserve">The yfinance coefficient is 34% smaller in magnitude than the CRSP coefficient, reflecting the absence of delisting adjustments in the yfinance data.</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2026-05-29T09:02:38Z</dcterms:created>
  <dcterms:modified xsi:type="dcterms:W3CDTF">2026-05-29T09:02:38Z</dcterms:modified>
</cp:coreProperties>
</file>

<file path=docProps/custom.xml><?xml version="1.0" encoding="utf-8"?>
<Properties xmlns="http://schemas.openxmlformats.org/officeDocument/2006/custom-properties" xmlns:vt="http://schemas.openxmlformats.org/officeDocument/2006/docPropsVTypes"/>
</file>