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366f6043e14d46d04ed54e18a516bd26ae6efa2"/>
    <w:p>
      <w:pPr>
        <w:pStyle w:val="Heading1"/>
      </w:pPr>
      <w:r>
        <w:t xml:space="preserve">Monetary Policy Lab: Computational Details</w:t>
      </w:r>
    </w:p>
    <w:p>
      <w:pPr>
        <w:pStyle w:val="BlockText"/>
      </w:pPr>
      <w:r>
        <w:rPr>
          <w:b/>
          <w:bCs/>
        </w:rPr>
        <w:t xml:space="preserve">Technical Reference for Financial Economics Experts</w:t>
      </w:r>
    </w:p>
    <w:p>
      <w:pPr>
        <w:pStyle w:val="BlockText"/>
      </w:pPr>
      <w:r>
        <w:t xml:space="preserve">Platform: https://monetary-policy-lab.streamlit.app</w:t>
      </w:r>
      <w:r>
        <w:br/>
      </w:r>
      <w:r>
        <w:t xml:space="preserve">Repository: GitHub (dechang64/monetary-policy-lab)</w:t>
      </w:r>
      <w:r>
        <w:br/>
      </w:r>
      <w:r>
        <w:t xml:space="preserve">Version: v9.9 (JMP draft complete, 18 robustness checks, rate cut regime in main text, chair FE analysis)</w:t>
      </w:r>
    </w:p>
    <w:p>
      <w:r>
        <w:pict>
          <v:rect style="width:0;height:1.5pt" o:hralign="center" o:hrstd="t" o:hr="t"/>
        </w:pict>
      </w:r>
    </w:p>
    <w:bookmarkStart w:id="20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platform consists of three layers: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Interactive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app (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modules/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exploration, visualization, scenario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Research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mp-research-platform/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analysis/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regression pipeline, hypothesis testing, robustness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Literature Radar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literature_radar.py</w:t>
            </w:r>
            <w:r>
              <w:t xml:space="preserve"> </w:t>
            </w:r>
            <w:r>
              <w:t xml:space="preserve">+ 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daily scan of new research papers</w:t>
            </w:r>
          </w:p>
        </w:tc>
      </w:tr>
    </w:tbl>
    <w:p>
      <w:pPr>
        <w:pStyle w:val="BodyText"/>
      </w:pPr>
      <w:r>
        <w:t xml:space="preserve">The dashboard provides 8 modules (Dashboard, Fed Intelligence, Research, Replication, Sentiment, Two Shocks, Capital Flow, Event Study, Data Explorer). The research engine runs formal econometric analysis offline. The Literature Radar scans SSRN, arXiv, BIS/IMF/Fed, and top journals daily, scoring papers by relevance to our research.</w:t>
      </w:r>
    </w:p>
    <w:p>
      <w:r>
        <w:pict>
          <v:rect style="width:0;height:1.5pt" o:hralign="center" o:hrstd="t" o:hr="t"/>
        </w:pict>
      </w:r>
    </w:p>
    <w:bookmarkEnd w:id="20"/>
    <w:bookmarkStart w:id="27" w:name="data-sources-pipeline"/>
    <w:p>
      <w:pPr>
        <w:pStyle w:val="Heading2"/>
      </w:pPr>
      <w:r>
        <w:t xml:space="preserve">2. Data Sources &amp; Pipeline</w:t>
      </w:r>
    </w:p>
    <w:bookmarkStart w:id="21" w:name="fred-api-integration"/>
    <w:p>
      <w:pPr>
        <w:pStyle w:val="Heading3"/>
      </w:pPr>
      <w:r>
        <w:t xml:space="preserve">2.1 FRED API Integration</w:t>
      </w:r>
    </w:p>
    <w:p>
      <w:pPr>
        <w:pStyle w:val="FirstParagraph"/>
      </w:pPr>
      <w:r>
        <w:rPr>
          <w:b/>
          <w:bCs/>
        </w:rPr>
        <w:t xml:space="preserve">Connector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data/fred_connector.py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FREDConnector</w:t>
      </w:r>
      <w:r>
        <w:t xml:space="preserve">)</w:t>
      </w:r>
    </w:p>
    <w:p>
      <w:pPr>
        <w:pStyle w:val="BodyText"/>
      </w:pPr>
      <w:r>
        <w:t xml:space="preserve">We fetch</w:t>
      </w:r>
      <w:r>
        <w:t xml:space="preserve"> </w:t>
      </w:r>
      <w:r>
        <w:rPr>
          <w:b/>
          <w:bCs/>
        </w:rPr>
        <w:t xml:space="preserve">31 data series</w:t>
      </w:r>
      <w:r>
        <w:t xml:space="preserve"> </w:t>
      </w:r>
      <w:r>
        <w:t xml:space="preserve">from FRED, organized into 8 categories: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1875"/>
        <w:gridCol w:w="22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1M/2Y/5Y/10Y/30Y Treasury, 2Y-10Y Spread, Effective Fed Funds, SOFR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DGS1MO, DGS2, DGS5, DGS10, DGS30, T10Y2Y, DFF, SOFR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 YoY, Core CPI YoY, PCE, Core PCE YoY, 5Y/10Y Breakeven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CPIAUCSL, CPILFESL, PCEPI, PCEPILFE, T5YIE, T10YIE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Monthly/Daily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500, NASDAQ, 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SP500, NASDAQCOM, VIXCLS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DXY, EUR/USD, JPY/USD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DTWEXBGS, DEXUSEU, DEXJPUS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Commodities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(AM Fix), Oil (WTI)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GOLDAMGBD228NLBM, DCOILWTICO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Corporate, AAA 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BAA,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Unemployment Rate, Nonfarm Payrolls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UNRATE, PAYEMS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GDP, GDP Growth, Fed Assets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GDPC1, A191RL1Q225SBEA, WALCL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Quarterly/Weekly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Derived series</w:t>
      </w:r>
      <w:r>
        <w:t xml:space="preserve">: Credit Spread = BAA − AAA (computed in-place).</w:t>
      </w:r>
    </w:p>
    <w:p>
      <w:pPr>
        <w:pStyle w:val="BodyText"/>
      </w:pPr>
      <w:r>
        <w:rPr>
          <w:b/>
          <w:bCs/>
        </w:rPr>
        <w:t xml:space="preserve">Frequency alignment</w:t>
      </w:r>
      <w:r>
        <w:t xml:space="preserve">: All series are reindexed to a daily calendar (</w:t>
      </w:r>
      <w:r>
        <w:rPr>
          <w:rStyle w:val="VerbatimChar"/>
        </w:rPr>
        <w:t xml:space="preserve">pd.date_range(freq="D")</w:t>
      </w:r>
      <w:r>
        <w:t xml:space="preserve">), with lower-frequency data forward-filled.</w:t>
      </w:r>
    </w:p>
    <w:p>
      <w:pPr>
        <w:pStyle w:val="BodyText"/>
      </w:pPr>
      <w:r>
        <w:rPr>
          <w:b/>
          <w:bCs/>
        </w:rPr>
        <w:t xml:space="preserve">Caching</w:t>
      </w:r>
      <w:r>
        <w:t xml:space="preserve">: Two-tier — in-memory dict + JSON file cache (default 6-hour TTL). Rate-limited at 100ms between requests.</w:t>
      </w:r>
    </w:p>
    <w:bookmarkEnd w:id="21"/>
    <w:bookmarkStart w:id="22" w:name="fomc-statement-corpus"/>
    <w:p>
      <w:pPr>
        <w:pStyle w:val="Heading3"/>
      </w:pPr>
      <w:r>
        <w:t xml:space="preserve">2.2 FOMC Statement Corpus</w:t>
      </w:r>
    </w:p>
    <w:p>
      <w:pPr>
        <w:pStyle w:val="FirstParagraph"/>
      </w:pPr>
      <w:r>
        <w:rPr>
          <w:b/>
          <w:bCs/>
        </w:rPr>
        <w:t xml:space="preserve">Scraper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data/fomc_scraper.py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FOMCScraper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</w:t>
      </w:r>
      <w:r>
        <w:t xml:space="preserve">: 157 FOMC statements (1994-02 to 2025-04), with manually curated URL mappings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federalreserve.gov/newsevents/pressreleases/monetary{YYYYMMDD}a.htm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Extraction</w:t>
      </w:r>
      <w:r>
        <w:t xml:space="preserve">: BeautifulSoup, targeting</w:t>
      </w:r>
      <w:r>
        <w:t xml:space="preserve"> </w:t>
      </w:r>
      <w:r>
        <w:rPr>
          <w:rStyle w:val="VerbatimChar"/>
        </w:rPr>
        <w:t xml:space="preserve">div#article</w:t>
      </w:r>
      <w:r>
        <w:t xml:space="preserve"> </w:t>
      </w:r>
      <w:r>
        <w:t xml:space="preserve">(fallback:</w:t>
      </w:r>
      <w:r>
        <w:t xml:space="preserve"> </w:t>
      </w:r>
      <w:r>
        <w:rPr>
          <w:rStyle w:val="VerbatimChar"/>
        </w:rPr>
        <w:t xml:space="preserve">div.col-xs-12.col-sm-8.col-md-8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rate</w:t>
      </w:r>
      <w:r>
        <w:t xml:space="preserve">: 155/157 (99%), 2 failures likely due to emergency/unscheduled meetings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decision extraction</w:t>
      </w:r>
      <w:r>
        <w:t xml:space="preserve">: Pattern matching on statement text (</w:t>
      </w:r>
      <w:r>
        <w:t xml:space="preserve">“</w:t>
      </w:r>
      <w:r>
        <w:t xml:space="preserve">decided to raise/lower/maintain</w:t>
      </w:r>
      <w:r>
        <w:t xml:space="preserve">”</w:t>
      </w:r>
      <w:r>
        <w:t xml:space="preserve">)</w:t>
      </w:r>
    </w:p>
    <w:bookmarkEnd w:id="22"/>
    <w:bookmarkStart w:id="23" w:name="fomc-meeting-metadata"/>
    <w:p>
      <w:pPr>
        <w:pStyle w:val="Heading3"/>
      </w:pPr>
      <w:r>
        <w:t xml:space="preserve">2.3 FOMC Meeting Metadata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mp-research-platform/data/fomc_meetings.py</w:t>
      </w:r>
    </w:p>
    <w:p>
      <w:pPr>
        <w:pStyle w:val="BodyText"/>
      </w:pPr>
      <w:r>
        <w:t xml:space="preserve">Hand-curated dataset of</w:t>
      </w:r>
      <w:r>
        <w:t xml:space="preserve"> </w:t>
      </w:r>
      <w:r>
        <w:rPr>
          <w:b/>
          <w:bCs/>
        </w:rPr>
        <w:t xml:space="preserve">164 FOMC meetings</w:t>
      </w:r>
      <w:r>
        <w:t xml:space="preserve"> </w:t>
      </w:r>
      <w:r>
        <w:t xml:space="preserve">(1994–2025) with: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rate_hike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rate_cut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unchanged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rate_before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funds target rate (upper bound,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rate_after − rate_before</w:t>
            </w:r>
            <w:r>
              <w:t xml:space="preserve"> </w:t>
            </w:r>
            <w:r>
              <w:t xml:space="preserve">(in percentage 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Greenspan / Bernanke / Yellen / Powell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conventional</w:t>
            </w:r>
            <w:r>
              <w:t xml:space="preserve"> </w:t>
            </w:r>
            <w:r>
              <w:t xml:space="preserve">(pre-2008) /</w:t>
            </w:r>
            <w:r>
              <w:t xml:space="preserve"> </w:t>
            </w:r>
            <w:r>
              <w:rPr>
                <w:rStyle w:val="VerbatimChar"/>
              </w:rPr>
              <w:t xml:space="preserve">forward_guidance</w:t>
            </w:r>
            <w:r>
              <w:t xml:space="preserve"> </w:t>
            </w:r>
            <w:r>
              <w:t xml:space="preserve">(2008–2015) /</w:t>
            </w:r>
            <w:r>
              <w:t xml:space="preserve"> </w:t>
            </w:r>
            <w:r>
              <w:rPr>
                <w:rStyle w:val="VerbatimChar"/>
              </w:rPr>
              <w:t xml:space="preserve">normalization</w:t>
            </w:r>
            <w:r>
              <w:t xml:space="preserve"> </w:t>
            </w:r>
            <w:r>
              <w:t xml:space="preserve">(2016+)</w:t>
            </w:r>
          </w:p>
        </w:tc>
      </w:tr>
    </w:tbl>
    <w:bookmarkEnd w:id="23"/>
    <w:bookmarkStart w:id="24" w:name="asset-prices"/>
    <w:p>
      <w:pPr>
        <w:pStyle w:val="Heading3"/>
      </w:pPr>
      <w:r>
        <w:t xml:space="preserve">2.4 Asset Prices</w:t>
      </w:r>
    </w:p>
    <w:p>
      <w:pPr>
        <w:pStyle w:val="FirstParagraph"/>
      </w:pPr>
      <w:r>
        <w:rPr>
          <w:b/>
          <w:bCs/>
        </w:rPr>
        <w:t xml:space="preserve">Primary source</w:t>
      </w:r>
      <w:r>
        <w:t xml:space="preserve">: CRSP via WRDS (</w:t>
      </w:r>
      <w:r>
        <w:rPr>
          <w:rStyle w:val="VerbatimChar"/>
        </w:rPr>
        <w:t xml:space="preserve">data/wrds/crsp_dsi_index.csv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0"/>
        <w:gridCol w:w="2053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CRSP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vwretd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CRSP Value-Weighted Return (incl. 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H2: Large-cap equity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ewretd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CRSP Equal-Weighted Return (incl. 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H2: Small-cap equity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sprtrn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 Total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H2: Benchmark equity 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</w:t>
      </w:r>
      <w:r>
        <w:t xml:space="preserve">: 1990-01-02 to 2024-12-31 (8,818 trading days). Mapped to FOMC meeting dates by exact date match.</w:t>
      </w:r>
    </w:p>
    <w:p>
      <w:pPr>
        <w:pStyle w:val="BodyText"/>
      </w:pPr>
      <w:r>
        <w:rPr>
          <w:b/>
          <w:bCs/>
        </w:rPr>
        <w:t xml:space="preserve">Advantage over yfinance</w:t>
      </w:r>
      <w:r>
        <w:t xml:space="preserve">: CRSP returns include delisting adjustments and are the standard data source in the monetary policy event study literature.</w:t>
      </w:r>
    </w:p>
    <w:p>
      <w:pPr>
        <w:pStyle w:val="BodyText"/>
      </w:pPr>
      <w:r>
        <w:rPr>
          <w:b/>
          <w:bCs/>
        </w:rPr>
        <w:t xml:space="preserve">Secondary source (fallback)</w:t>
      </w:r>
      <w:r>
        <w:t xml:space="preserve">: yfinance for S&amp;P 500 (</w:t>
      </w:r>
      <w:r>
        <w:rPr>
          <w:rStyle w:val="VerbatimChar"/>
        </w:rPr>
        <w:t xml:space="preserve">^GSPC</w:t>
      </w:r>
      <w:r>
        <w:t xml:space="preserve">), NASDAQ (</w:t>
      </w:r>
      <w:r>
        <w:rPr>
          <w:rStyle w:val="VerbatimChar"/>
        </w:rPr>
        <w:t xml:space="preserve">^IXIC</w:t>
      </w:r>
      <w:r>
        <w:t xml:space="preserve">), VIX (</w:t>
      </w:r>
      <w:r>
        <w:rPr>
          <w:rStyle w:val="VerbatimChar"/>
        </w:rPr>
        <w:t xml:space="preserve">^VIX</w:t>
      </w:r>
      <w:r>
        <w:t xml:space="preserve">), 10Y Treasury (</w:t>
      </w:r>
      <w:r>
        <w:rPr>
          <w:rStyle w:val="VerbatimChar"/>
        </w:rPr>
        <w:t xml:space="preserve">^TNX</w:t>
      </w:r>
      <w:r>
        <w:t xml:space="preserve">), 13W T-bill (</w:t>
      </w:r>
      <w:r>
        <w:rPr>
          <w:rStyle w:val="VerbatimChar"/>
        </w:rPr>
        <w:t xml:space="preserve">^IRX</w:t>
      </w:r>
      <w:r>
        <w:t xml:space="preserve">), Gold (</w:t>
      </w:r>
      <w:r>
        <w:rPr>
          <w:rStyle w:val="VerbatimChar"/>
        </w:rPr>
        <w:t xml:space="preserve">GC=F</w:t>
      </w:r>
      <w:r>
        <w:t xml:space="preserve">).</w:t>
      </w:r>
    </w:p>
    <w:bookmarkEnd w:id="24"/>
    <w:bookmarkStart w:id="25" w:name="acosta-2022-monetary-policy-shocks"/>
    <w:p>
      <w:pPr>
        <w:pStyle w:val="Heading3"/>
      </w:pPr>
      <w:r>
        <w:t xml:space="preserve">2.5 Acosta (2022) Monetary Policy Shocks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data/mp_shocks_acosta.xlsx</w:t>
      </w:r>
      <w:r>
        <w:t xml:space="preserve"> </w:t>
      </w:r>
      <w:r>
        <w:t xml:space="preserve">(sheet:</w:t>
      </w:r>
      <w:r>
        <w:t xml:space="preserve"> </w:t>
      </w:r>
      <w:r>
        <w:rPr>
          <w:rStyle w:val="VerbatimChar"/>
        </w:rPr>
        <w:t xml:space="preserve">shocks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rate surprise (Kuttner-style)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meetings, 1995–2022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factor (Gürkaynak-style)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meetings, 1995–2022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overlap</w:t>
      </w:r>
      <w:r>
        <w:t xml:space="preserve">: 117 meetings have both statements and shock data (2006-01-31 to 2022-07-27).</w:t>
      </w:r>
    </w:p>
    <w:bookmarkEnd w:id="25"/>
    <w:bookmarkStart w:id="26" w:name="usmpd-extension"/>
    <w:p>
      <w:pPr>
        <w:pStyle w:val="Heading3"/>
      </w:pPr>
      <w:r>
        <w:t xml:space="preserve">2.6 USMPD Extension</w:t>
      </w:r>
    </w:p>
    <w:p>
      <w:pPr>
        <w:pStyle w:val="FirstParagraph"/>
      </w:pPr>
      <w:r>
        <w:t xml:space="preserve">The Federal Reserve Bank of San Francisco’s USMPD provides raw high-frequency changes for 276 meetings (1994–2026). Our replicated target/path factors correlate at 0.958/0.970 with Acosta’s original series.</w:t>
      </w:r>
    </w:p>
    <w:p>
      <w:pPr>
        <w:pStyle w:val="BodyText"/>
      </w:pPr>
      <w:r>
        <w:rPr>
          <w:b/>
          <w:bCs/>
        </w:rPr>
        <w:t xml:space="preserve">Extended sample results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Acosta only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2006–2022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Acosta + USMPD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2006–2026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sentiment-analysis-engine"/>
    <w:p>
      <w:pPr>
        <w:pStyle w:val="Heading2"/>
      </w:pPr>
      <w:r>
        <w:t xml:space="preserve">3. Sentiment Analysis Engine</w:t>
      </w:r>
    </w:p>
    <w:bookmarkStart w:id="31" w:name="dual-dictionary-approach"/>
    <w:p>
      <w:pPr>
        <w:pStyle w:val="Heading3"/>
      </w:pPr>
      <w:r>
        <w:t xml:space="preserve">3.1 Dual-Dictionary Approach</w:t>
      </w:r>
    </w:p>
    <w:p>
      <w:pPr>
        <w:pStyle w:val="FirstParagraph"/>
      </w:pPr>
      <w:r>
        <w:rPr>
          <w:b/>
          <w:bCs/>
        </w:rPr>
        <w:t xml:space="preserve">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analysis/run_v6_comprehensive.py</w:t>
      </w:r>
    </w:p>
    <w:p>
      <w:pPr>
        <w:pStyle w:val="BodyText"/>
      </w:pPr>
      <w:r>
        <w:t xml:space="preserve">We combine two dictionaries:</w:t>
      </w:r>
    </w:p>
    <w:bookmarkStart w:id="28" w:name="X74d596c736a8ac9b5b23eeb8def1a0d0131d0d5"/>
    <w:p>
      <w:pPr>
        <w:pStyle w:val="Heading4"/>
      </w:pPr>
      <w:r>
        <w:t>Loughran-McDonald (2011) Financial Sentiment Dictionary (Eq.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 set</w:t>
      </w:r>
      <w:r>
        <w:t xml:space="preserve">: ~120 words;</w:t>
      </w:r>
      <w:r>
        <w:t xml:space="preserve"> </w:t>
      </w:r>
      <w:r>
        <w:rPr>
          <w:b/>
          <w:bCs/>
        </w:rPr>
        <w:t xml:space="preserve">Positive set</w:t>
      </w:r>
      <w:r>
        <w:t xml:space="preserve">: ~50 words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LM Score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bookmarkEnd w:id="28"/>
    <w:bookmarkStart w:id="29" w:name="central-bank-hawkish-dovish-dictionary"/>
    <w:p>
      <w:pPr>
        <w:pStyle w:val="Heading4"/>
      </w:pPr>
      <w:r>
        <w:t>Central Bank Hawkish-Dovish Dictionary (Eq.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Hawkish set</w:t>
      </w:r>
      <w:r>
        <w:t xml:space="preserve">: 591 terms;</w:t>
      </w:r>
      <w:r>
        <w:t xml:space="preserve"> </w:t>
      </w:r>
      <w:r>
        <w:rPr>
          <w:b/>
          <w:bCs/>
        </w:rPr>
        <w:t xml:space="preserve">Dovish set</w:t>
      </w:r>
      <w:r>
        <w:t xml:space="preserve">: 222 terms (fully disjoint)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CB Score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hawk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dove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bookmarkEnd w:id="29"/>
    <w:bookmarkStart w:id="30" w:name="combined-sentiment"/>
    <w:p>
      <w:pPr>
        <w:pStyle w:val="Heading4"/>
      </w:pPr>
      <w:r>
        <w:t>Combined Sentiment (Eq. 3)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Sentiment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LM Score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CB Score</m:t>
              </m:r>
            </m:e>
            <m:sub>
              <m:r>
                <m:t>t</m:t>
              </m:r>
            </m:sub>
          </m:sSub>
        </m:oMath>
      </m:oMathPara>
    </w:p>
    <w:bookmarkEnd w:id="30"/>
    <w:bookmarkEnd w:id="31"/>
    <w:bookmarkStart w:id="32" w:name="sentiment-distribution-v9-verified"/>
    <w:p>
      <w:pPr>
        <w:pStyle w:val="Heading3"/>
      </w:pPr>
      <w:r>
        <w:t xml:space="preserve">3.2 Sentiment Distribution (v9, verified)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LM 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CB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Negative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</w:t>
      </w:r>
      <w:r>
        <w:t xml:space="preserve">: The LM score is always positive for FOMC statements (min = 0.006), creating a positivity bias that dilutes the CB signal. The CB component has substantial sign variation (78% negative), making it the more informative measure for FOMC text.</w:t>
      </w:r>
    </w:p>
    <w:bookmarkEnd w:id="32"/>
    <w:bookmarkStart w:id="33" w:name="cb-only-vs.-combined-performance"/>
    <w:p>
      <w:pPr>
        <w:pStyle w:val="Heading3"/>
      </w:pPr>
      <w:r>
        <w:t xml:space="preserve">3.3 CB-Only vs. Combined Performance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H1 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(0.5×LM + 0.5×CB)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LM-only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0.552</w:t>
            </w:r>
          </w:p>
        </w:tc>
      </w:tr>
    </w:tbl>
    <w:p>
      <w:pPr>
        <w:pStyle w:val="BodyText"/>
      </w:pPr>
      <w:r>
        <w:t xml:space="preserve">The CB-only measure more than doubles R² and makes the path shock significant at 5%. The LM component adds noise without adding signal for FOMC text.</w:t>
      </w:r>
    </w:p>
    <w:bookmarkEnd w:id="33"/>
    <w:bookmarkStart w:id="34" w:name="forward-lookingness-decomposition-v9-new"/>
    <w:p>
      <w:pPr>
        <w:pStyle w:val="Heading3"/>
      </w:pPr>
      <w:r>
        <w:t xml:space="preserve">3.4 Forward-Lookingness Decomposition (v9, new)</w:t>
      </w:r>
    </w:p>
    <w:p>
      <w:pPr>
        <w:pStyle w:val="FirstParagraph"/>
      </w:pPr>
      <w:r>
        <w:t xml:space="preserve">Inspired by the IMF’s four-dimensional framework (Gambacorta et al. 2025), we decompose sentiment into: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Forward-looking (FL)</w:t>
      </w:r>
      <w:r>
        <w:t xml:space="preserve">: Sentences containing</w:t>
      </w:r>
      <w:r>
        <w:t xml:space="preserve"> </w:t>
      </w:r>
      <w:r>
        <w:t xml:space="preserve">“</w:t>
      </w:r>
      <w:r>
        <w:t xml:space="preserve">expect,</w:t>
      </w:r>
      <w:r>
        <w:t xml:space="preserve">”</w:t>
      </w:r>
      <w:r>
        <w:t xml:space="preserve"> </w:t>
      </w:r>
      <w:r>
        <w:t xml:space="preserve">“</w:t>
      </w:r>
      <w:r>
        <w:t xml:space="preserve">anticipate,</w:t>
      </w:r>
      <w:r>
        <w:t xml:space="preserve">”</w:t>
      </w:r>
      <w:r>
        <w:t xml:space="preserve"> </w:t>
      </w:r>
      <w:r>
        <w:t xml:space="preserve">“</w:t>
      </w:r>
      <w:r>
        <w:t xml:space="preserve">will,</w:t>
      </w:r>
      <w:r>
        <w:t xml:space="preserve">”</w:t>
      </w:r>
      <w:r>
        <w:t xml:space="preserve"> </w:t>
      </w:r>
      <w:r>
        <w:t xml:space="preserve">“</w:t>
      </w:r>
      <w:r>
        <w:t xml:space="preserve">project,</w:t>
      </w:r>
      <w:r>
        <w:t xml:space="preserve">”</w:t>
      </w:r>
      <w:r>
        <w:t xml:space="preserve"> </w:t>
      </w:r>
      <w:r>
        <w:t xml:space="preserve">“</w:t>
      </w:r>
      <w:r>
        <w:t xml:space="preserve">forecast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Current-assessment (CA)</w:t>
      </w:r>
      <w:r>
        <w:t xml:space="preserve">: Sentences containing</w:t>
      </w:r>
      <w:r>
        <w:t xml:space="preserve"> </w:t>
      </w:r>
      <w:r>
        <w:t xml:space="preserve">“</w:t>
      </w:r>
      <w:r>
        <w:t xml:space="preserve">recent,</w:t>
      </w:r>
      <w:r>
        <w:t xml:space="preserve">”</w:t>
      </w:r>
      <w:r>
        <w:t xml:space="preserve"> </w:t>
      </w:r>
      <w:r>
        <w:t xml:space="preserve">“</w:t>
      </w:r>
      <w:r>
        <w:t xml:space="preserve">current,</w:t>
      </w:r>
      <w:r>
        <w:t xml:space="preserve">”</w:t>
      </w:r>
      <w:r>
        <w:t xml:space="preserve"> </w:t>
      </w:r>
      <w:r>
        <w:t xml:space="preserve">“</w:t>
      </w:r>
      <w:r>
        <w:t xml:space="preserve">has,</w:t>
      </w:r>
      <w:r>
        <w:t xml:space="preserve">”</w:t>
      </w:r>
      <w:r>
        <w:t xml:space="preserve"> </w:t>
      </w:r>
      <w:r>
        <w:t xml:space="preserve">“</w:t>
      </w:r>
      <w:r>
        <w:t xml:space="preserve">was,</w:t>
      </w:r>
      <w:r>
        <w:t xml:space="preserve">”</w:t>
      </w:r>
      <w:r>
        <w:t xml:space="preserve"> </w:t>
      </w:r>
      <w:r>
        <w:t xml:space="preserve">“</w:t>
      </w:r>
      <w:r>
        <w:t xml:space="preserve">remains</w:t>
      </w:r>
      <w:r>
        <w:t xml:space="preserve">”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H1 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Forward-looking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Current-assessment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0.506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Counterintuitive finding</w:t>
      </w:r>
      <w:r>
        <w:t xml:space="preserve">: Splitting sentiment reduces R² and makes the path shock less significant. The path shock captures a broad policy stance signal, not a specific forward-guidance dimension.</w:t>
      </w:r>
    </w:p>
    <w:bookmarkEnd w:id="34"/>
    <w:bookmarkStart w:id="35" w:name="known-limitations"/>
    <w:p>
      <w:pPr>
        <w:pStyle w:val="Heading3"/>
      </w:pPr>
      <w:r>
        <w:t xml:space="preserve">3.5 Known Limitations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LM positivity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 score always positive for FOMC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score dominated by LM positivity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blindness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Higher inflation</w:t>
            </w:r>
            <w:r>
              <w:t xml:space="preserve">”</w:t>
            </w:r>
            <w:r>
              <w:t xml:space="preserve"> </w:t>
            </w:r>
            <w:r>
              <w:t xml:space="preserve">(hawkish) vs. </w:t>
            </w:r>
            <w:r>
              <w:t xml:space="preserve">“</w:t>
            </w:r>
            <w:r>
              <w:t xml:space="preserve">higher growth</w:t>
            </w:r>
            <w:r>
              <w:t xml:space="preserve">”</w:t>
            </w:r>
            <w:r>
              <w:t xml:space="preserve"> </w:t>
            </w:r>
            <w:r>
              <w:t xml:space="preserve">(dovish)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ambiguity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topic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hawkish/dovish terms aggregated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dilution across heterogeneous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Equal weighting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LM+CB is arbitrary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Suboptimal signal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uncertainty 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classifications treated equally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Noisy classifications dilute signal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Upgrade path</w:t>
      </w:r>
      <w:r>
        <w:t xml:space="preserve">: CB-LMs (Gambacorta et al. 2024) offer open-weight, domain-specific embeddings with full reproducibility. Yao &amp; Chai (2025) add uncertainty-aware classification.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onetary-policy-surprise"/>
    <w:p>
      <w:pPr>
        <w:pStyle w:val="Heading2"/>
      </w:pPr>
      <w:r>
        <w:t xml:space="preserve">4. Monetary Policy Surprise</w:t>
      </w:r>
    </w:p>
    <w:bookmarkStart w:id="37" w:name="target-surprise-kuttner-2001"/>
    <w:p>
      <w:pPr>
        <w:pStyle w:val="Heading3"/>
      </w:pPr>
      <w:r>
        <w:t xml:space="preserve">4.1 Target Surprise (Kuttner 2001)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Target Surprise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nor/>
                      <m:sty m:val="p"/>
                    </m:rPr>
                    <m:t>close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nor/>
                      <m:sty m:val="p"/>
                    </m:rPr>
                    <m:t>close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current-month Fed Funds futures settlement price,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days in month,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day of FOMC meeting.</w:t>
      </w:r>
    </w:p>
    <w:bookmarkEnd w:id="37"/>
    <w:bookmarkStart w:id="38" w:name="path-factor-gürkaynak-et-al.-2005a"/>
    <w:p>
      <w:pPr>
        <w:pStyle w:val="Heading3"/>
      </w:pPr>
      <w:r>
        <w:t xml:space="preserve">4.2 Path Factor (Gürkaynak et al. 2005a)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Path Factor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nor/>
                  <m:sty m:val="p"/>
                </m:rPr>
                <m:t>Surprise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ED2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nor/>
                  <m:sty m:val="p"/>
                </m:rPr>
                <m:t>Surprise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ED1</m:t>
              </m:r>
            </m:sup>
          </m:sSubSup>
        </m:oMath>
      </m:oMathPara>
    </w:p>
    <w:p>
      <w:pPr>
        <w:pStyle w:val="FirstParagraph"/>
      </w:pPr>
      <w:r>
        <w:t xml:space="preserve">Captures forward guidance — changes in expected future rate path beyond the current meeting.</w:t>
      </w:r>
    </w:p>
    <w:bookmarkEnd w:id="38"/>
    <w:bookmarkStart w:id="39" w:name="surprise-measure-comparison"/>
    <w:p>
      <w:pPr>
        <w:pStyle w:val="Heading3"/>
      </w:pPr>
      <w:r>
        <w:t xml:space="preserve">4.3 Surprise Measure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408"/>
        <w:gridCol w:w="1760"/>
        <w:gridCol w:w="1408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H1 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change (Δr)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zero for unchanged meetings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Kuttner-style (DFF proxy)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single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Acosta target+path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market-based, narrow-window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CB-only + Acosta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best current specification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</w:t>
      </w:r>
      <w:r>
        <w:t xml:space="preserve">: The switch from naive proxy to Acosta shocks increased R² by 4×. Using CB-only sentiment doubles it again.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hypothesis-testing-framework"/>
    <w:p>
      <w:pPr>
        <w:pStyle w:val="Heading2"/>
      </w:pPr>
      <w:r>
        <w:t xml:space="preserve">5. Hypothesis Testing Framework</w:t>
      </w:r>
    </w:p>
    <w:bookmarkStart w:id="41" w:name="h1-sentiment-surprise"/>
    <w:p>
      <w:pPr>
        <w:pStyle w:val="Heading3"/>
      </w:pPr>
      <w:r>
        <w:t>5.1 H1 (Equation 4): Sentiment ↔ Surprise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Sentiment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Target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Path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 OLS with Newey-West HAC(4) standard errors</w:t>
      </w:r>
    </w:p>
    <w:p>
      <w:pPr>
        <w:pStyle w:val="BodyText"/>
      </w:pPr>
      <w:r>
        <w:rPr>
          <w:b/>
          <w:bCs/>
        </w:rPr>
        <w:t xml:space="preserve">Verified result (v9)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β₁ (target)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t(target)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p(target)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β₂ (path)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t(path)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p(path)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Wald (β₁=β₂)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 = 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The target shock is significant at 5%, the path shock is not. This contradicts the strong version of the information channel. The Wald test cannot reject coefficient equality.</w:t>
      </w:r>
    </w:p>
    <w:bookmarkEnd w:id="41"/>
    <w:bookmarkStart w:id="42" w:name="h2-asset-return-response-to-shocks"/>
    <w:p>
      <w:pPr>
        <w:pStyle w:val="Heading3"/>
      </w:pPr>
      <w:r>
        <w:t>5.2 H2 (Equation 5): Asset Return Response to Shocks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Target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Path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Verified results (v9)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β₁ (target)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p(target)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β₂ (path)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p(path)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CRSP VW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CRSP 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0.146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Target shock negatively affects equity returns, significant for small-cap (p=0.013) but marginal for large-cap (p=0.073). Path shock insignificant for all assets.</w:t>
      </w:r>
    </w:p>
    <w:bookmarkEnd w:id="42"/>
    <w:bookmarkStart w:id="43" w:name="h3-information-channel-test"/>
    <w:p>
      <w:pPr>
        <w:pStyle w:val="Heading3"/>
      </w:pPr>
      <w:r>
        <w:t>5.3 H3 (Equation 7): Information Channel Test</w:t>
      </w:r>
    </w:p>
    <w:p>
      <w:pPr>
        <w:pStyle w:val="FirstParagraph"/>
      </w:pPr>
      <w:r>
        <w:t>The path shock does NOT have a significantly larger effect than the target shock. Wald test (Equation 6) p = 0.90. Evidence is suggestive but not conclusive.</w:t>
      </w:r>
    </w:p>
    <w:bookmarkEnd w:id="43"/>
    <w:bookmarkStart w:id="44" w:name="h4-forward-guidance-interaction"/>
    <w:p>
      <w:pPr>
        <w:pStyle w:val="Heading3"/>
      </w:pPr>
      <w:r>
        <w:t>5.4 H4 (Equation 7): Forward Guidance Interaction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Target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Path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β₄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p(β₄)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CRSP VW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−48.81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NASDAQ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0.041*</w:t>
            </w:r>
          </w:p>
        </w:tc>
      </w:tr>
    </w:tbl>
    <w:p>
      <w:pPr>
        <w:pStyle w:val="BodyText"/>
      </w:pPr>
      <w:r>
        <w:rPr>
          <w:i/>
          <w:iCs/>
        </w:rPr>
        <w:t xml:space="preserve">NASDAQ coefficient is economically implausible (202 bp), likely outlier-driven.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H4 is not robustly significant. CRSP VW shows no effect. NASDAQ is marginally significant but implausible.</w:t>
      </w:r>
    </w:p>
    <w:p>
      <w:pPr>
        <w:pStyle w:val="BodyText"/>
      </w:pPr>
      <w:r>
        <w:rPr>
          <w:b/>
          <w:bCs/>
        </w:rPr>
        <w:t xml:space="preserve">Key regime finding</w:t>
      </w:r>
      <w:r>
        <w:t xml:space="preserve">: When split by decision type, the rate cut regime shows path shock highly significant (p &lt; 0.001, R² = 43.1%) — the strongest result in the paper. The full-sample null masks this regime-dependent effect.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hike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cut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0.079</w:t>
            </w:r>
          </w:p>
        </w:tc>
      </w:tr>
    </w:tbl>
    <w:bookmarkEnd w:id="44"/>
    <w:bookmarkStart w:id="45" w:name="dual-equation-test-v9-new"/>
    <w:p>
      <w:pPr>
        <w:pStyle w:val="Heading3"/>
      </w:pPr>
      <w:r>
        <w:t xml:space="preserve">5.5 Dual-Equation Test (v9, new)</w:t>
      </w:r>
    </w:p>
    <w:p>
      <w:pPr>
        <w:pStyle w:val="FirstParagraph"/>
      </w:pPr>
      <w:r>
        <w:t xml:space="preserve">Testing the risk premium channel explanation for H4 null: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Dependent 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10Y Treasury chg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13W T-bill chg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VIX 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spread chg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</w:t>
      </w:r>
      <w:r>
        <w:t xml:space="preserve">: Risk premium channel not detectable at daily frequency. Consistent with Chen et al. (2025) finding that the channel operates at 30-minute frequency.</w:t>
      </w:r>
    </w:p>
    <w:bookmarkEnd w:id="45"/>
    <w:bookmarkStart w:id="46" w:name="statement-novelty-weighting-v9-new"/>
    <w:p>
      <w:pPr>
        <w:pStyle w:val="Heading3"/>
      </w:pPr>
      <w:r>
        <w:t xml:space="preserve">5.6 Statement Novelty Weighting (v9, new)</w:t>
      </w:r>
    </w:p>
    <w:p>
      <w:pPr>
        <w:pStyle w:val="FirstParagraph"/>
      </w:pPr>
      <w:r>
        <w:t xml:space="preserve">Novelty measured as Jaccard distance between consecutive statement word sets (not cosine distance on embeddings).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H1 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Unweighted 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Novelty-weighted WLS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+45%</w:t>
            </w:r>
          </w:p>
        </w:tc>
      </w:tr>
    </w:tbl>
    <w:p>
      <w:pPr>
        <w:pStyle w:val="BodyText"/>
      </w:pPr>
      <w:r>
        <w:t xml:space="preserve">Novelty measured as cosine distance between TF-IDF vectors of consecutive statements.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obustness-checks"/>
    <w:p>
      <w:pPr>
        <w:pStyle w:val="Heading2"/>
      </w:pPr>
      <w:r>
        <w:t xml:space="preserve">6. Robustness Checks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Target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 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sample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CB-only sentiment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COVID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change proxy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Kuttner-style (DFF)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NW lag=1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NW lag=6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HC 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 (Acosta+USMPD)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 FE (Yellen+Powell)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spread chg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Chair FE detail</w:t>
      </w:r>
      <w:r>
        <w:t xml:space="preserve">: Powell dummy significant (β=0.0067, p=0.023), Yellen dummy not significant (β=0.0004, p=0.552). Target shock becomes insignificant with chair FE, but remains significant for asset returns (CRSP VW: p=0.043).</w:t>
      </w:r>
    </w:p>
    <w:p>
      <w:r>
        <w:pict>
          <v:rect style="width:0;height:1.5pt" o:hralign="center" o:hrstd="t" o:hr="t"/>
        </w:pict>
      </w:r>
    </w:p>
    <w:bookmarkEnd w:id="48"/>
    <w:bookmarkStart w:id="53" w:name="literature-radar"/>
    <w:p>
      <w:pPr>
        <w:pStyle w:val="Heading2"/>
      </w:pPr>
      <w:r>
        <w:t xml:space="preserve">7. Literature Radar</w:t>
      </w:r>
    </w:p>
    <w:bookmarkStart w:id="49" w:name="architecture"/>
    <w:p>
      <w:pPr>
        <w:pStyle w:val="Heading3"/>
      </w:pPr>
      <w:r>
        <w:t xml:space="preserve">7.1 Architecture</w:t>
      </w:r>
    </w:p>
    <w:p>
      <w:pPr>
        <w:pStyle w:val="FirstParagraph"/>
      </w:pPr>
      <w:r>
        <w:rPr>
          <w:b/>
          <w:bCs/>
        </w:rPr>
        <w:t xml:space="preserve">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literature_radar.py</w:t>
      </w:r>
    </w:p>
    <w:p>
      <w:pPr>
        <w:pStyle w:val="BodyText"/>
      </w:pPr>
      <w:r>
        <w:t xml:space="preserve">Automated daily scan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SSRN</w:t>
      </w:r>
      <w:r>
        <w:t xml:space="preserve">: Financial economics preprints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arXiv q-fin</w:t>
      </w:r>
      <w:r>
        <w:t xml:space="preserve">: Quantitative finance + computational economics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BIS/IMF/Fed</w:t>
      </w:r>
      <w:r>
        <w:t xml:space="preserve">: Central bank working papers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journals</w:t>
      </w:r>
      <w:r>
        <w:t xml:space="preserve">: JME, JFE, AER, QJE</w:t>
      </w:r>
    </w:p>
    <w:bookmarkEnd w:id="49"/>
    <w:bookmarkStart w:id="50" w:name="scoring"/>
    <w:p>
      <w:pPr>
        <w:pStyle w:val="Heading3"/>
      </w:pPr>
      <w:r>
        <w:t xml:space="preserve">7.2 Scoring</w:t>
      </w:r>
    </w:p>
    <w:p>
      <w:pPr>
        <w:pStyle w:val="FirstParagraph"/>
      </w:pPr>
      <w:r>
        <w:t xml:space="preserve">Weighted keyword matching:</w:t>
      </w:r>
      <w:r>
        <w:t xml:space="preserve"> </w:t>
      </w:r>
      <w:r>
        <w:t xml:space="preserve">- Core terms (FOMC, monetary policy surprise, central bank communication): 3× weight</w:t>
      </w:r>
      <w:r>
        <w:t xml:space="preserve"> </w:t>
      </w:r>
      <w:r>
        <w:t xml:space="preserve">- Method terms (sentiment analysis, NLP, LLM, hawkish dovish): 2× weight</w:t>
      </w:r>
      <w:r>
        <w:t xml:space="preserve"> </w:t>
      </w:r>
      <w:r>
        <w:t xml:space="preserve">- Data terms (high-frequency, target path factor, Kuttner, GSS): 1.5× weight</w:t>
      </w:r>
      <w:r>
        <w:t xml:space="preserve"> </w:t>
      </w:r>
      <w:r>
        <w:t xml:space="preserve">- Extension terms (forward guidance, information shock, term premium): 1× weight</w:t>
      </w:r>
    </w:p>
    <w:p>
      <w:pPr>
        <w:pStyle w:val="BodyText"/>
      </w:pPr>
      <w:r>
        <w:t xml:space="preserve">Relevance score = (matched weight / total weight)^0.5, with working paper bonus (1.15×).</w:t>
      </w:r>
    </w:p>
    <w:bookmarkEnd w:id="50"/>
    <w:bookmarkStart w:id="51" w:name="current-database"/>
    <w:p>
      <w:pPr>
        <w:pStyle w:val="Heading3"/>
      </w:pPr>
      <w:r>
        <w:t xml:space="preserve">7.3 Current Database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(≥0.4)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(0.3-0.4)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in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(&lt;0.3)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Already cited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in digest</w:t>
            </w:r>
          </w:p>
        </w:tc>
      </w:tr>
    </w:tbl>
    <w:bookmarkEnd w:id="51"/>
    <w:bookmarkStart w:id="52" w:name="key-papers-discovered"/>
    <w:p>
      <w:pPr>
        <w:pStyle w:val="Heading3"/>
      </w:pPr>
      <w:r>
        <w:t xml:space="preserve">7.4 Key Papers Discovered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Chen, Granville &amp; Matousek (2025) — PLMIS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methodology_upgrade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Gambacorta et al. (2024) — CB-LMs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methodology_upgrade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IMF WP 2025/109 — Four-dimensional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directly_related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Yao &amp; Chai (2025) — Uncertainty-aware LLM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methodology_upgrade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Weinig (2025) — Narrative MP surprises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identification_strategy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 FEDS Notes (2024) — GPT for FOMC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directly_related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key-methodological-notes"/>
    <w:p>
      <w:pPr>
        <w:pStyle w:val="Heading2"/>
      </w:pPr>
      <w:r>
        <w:t xml:space="preserve">8. Key Methodological Notes</w:t>
      </w:r>
    </w:p>
    <w:bookmarkStart w:id="54" w:name="newey-west-lag-choice"/>
    <w:p>
      <w:pPr>
        <w:pStyle w:val="Heading3"/>
      </w:pPr>
      <w:r>
        <w:t xml:space="preserve">8.1 Newey-West Lag Choice</w:t>
      </w:r>
    </w:p>
    <w:p>
      <w:pPr>
        <w:pStyle w:val="FirstParagraph"/>
      </w:pPr>
      <w:r>
        <w:t xml:space="preserve">Data-driven formula: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4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100</m:t>
                </m:r>
              </m:e>
            </m:d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⌋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N = 117 (Newey and West, 1994).</w:t>
      </w:r>
    </w:p>
    <w:bookmarkEnd w:id="54"/>
    <w:bookmarkStart w:id="55" w:name="standard-errors"/>
    <w:p>
      <w:pPr>
        <w:pStyle w:val="Heading3"/>
      </w:pPr>
      <w:r>
        <w:t xml:space="preserve">8.2 Standard Errors</w:t>
      </w:r>
    </w:p>
    <w:p>
      <w:pPr>
        <w:pStyle w:val="FirstParagraph"/>
      </w:pPr>
      <w:r>
        <w:t xml:space="preserve">Current: Newey-West HAC(4). Planned: White (1980) HC for cross-sectional; Thompson (2011) double-clustered for panels.</w:t>
      </w:r>
    </w:p>
    <w:bookmarkEnd w:id="55"/>
    <w:bookmarkStart w:id="56" w:name="multiple-testing"/>
    <w:p>
      <w:pPr>
        <w:pStyle w:val="Heading3"/>
      </w:pPr>
      <w:r>
        <w:t xml:space="preserve">8.3 Multiple Testing</w:t>
      </w:r>
    </w:p>
    <w:p>
      <w:pPr>
        <w:pStyle w:val="FirstParagraph"/>
      </w:pPr>
      <w:r>
        <w:t xml:space="preserve">H2 tests 4+ assets. Bonferroni-corrected α* = 0.10/4 = 0.025. Only CRSP EW (p=0.013) and Gold (p=0.016) survive.</w:t>
      </w:r>
    </w:p>
    <w:bookmarkEnd w:id="56"/>
    <w:bookmarkStart w:id="57" w:name="endogeneity"/>
    <w:p>
      <w:pPr>
        <w:pStyle w:val="Heading3"/>
      </w:pPr>
      <w:r>
        <w:t xml:space="preserve">8.4 Endogeneity</w:t>
      </w:r>
    </w:p>
    <w:p>
      <w:pPr>
        <w:pStyle w:val="FirstParagraph"/>
      </w:pPr>
      <w:r>
        <w:t xml:space="preserve">OLS may suffer from reverse causality (unlikely for pre-written statements) and omitted variables (macro surprises coinciding with FOMC). IV strategy planned: lagged sentiment as instrument.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reproducibility"/>
    <w:p>
      <w:pPr>
        <w:pStyle w:val="Heading2"/>
      </w:pPr>
      <w:r>
        <w:t xml:space="preserve">9. Reproducibility</w:t>
      </w:r>
    </w:p>
    <w:bookmarkStart w:id="59" w:name="data-versioning"/>
    <w:p>
      <w:pPr>
        <w:pStyle w:val="Heading3"/>
      </w:pPr>
      <w:r>
        <w:t xml:space="preserve">9.1 Data Versioning</w:t>
      </w:r>
    </w:p>
    <w:p>
      <w:pPr>
        <w:pStyle w:val="Compact"/>
        <w:numPr>
          <w:ilvl w:val="0"/>
          <w:numId w:val="1005"/>
        </w:numPr>
      </w:pPr>
      <w:r>
        <w:t xml:space="preserve">FOMC meetings: Hard-coded in</w:t>
      </w:r>
      <w:r>
        <w:t xml:space="preserve"> </w:t>
      </w:r>
      <w:r>
        <w:rPr>
          <w:rStyle w:val="VerbatimChar"/>
        </w:rPr>
        <w:t xml:space="preserve">fomc_meetings.py</w:t>
      </w:r>
      <w:r>
        <w:t xml:space="preserve"> </w:t>
      </w:r>
      <w:r>
        <w:t xml:space="preserve">(164 observations)</w:t>
      </w:r>
    </w:p>
    <w:p>
      <w:pPr>
        <w:pStyle w:val="Compact"/>
        <w:numPr>
          <w:ilvl w:val="0"/>
          <w:numId w:val="1005"/>
        </w:numPr>
      </w:pPr>
      <w:r>
        <w:t xml:space="preserve">FOMC statements:</w:t>
      </w:r>
      <w:r>
        <w:t xml:space="preserve"> </w:t>
      </w:r>
      <w:r>
        <w:rPr>
          <w:rStyle w:val="VerbatimChar"/>
        </w:rPr>
        <w:t xml:space="preserve">mp-research-platform/data/fomc_statements_all.json</w:t>
      </w:r>
    </w:p>
    <w:p>
      <w:pPr>
        <w:pStyle w:val="Compact"/>
        <w:numPr>
          <w:ilvl w:val="0"/>
          <w:numId w:val="1005"/>
        </w:numPr>
      </w:pPr>
      <w:r>
        <w:t xml:space="preserve">FRED data: Cached with 6-hour TTL</w:t>
      </w:r>
    </w:p>
    <w:p>
      <w:pPr>
        <w:pStyle w:val="Compact"/>
        <w:numPr>
          <w:ilvl w:val="0"/>
          <w:numId w:val="1005"/>
        </w:numPr>
      </w:pPr>
      <w:r>
        <w:t xml:space="preserve">Acosta shocks:</w:t>
      </w:r>
      <w:r>
        <w:t xml:space="preserve"> </w:t>
      </w:r>
      <w:r>
        <w:rPr>
          <w:rStyle w:val="VerbatimChar"/>
        </w:rPr>
        <w:t xml:space="preserve">data/mp_shocks_acosta.xlsx</w:t>
      </w:r>
      <w:r>
        <w:t xml:space="preserve"> </w:t>
      </w:r>
      <w:r>
        <w:t xml:space="preserve">(220 observations)</w:t>
      </w:r>
    </w:p>
    <w:p>
      <w:pPr>
        <w:pStyle w:val="Compact"/>
        <w:numPr>
          <w:ilvl w:val="0"/>
          <w:numId w:val="1005"/>
        </w:numPr>
      </w:pPr>
      <w:r>
        <w:t xml:space="preserve">Analysis results:</w:t>
      </w:r>
      <w:r>
        <w:t xml:space="preserve"> </w:t>
      </w:r>
      <w:r>
        <w:rPr>
          <w:rStyle w:val="VerbatimChar"/>
        </w:rPr>
        <w:t xml:space="preserve">results/verified_results.json</w:t>
      </w:r>
      <w:r>
        <w:t xml:space="preserve"> </w:t>
      </w:r>
      <w:r>
        <w:t xml:space="preserve">(cross-validated)</w:t>
      </w:r>
    </w:p>
    <w:p>
      <w:pPr>
        <w:pStyle w:val="Compact"/>
        <w:numPr>
          <w:ilvl w:val="0"/>
          <w:numId w:val="1005"/>
        </w:numPr>
      </w:pPr>
      <w:r>
        <w:t xml:space="preserve">Enhanced analysis:</w:t>
      </w:r>
      <w:r>
        <w:t xml:space="preserve"> </w:t>
      </w:r>
      <w:r>
        <w:rPr>
          <w:rStyle w:val="VerbatimChar"/>
        </w:rPr>
        <w:t xml:space="preserve">results/enhanced_analysis_results.json</w:t>
      </w:r>
    </w:p>
    <w:bookmarkEnd w:id="59"/>
    <w:bookmarkStart w:id="60" w:name="dependencies"/>
    <w:p>
      <w:pPr>
        <w:pStyle w:val="Heading3"/>
      </w:pPr>
      <w:r>
        <w:t xml:space="preserve">9.2 Dependencies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pandas, 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scipy, statsmodels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price download (fallback)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 API, FOMC scraping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beautifulsoup4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reading (Acosta shocks)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fitz (PyMuPDF)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upgrade-roadmap"/>
    <w:p>
      <w:pPr>
        <w:pStyle w:val="Heading2"/>
      </w:pPr>
      <w:r>
        <w:t xml:space="preserve">10. Upgrade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38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CB-only 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R²: 1.57% → 3.90%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Novelty-weighted WLS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R²: 3.98% → 5.75%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CB-LM embeddings (Gambacorta et al. 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sentiment, reproducible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Uncertainty-aware classification (Yao &amp; Chai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Downweight ambiguous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JK sign-restriction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MP vs. information shocks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High-frequency data (30-min 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risk premium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narrative surprises (Weinig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Text-derived surprise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Topic-decomposed sentiment (Chen et al. 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Per-topic hawkish/dovish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Cross-country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ECB, BoJ, BoE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updated: 2026-05-29 (v9.9 — 18 robustness checks, rate cut regime in main text, chair FE, term spread)</w:t>
      </w:r>
      <w:r>
        <w:br/>
      </w:r>
      <w:r>
        <w:rPr>
          <w:i/>
          <w:iCs/>
        </w:rPr>
        <w:t xml:space="preserve">Contact: dechang64 (GitHub) / 冬生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2026-05-29T13:38:33Z</dcterms:created>
  <dcterms:modified xsi:type="dcterms:W3CDTF">2026-05-29T13:38:33Z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