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
          <w:szCs w:val="2"/>
        </w:rPr>
        <w:t xml:space="preserve"/>
      </w:r>
    </w:p>
    <w:p>
      <w:pPr>
        <w:spacing w:after="240" w:before="3600"/>
        <w:jc w:val="center"/>
      </w:pPr>
      <w:r>
        <w:rPr>
          <w:b/>
          <w:bCs/>
          <w:color w:val="FFFFFF"/>
          <w:sz w:val="44"/>
          <w:szCs w:val="44"/>
        </w:rPr>
        <w:t xml:space="preserve">Monetary Policy Announcements,</w:t>
      </w:r>
    </w:p>
    <w:p>
      <w:pPr>
        <w:spacing w:after="240" w:before="0"/>
        <w:jc w:val="center"/>
      </w:pPr>
      <w:r>
        <w:rPr>
          <w:b/>
          <w:bCs/>
          <w:color w:val="FFFFFF"/>
          <w:sz w:val="44"/>
          <w:szCs w:val="44"/>
        </w:rPr>
        <w:t xml:space="preserve">Asset Prices, and Portfolio Reallocation</w:t>
      </w:r>
    </w:p>
    <w:p>
      <w:pPr>
        <w:spacing w:after="600" w:before="200"/>
        <w:jc w:val="center"/>
      </w:pPr>
      <w:r>
        <w:rPr>
          <w:i/>
          <w:iCs/>
          <w:color w:val="C8D0DC"/>
          <w:sz w:val="26"/>
          <w:szCs w:val="26"/>
        </w:rPr>
        <w:t xml:space="preserve">The Incremental Information Content of FOMC Communication</w:t>
      </w:r>
    </w:p>
    <w:p>
      <w:pPr>
        <w:spacing w:after="2400" w:before="0"/>
        <w:jc w:val="center"/>
      </w:pPr>
      <w:r>
        <w:rPr>
          <w:b/>
          <w:bCs/>
          <w:color w:val="8B1A1A"/>
          <w:sz w:val="28"/>
          <w:szCs w:val="28"/>
        </w:rPr>
        <w:t xml:space="preserve">Research Proposal</w:t>
      </w:r>
    </w:p>
    <w:p>
      <w:pPr>
        <w:spacing w:after="120" w:before="0"/>
        <w:jc w:val="center"/>
      </w:pPr>
      <w:r>
        <w:rPr>
          <w:b/>
          <w:bCs/>
          <w:color w:val="FFFFFF"/>
          <w:sz w:val="24"/>
          <w:szCs w:val="24"/>
        </w:rPr>
        <w:t xml:space="preserve">Eileen Zhang</w:t>
      </w:r>
    </w:p>
    <w:p>
      <w:pPr>
        <w:spacing w:after="120" w:before="0"/>
        <w:jc w:val="center"/>
      </w:pPr>
      <w:r>
        <w:rPr>
          <w:color w:val="A0AAB8"/>
          <w:sz w:val="20"/>
          <w:szCs w:val="20"/>
        </w:rPr>
        <w:t xml:space="preserve">Department of Finance</w:t>
      </w:r>
    </w:p>
    <w:p>
      <w:pPr>
        <w:spacing w:after="400" w:before="0"/>
        <w:jc w:val="center"/>
      </w:pPr>
      <w:r>
        <w:rPr>
          <w:color w:val="A0AAB8"/>
          <w:sz w:val="20"/>
          <w:szCs w:val="20"/>
        </w:rPr>
        <w:t xml:space="preserve">Johnson Graduate School of Management</w:t>
      </w:r>
    </w:p>
    <w:p>
      <w:pPr>
        <w:spacing w:after="120" w:before="0"/>
        <w:jc w:val="center"/>
      </w:pPr>
      <w:r>
        <w:rPr>
          <w:b/>
          <w:bCs/>
          <w:color w:val="FFFFFF"/>
          <w:sz w:val="24"/>
          <w:szCs w:val="24"/>
        </w:rPr>
        <w:t xml:space="preserve">Dechang Xu</w:t>
      </w:r>
    </w:p>
    <w:p>
      <w:pPr>
        <w:spacing w:after="120" w:before="0"/>
        <w:jc w:val="center"/>
      </w:pPr>
      <w:r>
        <w:rPr>
          <w:color w:val="A0AAB8"/>
          <w:sz w:val="20"/>
          <w:szCs w:val="20"/>
        </w:rPr>
        <w:t xml:space="preserve">Academy of AI, Intelligent Science Department</w:t>
      </w:r>
    </w:p>
    <w:p>
      <w:pPr>
        <w:spacing w:after="400" w:before="0"/>
        <w:jc w:val="center"/>
      </w:pPr>
      <w:r>
        <w:rPr>
          <w:color w:val="A0AAB8"/>
          <w:sz w:val="20"/>
          <w:szCs w:val="20"/>
        </w:rPr>
        <w:t xml:space="preserve">Xi'an Jiaotong-Liverpool University (XJTLU)</w:t>
      </w:r>
    </w:p>
    <w:p>
      <w:pPr>
        <w:spacing w:after="0" w:before="1200"/>
        <w:jc w:val="center"/>
      </w:pPr>
      <w:r>
        <w:rPr>
          <w:color w:val="687880"/>
          <w:sz w:val="18"/>
          <w:szCs w:val="18"/>
        </w:rPr>
        <w:t xml:space="preserve">August 2026</w:t>
      </w:r>
    </w:p>
    <w:p>
      <w:pPr>
        <w:sectPr>
          <w:pgSz w:w="11906" w:h="16838" w:orient="portrait"/>
          <w:pgMar w:top="0" w:right="0" w:bottom="0" w:left="0" w:header="708" w:footer="708" w:gutter="0"/>
          <w:pgNumType/>
          <w:docGrid w:linePitch="360"/>
        </w:sectPr>
      </w:pPr>
    </w:p>
    <w:p>
      <w:pPr>
        <w:pStyle w:val="Heading1"/>
        <w:spacing w:after="200" w:before="480" w:line="312"/>
      </w:pPr>
      <w:bookmarkStart w:id="100000" w:name="_Toc100000"/>
      <w:r>
        <w:rPr>
          <w:b/>
          <w:bCs/>
          <w:color w:val="0B1F3A"/>
          <w:sz w:val="32"/>
          <w:szCs w:val="32"/>
        </w:rP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Background and Rationale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The 2022–2025 Stress Test for Monetary Policy Transmission</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The Information Content of Central Bank Communication</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Gaps in the Existing Literature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Significance</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2. Research Aim and Objectives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2.1 Overall Aim</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Specific Objectives</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3. Literature Review and Hypothesis Development</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3.1 Monetary Policy Surprises: From Kuttner to Bauer–Swanson</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3.2 The Two-Shocks Framework: Policy vs. Information</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3.3 NLP and Central Bank Communication</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3.4 Stock-Bond Correlation and Portfolio Reallocation</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3.5 Hypothesis Development</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H1: Sentiment-Surprise Relatedness</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H2: Incremental Explanatory Power</w:t>
            </w:r>
            <w:r>
              <w:tab/>
            </w:r>
            <w:r>
              <w:fldChar w:fldCharType="begin"/>
            </w:r>
            <w:r>
              <w:instrText xml:space="preserve"> PAGEREF _Toc100016 \h </w:instrText>
            </w:r>
            <w:r>
              <w:fldChar w:fldCharType="separate"/>
            </w:r>
            <w:r>
              <w:t>9</w:t>
            </w:r>
            <w:r>
              <w:fldChar w:fldCharType="end"/>
            </w:r>
          </w:hyperlink>
        </w:p>
        <w:p>
          <w:pPr>
            <w:pStyle w:val="12"/>
            <w:ind w:left="720"/>
            <w:tabs>
              <w:tab w:val="right" w:leader="dot" w:pos="9026"/>
            </w:tabs>
            <w:spacing w:before="120" w:after="60"/>
          </w:pPr>
          <w:hyperlink w:anchor="_Toc100017" w:history="1">
            <w:r>
              <w:rPr>
                <w:rStyle w:val="Hyperlink"/>
              </w:rPr>
              <w:t>H3: Information Shock Channel</w:t>
            </w:r>
            <w:r>
              <w:tab/>
            </w:r>
            <w:r>
              <w:fldChar w:fldCharType="begin"/>
            </w:r>
            <w:r>
              <w:instrText xml:space="preserve"> PAGEREF _Toc100017 \h </w:instrText>
            </w:r>
            <w:r>
              <w:fldChar w:fldCharType="separate"/>
            </w:r>
            <w:r>
              <w:t>9</w:t>
            </w:r>
            <w:r>
              <w:fldChar w:fldCharType="end"/>
            </w:r>
          </w:hyperlink>
        </w:p>
        <w:p>
          <w:pPr>
            <w:pStyle w:val="12"/>
            <w:ind w:left="720"/>
            <w:tabs>
              <w:tab w:val="right" w:leader="dot" w:pos="9026"/>
            </w:tabs>
            <w:spacing w:before="120" w:after="60"/>
          </w:pPr>
          <w:hyperlink w:anchor="_Toc100018" w:history="1">
            <w:r>
              <w:rPr>
                <w:rStyle w:val="Hyperlink"/>
              </w:rPr>
              <w:t>H4: Regime-Dependent Information Content</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4. Methodology</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4.1 Research Design</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4.2 Data</w:t>
            </w:r>
            <w:r>
              <w:tab/>
            </w:r>
            <w:r>
              <w:fldChar w:fldCharType="begin"/>
            </w:r>
            <w:r>
              <w:instrText xml:space="preserve"> PAGEREF _Toc100021 \h </w:instrText>
            </w:r>
            <w:r>
              <w:fldChar w:fldCharType="separate"/>
            </w:r>
            <w:r>
              <w:t>10</w:t>
            </w:r>
            <w:r>
              <w:fldChar w:fldCharType="end"/>
            </w:r>
          </w:hyperlink>
        </w:p>
        <w:p>
          <w:pPr>
            <w:pStyle w:val="12"/>
            <w:ind w:left="720"/>
            <w:tabs>
              <w:tab w:val="right" w:leader="dot" w:pos="9026"/>
            </w:tabs>
            <w:spacing w:before="120" w:after="60"/>
          </w:pPr>
          <w:hyperlink w:anchor="_Toc100022" w:history="1">
            <w:r>
              <w:rPr>
                <w:rStyle w:val="Hyperlink"/>
              </w:rPr>
              <w:t>4.2.1 Monetary Policy Surprises</w:t>
            </w:r>
            <w:r>
              <w:tab/>
            </w:r>
            <w:r>
              <w:fldChar w:fldCharType="begin"/>
            </w:r>
            <w:r>
              <w:instrText xml:space="preserve"> PAGEREF _Toc100022 \h </w:instrText>
            </w:r>
            <w:r>
              <w:fldChar w:fldCharType="separate"/>
            </w:r>
            <w:r>
              <w:t>10</w:t>
            </w:r>
            <w:r>
              <w:fldChar w:fldCharType="end"/>
            </w:r>
          </w:hyperlink>
        </w:p>
        <w:p>
          <w:pPr>
            <w:pStyle w:val="12"/>
            <w:ind w:left="720"/>
            <w:tabs>
              <w:tab w:val="right" w:leader="dot" w:pos="9026"/>
            </w:tabs>
            <w:spacing w:before="120" w:after="60"/>
          </w:pPr>
          <w:hyperlink w:anchor="_Toc100023" w:history="1">
            <w:r>
              <w:rPr>
                <w:rStyle w:val="Hyperlink"/>
              </w:rPr>
              <w:t>4.2.2 FOMC Communications</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4.2.3 Asset Price Data</w:t>
            </w:r>
            <w:r>
              <w:tab/>
            </w:r>
            <w:r>
              <w:fldChar w:fldCharType="begin"/>
            </w:r>
            <w:r>
              <w:instrText xml:space="preserve"> PAGEREF _Toc100024 \h </w:instrText>
            </w:r>
            <w:r>
              <w:fldChar w:fldCharType="separate"/>
            </w:r>
            <w:r>
              <w:t>11</w:t>
            </w:r>
            <w:r>
              <w:fldChar w:fldCharType="end"/>
            </w:r>
          </w:hyperlink>
        </w:p>
        <w:p>
          <w:pPr>
            <w:pStyle w:val="12"/>
            <w:ind w:left="720"/>
            <w:tabs>
              <w:tab w:val="right" w:leader="dot" w:pos="9026"/>
            </w:tabs>
            <w:spacing w:before="120" w:after="60"/>
          </w:pPr>
          <w:hyperlink w:anchor="_Toc100025" w:history="1">
            <w:r>
              <w:rPr>
                <w:rStyle w:val="Hyperlink"/>
              </w:rPr>
              <w:t>4.2.4 Sample Period and FOMC Meetings</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4.3 Variable Construction</w:t>
            </w:r>
            <w:r>
              <w:tab/>
            </w:r>
            <w:r>
              <w:fldChar w:fldCharType="begin"/>
            </w:r>
            <w:r>
              <w:instrText xml:space="preserve"> PAGEREF _Toc100026 \h </w:instrText>
            </w:r>
            <w:r>
              <w:fldChar w:fldCharType="separate"/>
            </w:r>
            <w:r>
              <w:t>12</w:t>
            </w:r>
            <w:r>
              <w:fldChar w:fldCharType="end"/>
            </w:r>
          </w:hyperlink>
        </w:p>
        <w:p>
          <w:pPr>
            <w:pStyle w:val="12"/>
            <w:ind w:left="720"/>
            <w:tabs>
              <w:tab w:val="right" w:leader="dot" w:pos="9026"/>
            </w:tabs>
            <w:spacing w:before="120" w:after="60"/>
          </w:pPr>
          <w:hyperlink w:anchor="_Toc100027" w:history="1">
            <w:r>
              <w:rPr>
                <w:rStyle w:val="Hyperlink"/>
              </w:rPr>
              <w:t>4.3.1 Monetary Policy Surprise (S_t)</w:t>
            </w:r>
            <w:r>
              <w:tab/>
            </w:r>
            <w:r>
              <w:fldChar w:fldCharType="begin"/>
            </w:r>
            <w:r>
              <w:instrText xml:space="preserve"> PAGEREF _Toc100027 \h </w:instrText>
            </w:r>
            <w:r>
              <w:fldChar w:fldCharType="separate"/>
            </w:r>
            <w:r>
              <w:t>12</w:t>
            </w:r>
            <w:r>
              <w:fldChar w:fldCharType="end"/>
            </w:r>
          </w:hyperlink>
        </w:p>
        <w:p>
          <w:pPr>
            <w:pStyle w:val="12"/>
            <w:ind w:left="720"/>
            <w:tabs>
              <w:tab w:val="right" w:leader="dot" w:pos="9026"/>
            </w:tabs>
            <w:spacing w:before="120" w:after="60"/>
          </w:pPr>
          <w:hyperlink w:anchor="_Toc100028" w:history="1">
            <w:r>
              <w:rPr>
                <w:rStyle w:val="Hyperlink"/>
              </w:rPr>
              <w:t>4.3.2 FOMC Sentiment Score (Sent_t)</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4.3.3 Two-Shocks Decomposition</w:t>
            </w:r>
            <w:r>
              <w:tab/>
            </w:r>
            <w:r>
              <w:fldChar w:fldCharType="begin"/>
            </w:r>
            <w:r>
              <w:instrText xml:space="preserve"> PAGEREF _Toc100029 \h </w:instrText>
            </w:r>
            <w:r>
              <w:fldChar w:fldCharType="separate"/>
            </w:r>
            <w:r>
              <w:t>13</w:t>
            </w:r>
            <w:r>
              <w:fldChar w:fldCharType="end"/>
            </w:r>
          </w:hyperlink>
        </w:p>
        <w:p>
          <w:pPr>
            <w:pStyle w:val="12"/>
            <w:ind w:left="720"/>
            <w:tabs>
              <w:tab w:val="right" w:leader="dot" w:pos="9026"/>
            </w:tabs>
            <w:spacing w:before="120" w:after="60"/>
          </w:pPr>
          <w:hyperlink w:anchor="_Toc100030" w:history="1">
            <w:r>
              <w:rPr>
                <w:rStyle w:val="Hyperlink"/>
              </w:rPr>
              <w:t>4.3.4 Asset Returns</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4.4 Econometric Specifications</w:t>
            </w:r>
            <w:r>
              <w:tab/>
            </w:r>
            <w:r>
              <w:fldChar w:fldCharType="begin"/>
            </w:r>
            <w:r>
              <w:instrText xml:space="preserve"> PAGEREF _Toc100031 \h </w:instrText>
            </w:r>
            <w:r>
              <w:fldChar w:fldCharType="separate"/>
            </w:r>
            <w:r>
              <w:t>14</w:t>
            </w:r>
            <w:r>
              <w:fldChar w:fldCharType="end"/>
            </w:r>
          </w:hyperlink>
        </w:p>
        <w:p>
          <w:pPr>
            <w:pStyle w:val="12"/>
            <w:ind w:left="720"/>
            <w:tabs>
              <w:tab w:val="right" w:leader="dot" w:pos="9026"/>
            </w:tabs>
            <w:spacing w:before="120" w:after="60"/>
          </w:pPr>
          <w:hyperlink w:anchor="_Toc100032" w:history="1">
            <w:r>
              <w:rPr>
                <w:rStyle w:val="Hyperlink"/>
              </w:rPr>
              <w:t>4.4.1 Model 1: Sentiment-Surprise Relatedness (H1)</w:t>
            </w:r>
            <w:r>
              <w:tab/>
            </w:r>
            <w:r>
              <w:fldChar w:fldCharType="begin"/>
            </w:r>
            <w:r>
              <w:instrText xml:space="preserve"> PAGEREF _Toc100032 \h </w:instrText>
            </w:r>
            <w:r>
              <w:fldChar w:fldCharType="separate"/>
            </w:r>
            <w:r>
              <w:t>14</w:t>
            </w:r>
            <w:r>
              <w:fldChar w:fldCharType="end"/>
            </w:r>
          </w:hyperlink>
        </w:p>
        <w:p>
          <w:pPr>
            <w:pStyle w:val="12"/>
            <w:ind w:left="720"/>
            <w:tabs>
              <w:tab w:val="right" w:leader="dot" w:pos="9026"/>
            </w:tabs>
            <w:spacing w:before="120" w:after="60"/>
          </w:pPr>
          <w:hyperlink w:anchor="_Toc100033" w:history="1">
            <w:r>
              <w:rPr>
                <w:rStyle w:val="Hyperlink"/>
              </w:rPr>
              <w:t>4.4.2 Model 2: Incremental Explanatory Power (H2)</w:t>
            </w:r>
            <w:r>
              <w:tab/>
            </w:r>
            <w:r>
              <w:fldChar w:fldCharType="begin"/>
            </w:r>
            <w:r>
              <w:instrText xml:space="preserve"> PAGEREF _Toc100033 \h </w:instrText>
            </w:r>
            <w:r>
              <w:fldChar w:fldCharType="separate"/>
            </w:r>
            <w:r>
              <w:t>14</w:t>
            </w:r>
            <w:r>
              <w:fldChar w:fldCharType="end"/>
            </w:r>
          </w:hyperlink>
        </w:p>
        <w:p>
          <w:pPr>
            <w:pStyle w:val="12"/>
            <w:ind w:left="720"/>
            <w:tabs>
              <w:tab w:val="right" w:leader="dot" w:pos="9026"/>
            </w:tabs>
            <w:spacing w:before="120" w:after="60"/>
          </w:pPr>
          <w:hyperlink w:anchor="_Toc100034" w:history="1">
            <w:r>
              <w:rPr>
                <w:rStyle w:val="Hyperlink"/>
              </w:rPr>
              <w:t>4.4.3 Model 3: Information Shock Channel (H3)</w:t>
            </w:r>
            <w:r>
              <w:tab/>
            </w:r>
            <w:r>
              <w:fldChar w:fldCharType="begin"/>
            </w:r>
            <w:r>
              <w:instrText xml:space="preserve"> PAGEREF _Toc100034 \h </w:instrText>
            </w:r>
            <w:r>
              <w:fldChar w:fldCharType="separate"/>
            </w:r>
            <w:r>
              <w:t>15</w:t>
            </w:r>
            <w:r>
              <w:fldChar w:fldCharType="end"/>
            </w:r>
          </w:hyperlink>
        </w:p>
        <w:p>
          <w:pPr>
            <w:pStyle w:val="12"/>
            <w:ind w:left="720"/>
            <w:tabs>
              <w:tab w:val="right" w:leader="dot" w:pos="9026"/>
            </w:tabs>
            <w:spacing w:before="120" w:after="60"/>
          </w:pPr>
          <w:hyperlink w:anchor="_Toc100035" w:history="1">
            <w:r>
              <w:rPr>
                <w:rStyle w:val="Hyperlink"/>
              </w:rPr>
              <w:t>4.4.4 Model 4: Regime-Dependent Effects (H4)</w:t>
            </w:r>
            <w:r>
              <w:tab/>
            </w:r>
            <w:r>
              <w:fldChar w:fldCharType="begin"/>
            </w:r>
            <w:r>
              <w:instrText xml:space="preserve"> PAGEREF _Toc100035 \h </w:instrText>
            </w:r>
            <w:r>
              <w:fldChar w:fldCharType="separate"/>
            </w:r>
            <w:r>
              <w:t>15</w:t>
            </w:r>
            <w:r>
              <w:fldChar w:fldCharType="end"/>
            </w:r>
          </w:hyperlink>
        </w:p>
        <w:p>
          <w:pPr>
            <w:pStyle w:val="11"/>
            <w:ind w:left="360"/>
            <w:tabs>
              <w:tab w:val="right" w:leader="dot" w:pos="9026"/>
            </w:tabs>
            <w:spacing w:before="120" w:after="60"/>
          </w:pPr>
          <w:hyperlink w:anchor="_Toc100036" w:history="1">
            <w:r>
              <w:rPr>
                <w:rStyle w:val="Hyperlink"/>
              </w:rPr>
              <w:t>4.5 Robustness Checks</w:t>
            </w:r>
            <w:r>
              <w:tab/>
            </w:r>
            <w:r>
              <w:fldChar w:fldCharType="begin"/>
            </w:r>
            <w:r>
              <w:instrText xml:space="preserve"> PAGEREF _Toc100036 \h </w:instrText>
            </w:r>
            <w:r>
              <w:fldChar w:fldCharType="separate"/>
            </w:r>
            <w:r>
              <w:t>15</w:t>
            </w:r>
            <w:r>
              <w:fldChar w:fldCharType="end"/>
            </w:r>
          </w:hyperlink>
        </w:p>
        <w:p>
          <w:pPr>
            <w:pStyle w:val="9"/>
            <w:tabs>
              <w:tab w:val="right" w:leader="dot" w:pos="9026"/>
            </w:tabs>
            <w:spacing w:before="120" w:after="60"/>
          </w:pPr>
          <w:hyperlink w:anchor="_Toc100037" w:history="1">
            <w:r>
              <w:rPr>
                <w:rStyle w:val="Hyperlink"/>
              </w:rPr>
              <w:t>5. Expected Findings and Contributions</w:t>
            </w:r>
            <w:r>
              <w:tab/>
            </w:r>
            <w:r>
              <w:fldChar w:fldCharType="begin"/>
            </w:r>
            <w:r>
              <w:instrText xml:space="preserve"> PAGEREF _Toc100037 \h </w:instrText>
            </w:r>
            <w:r>
              <w:fldChar w:fldCharType="separate"/>
            </w:r>
            <w:r>
              <w:t>16</w:t>
            </w:r>
            <w:r>
              <w:fldChar w:fldCharType="end"/>
            </w:r>
          </w:hyperlink>
        </w:p>
        <w:p>
          <w:pPr>
            <w:pStyle w:val="11"/>
            <w:ind w:left="360"/>
            <w:tabs>
              <w:tab w:val="right" w:leader="dot" w:pos="9026"/>
            </w:tabs>
            <w:spacing w:before="120" w:after="60"/>
          </w:pPr>
          <w:hyperlink w:anchor="_Toc100038" w:history="1">
            <w:r>
              <w:rPr>
                <w:rStyle w:val="Hyperlink"/>
              </w:rPr>
              <w:t>5.1 Expected Findings</w:t>
            </w:r>
            <w:r>
              <w:tab/>
            </w:r>
            <w:r>
              <w:fldChar w:fldCharType="begin"/>
            </w:r>
            <w:r>
              <w:instrText xml:space="preserve"> PAGEREF _Toc100038 \h </w:instrText>
            </w:r>
            <w:r>
              <w:fldChar w:fldCharType="separate"/>
            </w:r>
            <w:r>
              <w:t>16</w:t>
            </w:r>
            <w:r>
              <w:fldChar w:fldCharType="end"/>
            </w:r>
          </w:hyperlink>
        </w:p>
        <w:p>
          <w:pPr>
            <w:pStyle w:val="12"/>
            <w:ind w:left="720"/>
            <w:tabs>
              <w:tab w:val="right" w:leader="dot" w:pos="9026"/>
            </w:tabs>
            <w:spacing w:before="120" w:after="60"/>
          </w:pPr>
          <w:hyperlink w:anchor="_Toc100039" w:history="1">
            <w:r>
              <w:rPr>
                <w:rStyle w:val="Hyperlink"/>
              </w:rPr>
              <w:t>5.1.1 H1: Sentiment-Surprise Relatedness</w:t>
            </w:r>
            <w:r>
              <w:tab/>
            </w:r>
            <w:r>
              <w:fldChar w:fldCharType="begin"/>
            </w:r>
            <w:r>
              <w:instrText xml:space="preserve"> PAGEREF _Toc100039 \h </w:instrText>
            </w:r>
            <w:r>
              <w:fldChar w:fldCharType="separate"/>
            </w:r>
            <w:r>
              <w:t>16</w:t>
            </w:r>
            <w:r>
              <w:fldChar w:fldCharType="end"/>
            </w:r>
          </w:hyperlink>
        </w:p>
        <w:p>
          <w:pPr>
            <w:pStyle w:val="12"/>
            <w:ind w:left="720"/>
            <w:tabs>
              <w:tab w:val="right" w:leader="dot" w:pos="9026"/>
            </w:tabs>
            <w:spacing w:before="120" w:after="60"/>
          </w:pPr>
          <w:hyperlink w:anchor="_Toc100040" w:history="1">
            <w:r>
              <w:rPr>
                <w:rStyle w:val="Hyperlink"/>
              </w:rPr>
              <w:t>5.1.2 H2: Incremental Explanatory Power</w:t>
            </w:r>
            <w:r>
              <w:tab/>
            </w:r>
            <w:r>
              <w:fldChar w:fldCharType="begin"/>
            </w:r>
            <w:r>
              <w:instrText xml:space="preserve"> PAGEREF _Toc100040 \h </w:instrText>
            </w:r>
            <w:r>
              <w:fldChar w:fldCharType="separate"/>
            </w:r>
            <w:r>
              <w:t>16</w:t>
            </w:r>
            <w:r>
              <w:fldChar w:fldCharType="end"/>
            </w:r>
          </w:hyperlink>
        </w:p>
        <w:p>
          <w:pPr>
            <w:pStyle w:val="12"/>
            <w:ind w:left="720"/>
            <w:tabs>
              <w:tab w:val="right" w:leader="dot" w:pos="9026"/>
            </w:tabs>
            <w:spacing w:before="120" w:after="60"/>
          </w:pPr>
          <w:hyperlink w:anchor="_Toc100041" w:history="1">
            <w:r>
              <w:rPr>
                <w:rStyle w:val="Hyperlink"/>
              </w:rPr>
              <w:t>5.1.3 H3: Information Shock Channel</w:t>
            </w:r>
            <w:r>
              <w:tab/>
            </w:r>
            <w:r>
              <w:fldChar w:fldCharType="begin"/>
            </w:r>
            <w:r>
              <w:instrText xml:space="preserve"> PAGEREF _Toc100041 \h </w:instrText>
            </w:r>
            <w:r>
              <w:fldChar w:fldCharType="separate"/>
            </w:r>
            <w:r>
              <w:t>16</w:t>
            </w:r>
            <w:r>
              <w:fldChar w:fldCharType="end"/>
            </w:r>
          </w:hyperlink>
        </w:p>
        <w:p>
          <w:pPr>
            <w:pStyle w:val="12"/>
            <w:ind w:left="720"/>
            <w:tabs>
              <w:tab w:val="right" w:leader="dot" w:pos="9026"/>
            </w:tabs>
            <w:spacing w:before="120" w:after="60"/>
          </w:pPr>
          <w:hyperlink w:anchor="_Toc100042" w:history="1">
            <w:r>
              <w:rPr>
                <w:rStyle w:val="Hyperlink"/>
              </w:rPr>
              <w:t>5.1.4 H4: Regime-Dependent Effects</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5.2 Theoretical Contributions</w:t>
            </w:r>
            <w:r>
              <w:tab/>
            </w:r>
            <w:r>
              <w:fldChar w:fldCharType="begin"/>
            </w:r>
            <w:r>
              <w:instrText xml:space="preserve"> PAGEREF _Toc100043 \h </w:instrText>
            </w:r>
            <w:r>
              <w:fldChar w:fldCharType="separate"/>
            </w:r>
            <w:r>
              <w:t>17</w:t>
            </w:r>
            <w:r>
              <w:fldChar w:fldCharType="end"/>
            </w:r>
          </w:hyperlink>
        </w:p>
        <w:p>
          <w:pPr>
            <w:pStyle w:val="11"/>
            <w:ind w:left="360"/>
            <w:tabs>
              <w:tab w:val="right" w:leader="dot" w:pos="9026"/>
            </w:tabs>
            <w:spacing w:before="120" w:after="60"/>
          </w:pPr>
          <w:hyperlink w:anchor="_Toc100044" w:history="1">
            <w:r>
              <w:rPr>
                <w:rStyle w:val="Hyperlink"/>
              </w:rPr>
              <w:t>5.3 Empirical Contributions</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5.4 Policy Implications</w:t>
            </w:r>
            <w:r>
              <w:tab/>
            </w:r>
            <w:r>
              <w:fldChar w:fldCharType="begin"/>
            </w:r>
            <w:r>
              <w:instrText xml:space="preserve"> PAGEREF _Toc100045 \h </w:instrText>
            </w:r>
            <w:r>
              <w:fldChar w:fldCharType="separate"/>
            </w:r>
            <w:r>
              <w:t>18</w:t>
            </w:r>
            <w:r>
              <w:fldChar w:fldCharType="end"/>
            </w:r>
          </w:hyperlink>
        </w:p>
        <w:p>
          <w:pPr>
            <w:pStyle w:val="9"/>
            <w:tabs>
              <w:tab w:val="right" w:leader="dot" w:pos="9026"/>
            </w:tabs>
            <w:spacing w:before="120" w:after="60"/>
          </w:pPr>
          <w:hyperlink w:anchor="_Toc100046" w:history="1">
            <w:r>
              <w:rPr>
                <w:rStyle w:val="Hyperlink"/>
              </w:rPr>
              <w:t>6. Research Plan</w:t>
            </w:r>
            <w:r>
              <w:tab/>
            </w:r>
            <w:r>
              <w:fldChar w:fldCharType="begin"/>
            </w:r>
            <w:r>
              <w:instrText xml:space="preserve"> PAGEREF _Toc100046 \h </w:instrText>
            </w:r>
            <w:r>
              <w:fldChar w:fldCharType="separate"/>
            </w:r>
            <w:r>
              <w:t>18</w:t>
            </w:r>
            <w:r>
              <w:fldChar w:fldCharType="end"/>
            </w:r>
          </w:hyperlink>
        </w:p>
        <w:p>
          <w:pPr>
            <w:pStyle w:val="11"/>
            <w:ind w:left="360"/>
            <w:tabs>
              <w:tab w:val="right" w:leader="dot" w:pos="9026"/>
            </w:tabs>
            <w:spacing w:before="120" w:after="60"/>
          </w:pPr>
          <w:hyperlink w:anchor="_Toc100047" w:history="1">
            <w:r>
              <w:rPr>
                <w:rStyle w:val="Hyperlink"/>
              </w:rPr>
              <w:t>6.1 Timeline</w:t>
            </w:r>
            <w:r>
              <w:tab/>
            </w:r>
            <w:r>
              <w:fldChar w:fldCharType="begin"/>
            </w:r>
            <w:r>
              <w:instrText xml:space="preserve"> PAGEREF _Toc100047 \h </w:instrText>
            </w:r>
            <w:r>
              <w:fldChar w:fldCharType="separate"/>
            </w:r>
            <w:r>
              <w:t>19</w:t>
            </w:r>
            <w:r>
              <w:fldChar w:fldCharType="end"/>
            </w:r>
          </w:hyperlink>
        </w:p>
        <w:p>
          <w:pPr>
            <w:pStyle w:val="11"/>
            <w:ind w:left="360"/>
            <w:tabs>
              <w:tab w:val="right" w:leader="dot" w:pos="9026"/>
            </w:tabs>
            <w:spacing w:before="120" w:after="60"/>
          </w:pPr>
          <w:hyperlink w:anchor="_Toc100048" w:history="1">
            <w:r>
              <w:rPr>
                <w:rStyle w:val="Hyperlink"/>
              </w:rPr>
              <w:t>6.2 Phase 1: Data Infrastructure and Preliminary Tests (Months 1–2)</w:t>
            </w:r>
            <w:r>
              <w:tab/>
            </w:r>
            <w:r>
              <w:fldChar w:fldCharType="begin"/>
            </w:r>
            <w:r>
              <w:instrText xml:space="preserve"> PAGEREF _Toc100048 \h </w:instrText>
            </w:r>
            <w:r>
              <w:fldChar w:fldCharType="separate"/>
            </w:r>
            <w:r>
              <w:t>19</w:t>
            </w:r>
            <w:r>
              <w:fldChar w:fldCharType="end"/>
            </w:r>
          </w:hyperlink>
        </w:p>
        <w:p>
          <w:pPr>
            <w:pStyle w:val="12"/>
            <w:ind w:left="720"/>
            <w:tabs>
              <w:tab w:val="right" w:leader="dot" w:pos="9026"/>
            </w:tabs>
            <w:spacing w:before="120" w:after="60"/>
          </w:pPr>
          <w:hyperlink w:anchor="_Toc100049" w:history="1">
            <w:r>
              <w:rPr>
                <w:rStyle w:val="Hyperlink"/>
              </w:rPr>
              <w:t>6.2.1 Data Collection</w:t>
            </w:r>
            <w:r>
              <w:tab/>
            </w:r>
            <w:r>
              <w:fldChar w:fldCharType="begin"/>
            </w:r>
            <w:r>
              <w:instrText xml:space="preserve"> PAGEREF _Toc100049 \h </w:instrText>
            </w:r>
            <w:r>
              <w:fldChar w:fldCharType="separate"/>
            </w:r>
            <w:r>
              <w:t>19</w:t>
            </w:r>
            <w:r>
              <w:fldChar w:fldCharType="end"/>
            </w:r>
          </w:hyperlink>
        </w:p>
        <w:p>
          <w:pPr>
            <w:pStyle w:val="12"/>
            <w:ind w:left="720"/>
            <w:tabs>
              <w:tab w:val="right" w:leader="dot" w:pos="9026"/>
            </w:tabs>
            <w:spacing w:before="120" w:after="60"/>
          </w:pPr>
          <w:hyperlink w:anchor="_Toc100050" w:history="1">
            <w:r>
              <w:rPr>
                <w:rStyle w:val="Hyperlink"/>
              </w:rPr>
              <w:t>6.2.2 Variable Construction</w:t>
            </w:r>
            <w:r>
              <w:tab/>
            </w:r>
            <w:r>
              <w:fldChar w:fldCharType="begin"/>
            </w:r>
            <w:r>
              <w:instrText xml:space="preserve"> PAGEREF _Toc100050 \h </w:instrText>
            </w:r>
            <w:r>
              <w:fldChar w:fldCharType="separate"/>
            </w:r>
            <w:r>
              <w:t>20</w:t>
            </w:r>
            <w:r>
              <w:fldChar w:fldCharType="end"/>
            </w:r>
          </w:hyperlink>
        </w:p>
        <w:p>
          <w:pPr>
            <w:pStyle w:val="12"/>
            <w:ind w:left="720"/>
            <w:tabs>
              <w:tab w:val="right" w:leader="dot" w:pos="9026"/>
            </w:tabs>
            <w:spacing w:before="120" w:after="60"/>
          </w:pPr>
          <w:hyperlink w:anchor="_Toc100051" w:history="1">
            <w:r>
              <w:rPr>
                <w:rStyle w:val="Hyperlink"/>
              </w:rPr>
              <w:t>6.2.3 Preliminary Tests (H1–H2)</w:t>
            </w:r>
            <w:r>
              <w:tab/>
            </w:r>
            <w:r>
              <w:fldChar w:fldCharType="begin"/>
            </w:r>
            <w:r>
              <w:instrText xml:space="preserve"> PAGEREF _Toc100051 \h </w:instrText>
            </w:r>
            <w:r>
              <w:fldChar w:fldCharType="separate"/>
            </w:r>
            <w:r>
              <w:t>20</w:t>
            </w:r>
            <w:r>
              <w:fldChar w:fldCharType="end"/>
            </w:r>
          </w:hyperlink>
        </w:p>
        <w:p>
          <w:pPr>
            <w:pStyle w:val="11"/>
            <w:ind w:left="360"/>
            <w:tabs>
              <w:tab w:val="right" w:leader="dot" w:pos="9026"/>
            </w:tabs>
            <w:spacing w:before="120" w:after="60"/>
          </w:pPr>
          <w:hyperlink w:anchor="_Toc100052" w:history="1">
            <w:r>
              <w:rPr>
                <w:rStyle w:val="Hyperlink"/>
              </w:rPr>
              <w:t>6.3 Phase 2: Two-Shocks Decomposition (Months 3–4)</w:t>
            </w:r>
            <w:r>
              <w:tab/>
            </w:r>
            <w:r>
              <w:fldChar w:fldCharType="begin"/>
            </w:r>
            <w:r>
              <w:instrText xml:space="preserve"> PAGEREF _Toc100052 \h </w:instrText>
            </w:r>
            <w:r>
              <w:fldChar w:fldCharType="separate"/>
            </w:r>
            <w:r>
              <w:t>21</w:t>
            </w:r>
            <w:r>
              <w:fldChar w:fldCharType="end"/>
            </w:r>
          </w:hyperlink>
        </w:p>
        <w:p>
          <w:pPr>
            <w:pStyle w:val="11"/>
            <w:ind w:left="360"/>
            <w:tabs>
              <w:tab w:val="right" w:leader="dot" w:pos="9026"/>
            </w:tabs>
            <w:spacing w:before="120" w:after="60"/>
          </w:pPr>
          <w:hyperlink w:anchor="_Toc100053" w:history="1">
            <w:r>
              <w:rPr>
                <w:rStyle w:val="Hyperlink"/>
              </w:rPr>
              <w:t>6.4 Phase 3: Regime Analysis and Cross-Asset Effects (Months 5–6)</w:t>
            </w:r>
            <w:r>
              <w:tab/>
            </w:r>
            <w:r>
              <w:fldChar w:fldCharType="begin"/>
            </w:r>
            <w:r>
              <w:instrText xml:space="preserve"> PAGEREF _Toc100053 \h </w:instrText>
            </w:r>
            <w:r>
              <w:fldChar w:fldCharType="separate"/>
            </w:r>
            <w:r>
              <w:t>22</w:t>
            </w:r>
            <w:r>
              <w:fldChar w:fldCharType="end"/>
            </w:r>
          </w:hyperlink>
        </w:p>
        <w:p>
          <w:pPr>
            <w:pStyle w:val="11"/>
            <w:ind w:left="360"/>
            <w:tabs>
              <w:tab w:val="right" w:leader="dot" w:pos="9026"/>
            </w:tabs>
            <w:spacing w:before="120" w:after="60"/>
          </w:pPr>
          <w:hyperlink w:anchor="_Toc100054" w:history="1">
            <w:r>
              <w:rPr>
                <w:rStyle w:val="Hyperlink"/>
              </w:rPr>
              <w:t>6.5 Phase 4: Robustness and Writing (Months 7–8)</w:t>
            </w:r>
            <w:r>
              <w:tab/>
            </w:r>
            <w:r>
              <w:fldChar w:fldCharType="begin"/>
            </w:r>
            <w:r>
              <w:instrText xml:space="preserve"> PAGEREF _Toc100054 \h </w:instrText>
            </w:r>
            <w:r>
              <w:fldChar w:fldCharType="separate"/>
            </w:r>
            <w:r>
              <w:t>23</w:t>
            </w:r>
            <w:r>
              <w:fldChar w:fldCharType="end"/>
            </w:r>
          </w:hyperlink>
        </w:p>
        <w:p>
          <w:pPr>
            <w:pStyle w:val="11"/>
            <w:ind w:left="360"/>
            <w:tabs>
              <w:tab w:val="right" w:leader="dot" w:pos="9026"/>
            </w:tabs>
            <w:spacing w:before="120" w:after="60"/>
          </w:pPr>
          <w:hyperlink w:anchor="_Toc100055" w:history="1">
            <w:r>
              <w:rPr>
                <w:rStyle w:val="Hyperlink"/>
              </w:rPr>
              <w:t>6.6 Milestones and Risk Mitigation</w:t>
            </w:r>
            <w:r>
              <w:tab/>
            </w:r>
            <w:r>
              <w:fldChar w:fldCharType="begin"/>
            </w:r>
            <w:r>
              <w:instrText xml:space="preserve"> PAGEREF _Toc100055 \h </w:instrText>
            </w:r>
            <w:r>
              <w:fldChar w:fldCharType="separate"/>
            </w:r>
            <w:r>
              <w:t>23</w:t>
            </w:r>
            <w:r>
              <w:fldChar w:fldCharType="end"/>
            </w:r>
          </w:hyperlink>
        </w:p>
        <w:p>
          <w:pPr>
            <w:pStyle w:val="9"/>
            <w:tabs>
              <w:tab w:val="right" w:leader="dot" w:pos="9026"/>
            </w:tabs>
            <w:spacing w:before="120" w:after="60"/>
          </w:pPr>
          <w:hyperlink w:anchor="_Toc100056" w:history="1">
            <w:r>
              <w:rPr>
                <w:rStyle w:val="Hyperlink"/>
              </w:rPr>
              <w:t>7. References</w:t>
            </w:r>
            <w:r>
              <w:tab/>
            </w:r>
            <w:r>
              <w:fldChar w:fldCharType="begin"/>
            </w:r>
            <w:r>
              <w:instrText xml:space="preserve"> PAGEREF _Toc100056 \h </w:instrText>
            </w:r>
            <w:r>
              <w:fldChar w:fldCharType="separate"/>
            </w:r>
            <w:r>
              <w:t>24</w:t>
            </w:r>
            <w:r>
              <w:fldChar w:fldCharType="end"/>
            </w:r>
          </w:hyperlink>
        </w:p>
        <w:p>
          <w:r>
            <w:fldChar w:fldCharType="end"/>
          </w:r>
        </w:p>
      </w:sdtContent>
    </w:sdt>
    <w:p>
      <w:r>
        <w:br w:type="page"/>
      </w:r>
    </w:p>
    <w:p>
      <w:pPr>
        <w:pStyle w:val="Heading1"/>
        <w:spacing w:after="200" w:before="480" w:line="312"/>
      </w:pPr>
      <w:bookmarkStart w:id="100001" w:name="_Toc100001"/>
      <w:r>
        <w:rPr>
          <w:b/>
          <w:bCs/>
          <w:color w:val="0B1F3A"/>
          <w:sz w:val="32"/>
          <w:szCs w:val="32"/>
        </w:rPr>
        <w:t xml:space="preserve">1. Background and Rationale</w:t>
      </w:r>
      <w:bookmarkEnd w:id="100001"/>
    </w:p>
    <w:p>
      <w:pPr>
        <w:pStyle w:val="Heading2"/>
        <w:spacing w:after="160" w:before="360" w:line="312"/>
      </w:pPr>
      <w:bookmarkStart w:id="100002" w:name="_Toc100002"/>
      <w:r>
        <w:rPr>
          <w:b/>
          <w:bCs/>
          <w:color w:val="0B1F3A"/>
          <w:sz w:val="26"/>
          <w:szCs w:val="26"/>
        </w:rPr>
        <w:t xml:space="preserve">1.1 The 2022–2025 Stress Test for Monetary Policy Transmission</w:t>
      </w:r>
      <w:bookmarkEnd w:id="100002"/>
    </w:p>
    <w:p>
      <w:pPr>
        <w:spacing w:after="120" w:before="0" w:line="360"/>
        <w:jc w:val="both"/>
      </w:pPr>
      <w:r>
        <w:rPr>
          <w:b w:val="false"/>
          <w:bCs w:val="false"/>
          <w:i w:val="false"/>
          <w:iCs w:val="false"/>
          <w:color w:val="1A2B40"/>
          <w:sz w:val="22"/>
          <w:szCs w:val="22"/>
        </w:rPr>
        <w:t xml:space="preserve">The 2022–2025 Federal Reserve tightening cycle — the most aggressive in four decades — served as a real-time stress test for the monetary policy transmission framework developed over the preceding two decades. The federal funds target rate rose from the zero lower bound to 5.50% in eighteen months, generating simultaneous selloffs in equities and bonds that challenged the diversification premise of the traditional 60/40 portfolio. The negative stock-bond correlation that had underpinned portfolio construction since the late 1990s broke down abruptly: in 2022, the Bloomberg US Aggregate Bond Index returned −13.0% while the S&amp;P 500 returned −18.1%, the first simultaneous annual decline of this magnitude in nearly half a century (Campbell &amp; Pflueger, 2025).</w:t>
      </w:r>
    </w:p>
    <w:p>
      <w:pPr>
        <w:spacing w:after="120" w:before="0" w:line="360"/>
        <w:jc w:val="both"/>
      </w:pPr>
      <w:r>
        <w:rPr>
          <w:b w:val="false"/>
          <w:bCs w:val="false"/>
          <w:i w:val="false"/>
          <w:iCs w:val="false"/>
          <w:color w:val="1A2B40"/>
          <w:sz w:val="22"/>
          <w:szCs w:val="22"/>
        </w:rPr>
        <w:t xml:space="preserve">This episode exposed a fundamental gap in our understanding of how monetary policy transmits to financial markets. The classical framework, in which policy rate changes affect asset prices through the discount rate channel, cannot fully account for the observed cross-sectional and time-series variation in asset price responses to Federal Open Market Committee (FOMC) announcements. In particular, the “equity puzzle” — the empirical regularity that monetary tightening surprises are sometimes associated with rising rather than falling equity prices — remains only partially resolved by the two-shock decomposition of Jarociński and Karadi (2020).</w:t>
      </w:r>
    </w:p>
    <w:p>
      <w:pPr>
        <w:pStyle w:val="Heading2"/>
        <w:spacing w:after="160" w:before="360" w:line="312"/>
      </w:pPr>
      <w:bookmarkStart w:id="100003" w:name="_Toc100003"/>
      <w:r>
        <w:rPr>
          <w:b/>
          <w:bCs/>
          <w:color w:val="0B1F3A"/>
          <w:sz w:val="26"/>
          <w:szCs w:val="26"/>
        </w:rPr>
        <w:t xml:space="preserve">1.2 The Information Content of Central Bank Communication</w:t>
      </w:r>
      <w:bookmarkEnd w:id="100003"/>
    </w:p>
    <w:p>
      <w:pPr>
        <w:spacing w:after="120" w:before="0" w:line="360"/>
        <w:jc w:val="both"/>
      </w:pPr>
      <w:r>
        <w:rPr>
          <w:b w:val="false"/>
          <w:bCs w:val="false"/>
          <w:i w:val="false"/>
          <w:iCs w:val="false"/>
          <w:color w:val="1A2B40"/>
          <w:sz w:val="22"/>
          <w:szCs w:val="22"/>
        </w:rPr>
        <w:t xml:space="preserve">A growing body of evidence suggests that FOMC announcements convey information beyond the policy rate decision itself. The Federal Reserve's communication strategy has evolved significantly under Chairs Bernanke, Yellen, and Powell, with increasing reliance on forward guidance, press conferences, and the Summary of Economic Projections. This evolution implies that the language of FOMC statements — the hawkish or dovish tone, the assessment of economic risks, the guidance about the future path — may contain incremental information that financial markets process and act upon, above and beyond the mechanical surprise in the target rate.</w:t>
      </w:r>
    </w:p>
    <w:p>
      <w:pPr>
        <w:spacing w:after="120" w:before="0" w:line="360"/>
        <w:jc w:val="both"/>
      </w:pPr>
      <w:r>
        <w:rPr>
          <w:b w:val="false"/>
          <w:bCs w:val="false"/>
          <w:i w:val="false"/>
          <w:iCs w:val="false"/>
          <w:color w:val="1A2B40"/>
          <w:sz w:val="22"/>
          <w:szCs w:val="22"/>
        </w:rPr>
        <w:t xml:space="preserve">The challenge lies in measuring this information content rigorously. The literature has progressed from dictionary-based sentiment analysis (Loughran &amp; McDonald, 2011) to transformer-based models such as FinBERT (Araci, 2019), and most recently to large language model (LLM) approaches that can capture contextual nuances (Ahrens, 2025; Fernández-Fuertes, 2025). However, these advances have not been integrated with the high-frequency identification literature in a unified empirical framework that can jointly test: (i) whether sentiment contains information beyond the policy surprise, (ii) whether this information operates through the central bank information channel, and (iii) whether the information content varies across monetary policy regimes.</w:t>
      </w:r>
    </w:p>
    <w:p>
      <w:pPr>
        <w:pStyle w:val="Heading2"/>
        <w:spacing w:after="160" w:before="360" w:line="312"/>
      </w:pPr>
      <w:bookmarkStart w:id="100004" w:name="_Toc100004"/>
      <w:r>
        <w:rPr>
          <w:b/>
          <w:bCs/>
          <w:color w:val="0B1F3A"/>
          <w:sz w:val="26"/>
          <w:szCs w:val="26"/>
        </w:rPr>
        <w:t xml:space="preserve">1.3 Gaps in the Existing Literature</w:t>
      </w:r>
      <w:bookmarkEnd w:id="100004"/>
    </w:p>
    <w:p>
      <w:pPr>
        <w:spacing w:after="120" w:before="0" w:line="360"/>
        <w:jc w:val="both"/>
      </w:pPr>
      <w:r>
        <w:rPr>
          <w:b w:val="false"/>
          <w:bCs w:val="false"/>
          <w:i w:val="false"/>
          <w:iCs w:val="false"/>
          <w:color w:val="1A2B40"/>
          <w:sz w:val="22"/>
          <w:szCs w:val="22"/>
        </w:rPr>
        <w:t xml:space="preserve">Despite the richness of the theoretical and empirical literature, three gaps motivate this research. First, the measures of monetary policy surprises and FOMC sentiment have evolved in parallel but largely disconnected literatures. The high-frequency identification (HFI) literature (Kuttner, 2001; Gürkaynak, Sack, &amp; Swanson, 2005; Bauer &amp; Swanson, 2023) focuses on the surprise component of policy actions, while the NLP literature (Loughran &amp; McDonald, 2011; Araci, 2019; Ahrens, 2025) focuses on text-based sentiment. Few studies jointly test whether sentiment contains incremental information beyond the HFI surprise, and those that do typically employ a single sentiment measure without robustness across methods.</w:t>
      </w:r>
    </w:p>
    <w:p>
      <w:pPr>
        <w:spacing w:after="120" w:before="0" w:line="360"/>
        <w:jc w:val="both"/>
      </w:pPr>
      <w:r>
        <w:rPr>
          <w:b w:val="false"/>
          <w:bCs w:val="false"/>
          <w:i w:val="false"/>
          <w:iCs w:val="false"/>
          <w:color w:val="1A2B40"/>
          <w:sz w:val="22"/>
          <w:szCs w:val="22"/>
        </w:rPr>
        <w:t xml:space="preserve">Second, the two-shock framework of Jarociński and Karadi (2020) — separating a pure policy shock from a central bank information shock — has not been fully integrated with NLP-based communication analysis. If the information shock captures the Fed's revelation about economic fundamentals, then text-based sentiment should load more heavily on the information shock than on the policy shock. This prediction has not been rigorously tested with state-of-the-art NLP methods.</w:t>
      </w:r>
    </w:p>
    <w:p>
      <w:pPr>
        <w:spacing w:after="120" w:before="0" w:line="360"/>
        <w:jc w:val="both"/>
      </w:pPr>
      <w:r>
        <w:rPr>
          <w:b w:val="false"/>
          <w:bCs w:val="false"/>
          <w:i w:val="false"/>
          <w:iCs w:val="false"/>
          <w:color w:val="1A2B40"/>
          <w:sz w:val="22"/>
          <w:szCs w:val="22"/>
        </w:rPr>
        <w:t xml:space="preserve">Third, the 2022–2025 tightening cycle provides a unique natural experiment for testing whether the transmission of FOMC communication to asset prices has changed. The shift from the zero lower bound to conventional monetary policy, the breakdown of the stock-bond correlation, and the Fed's evolving communication about balance sheet reduction all create variation that can identify the information channel with greater power than earlier samples.</w:t>
      </w:r>
    </w:p>
    <w:p>
      <w:pPr>
        <w:pStyle w:val="Heading2"/>
        <w:spacing w:after="160" w:before="360" w:line="312"/>
      </w:pPr>
      <w:bookmarkStart w:id="100005" w:name="_Toc100005"/>
      <w:r>
        <w:rPr>
          <w:b/>
          <w:bCs/>
          <w:color w:val="0B1F3A"/>
          <w:sz w:val="26"/>
          <w:szCs w:val="26"/>
        </w:rPr>
        <w:t xml:space="preserve">1.4 Significance</w:t>
      </w:r>
      <w:bookmarkEnd w:id="100005"/>
    </w:p>
    <w:p>
      <w:pPr>
        <w:spacing w:after="120" w:before="0" w:line="360"/>
        <w:jc w:val="both"/>
      </w:pPr>
      <w:r>
        <w:rPr>
          <w:b w:val="false"/>
          <w:bCs w:val="false"/>
          <w:i w:val="false"/>
          <w:iCs w:val="false"/>
          <w:color w:val="1A2B40"/>
          <w:sz w:val="22"/>
          <w:szCs w:val="22"/>
        </w:rPr>
        <w:t xml:space="preserve">This research addresses these gaps by developing an integrated empirical framework that combines high-frequency surprise measurement, NLP-based sentiment extraction, and structural shock decomposition. The findings will contribute to our understanding of the monetary policy transmission mechanism, with implications for portfolio risk management, central bank communication design, and the measurement of monetary policy shocks. The research also provides a bridge between the macro-finance literature on monetary policy shocks and the emerging literature on NLP-based analysis of central bank communication.</w:t>
      </w:r>
    </w:p>
    <w:p>
      <w:pPr>
        <w:spacing w:after="100" w:before="0"/>
      </w:pPr>
    </w:p>
    <w:p>
      <w:pPr>
        <w:pStyle w:val="Heading1"/>
        <w:spacing w:after="200" w:before="480" w:line="312"/>
      </w:pPr>
      <w:bookmarkStart w:id="100006" w:name="_Toc100006"/>
      <w:r>
        <w:rPr>
          <w:b/>
          <w:bCs/>
          <w:color w:val="0B1F3A"/>
          <w:sz w:val="32"/>
          <w:szCs w:val="32"/>
        </w:rPr>
        <w:t xml:space="preserve">2. Research Aim and Objectives</w:t>
      </w:r>
      <w:bookmarkEnd w:id="100006"/>
    </w:p>
    <w:p>
      <w:pPr>
        <w:pStyle w:val="Heading2"/>
        <w:spacing w:after="160" w:before="360" w:line="312"/>
      </w:pPr>
      <w:bookmarkStart w:id="100007" w:name="_Toc100007"/>
      <w:r>
        <w:rPr>
          <w:b/>
          <w:bCs/>
          <w:color w:val="0B1F3A"/>
          <w:sz w:val="26"/>
          <w:szCs w:val="26"/>
        </w:rPr>
        <w:t xml:space="preserve">2.1 Overall Aim</w:t>
      </w:r>
      <w:bookmarkEnd w:id="100007"/>
    </w:p>
    <w:p>
      <w:pPr>
        <w:spacing w:after="120" w:before="0" w:line="360"/>
        <w:jc w:val="both"/>
      </w:pPr>
      <w:r>
        <w:rPr>
          <w:b w:val="false"/>
          <w:bCs w:val="false"/>
          <w:i w:val="false"/>
          <w:iCs w:val="false"/>
          <w:color w:val="1A2B40"/>
          <w:sz w:val="22"/>
          <w:szCs w:val="22"/>
        </w:rPr>
        <w:t xml:space="preserve">To empirically investigate the incremental information content of FOMC communication — beyond the policy rate decision itself — and its effects on asset prices and portfolio reallocation, using an integrated framework that combines high-frequency identification, NLP-based sentiment analysis, and structural shock decomposition.</w:t>
      </w:r>
    </w:p>
    <w:p>
      <w:pPr>
        <w:pStyle w:val="Heading2"/>
        <w:spacing w:after="160" w:before="360" w:line="312"/>
      </w:pPr>
      <w:bookmarkStart w:id="100008" w:name="_Toc100008"/>
      <w:r>
        <w:rPr>
          <w:b/>
          <w:bCs/>
          <w:color w:val="0B1F3A"/>
          <w:sz w:val="26"/>
          <w:szCs w:val="26"/>
        </w:rPr>
        <w:t xml:space="preserve">2.2 Specific Objectives</w:t>
      </w:r>
      <w:bookmarkEnd w:id="100008"/>
    </w:p>
    <w:p>
      <w:pPr>
        <w:spacing w:after="80" w:before="0" w:line="340"/>
        <w:ind w:left="360"/>
      </w:pPr>
      <w:r>
        <w:rPr>
          <w:b/>
          <w:bCs/>
          <w:color w:val="0B1F3A"/>
          <w:sz w:val="22"/>
          <w:szCs w:val="22"/>
        </w:rPr>
        <w:t xml:space="preserve">1. </w:t>
      </w:r>
      <w:r>
        <w:rPr>
          <w:color w:val="1A2B40"/>
          <w:sz w:val="22"/>
          <w:szCs w:val="22"/>
        </w:rPr>
        <w:t xml:space="preserve">Construct and validate a monetary policy surprise series covering FOMC meetings from 1994 to 2025, using the Bauer and Swanson (2023) methodology, and cross-validate it against the Jarociński and Karadi (2020) updated shock series and the original Kuttner (2001) measure.</w:t>
      </w:r>
    </w:p>
    <w:p>
      <w:pPr>
        <w:spacing w:after="80" w:before="0" w:line="340"/>
        <w:ind w:left="360"/>
      </w:pPr>
      <w:r>
        <w:rPr>
          <w:b/>
          <w:bCs/>
          <w:color w:val="0B1F3A"/>
          <w:sz w:val="22"/>
          <w:szCs w:val="22"/>
        </w:rPr>
        <w:t xml:space="preserve">2. </w:t>
      </w:r>
      <w:r>
        <w:rPr>
          <w:color w:val="1A2B40"/>
          <w:sz w:val="22"/>
          <w:szCs w:val="22"/>
        </w:rPr>
        <w:t xml:space="preserve">Develop an NLP-based FOMC sentiment measure that improves upon the Loughran and McDonald (2011) dictionary approach by incorporating FinBERT fine-tuned on FOMC text, and benchmark it against emerging LLM-based methods (Ahrens, 2025; Fernández-Fuertes, 2025).</w:t>
      </w:r>
    </w:p>
    <w:p>
      <w:pPr>
        <w:spacing w:after="80" w:before="0" w:line="340"/>
        <w:ind w:left="360"/>
      </w:pPr>
      <w:r>
        <w:rPr>
          <w:b/>
          <w:bCs/>
          <w:color w:val="0B1F3A"/>
          <w:sz w:val="22"/>
          <w:szCs w:val="22"/>
        </w:rPr>
        <w:t xml:space="preserve">3. </w:t>
      </w:r>
      <w:r>
        <w:rPr>
          <w:color w:val="1A2B40"/>
          <w:sz w:val="22"/>
          <w:szCs w:val="22"/>
        </w:rPr>
        <w:t xml:space="preserve">Test whether FOMC communication sentiment contains incremental information beyond the monetary policy surprise in explaining asset price movements across multiple asset classes (equities, Treasuries, corporate bonds, commodities, FX), with proper attention to standard error choice and multiple testing correction.</w:t>
      </w:r>
    </w:p>
    <w:p>
      <w:pPr>
        <w:spacing w:after="80" w:before="0" w:line="340"/>
        <w:ind w:left="360"/>
      </w:pPr>
      <w:r>
        <w:rPr>
          <w:b/>
          <w:bCs/>
          <w:color w:val="0B1F3A"/>
          <w:sz w:val="22"/>
          <w:szCs w:val="22"/>
        </w:rPr>
        <w:t xml:space="preserve">4. </w:t>
      </w:r>
      <w:r>
        <w:rPr>
          <w:color w:val="1A2B40"/>
          <w:sz w:val="22"/>
          <w:szCs w:val="22"/>
        </w:rPr>
        <w:t xml:space="preserve">Decompose the FOMC surprise into policy and information shocks following Jarociński and Karadi (2020), and test whether the information shock channel explains the equity puzzle and whether text-based sentiment loads more heavily on the information shock.</w:t>
      </w:r>
    </w:p>
    <w:p>
      <w:pPr>
        <w:spacing w:after="80" w:before="0" w:line="340"/>
        <w:ind w:left="360"/>
      </w:pPr>
      <w:r>
        <w:rPr>
          <w:b/>
          <w:bCs/>
          <w:color w:val="0B1F3A"/>
          <w:sz w:val="22"/>
          <w:szCs w:val="22"/>
        </w:rPr>
        <w:t xml:space="preserve">5. </w:t>
      </w:r>
      <w:r>
        <w:rPr>
          <w:color w:val="1A2B40"/>
          <w:sz w:val="22"/>
          <w:szCs w:val="22"/>
        </w:rPr>
        <w:t xml:space="preserve">Examine whether the information content of FOMC communication varies across monetary policy regimes — conventional, forward guidance, zero lower bound, and normalization — with particular attention to the 2022–2025 tightening cycle.</w:t>
      </w:r>
    </w:p>
    <w:p>
      <w:pPr>
        <w:spacing w:after="80" w:before="0" w:line="340"/>
        <w:ind w:left="360"/>
      </w:pPr>
      <w:r>
        <w:rPr>
          <w:b/>
          <w:bCs/>
          <w:color w:val="0B1F3A"/>
          <w:sz w:val="22"/>
          <w:szCs w:val="22"/>
        </w:rPr>
        <w:t xml:space="preserve">6. </w:t>
      </w:r>
      <w:r>
        <w:rPr>
          <w:color w:val="1A2B40"/>
          <w:sz w:val="22"/>
          <w:szCs w:val="22"/>
        </w:rPr>
        <w:t xml:space="preserve">Analyze portfolio rebalancing behavior around FOMC announcements, examining how cross-asset correlations change in the pre- and post-announcement windows and whether the stock-bond correlation regime affects the transmission of monetary policy to portfolio flows.</w:t>
      </w:r>
    </w:p>
    <w:p>
      <w:pPr>
        <w:spacing w:after="100" w:before="0"/>
      </w:pPr>
    </w:p>
    <w:p>
      <w:pPr>
        <w:pStyle w:val="Heading1"/>
        <w:spacing w:after="200" w:before="480" w:line="312"/>
      </w:pPr>
      <w:bookmarkStart w:id="100009" w:name="_Toc100009"/>
      <w:r>
        <w:rPr>
          <w:b/>
          <w:bCs/>
          <w:color w:val="0B1F3A"/>
          <w:sz w:val="32"/>
          <w:szCs w:val="32"/>
        </w:rPr>
        <w:t xml:space="preserve">3. Literature Review and Hypothesis Development</w:t>
      </w:r>
      <w:bookmarkEnd w:id="100009"/>
    </w:p>
    <w:p>
      <w:pPr>
        <w:pStyle w:val="Heading2"/>
        <w:spacing w:after="160" w:before="360" w:line="312"/>
      </w:pPr>
      <w:bookmarkStart w:id="100010" w:name="_Toc100010"/>
      <w:r>
        <w:rPr>
          <w:b/>
          <w:bCs/>
          <w:color w:val="0B1F3A"/>
          <w:sz w:val="26"/>
          <w:szCs w:val="26"/>
        </w:rPr>
        <w:t xml:space="preserve">3.1 Monetary Policy Surprises: From Kuttner to Bauer–Swanson</w:t>
      </w:r>
      <w:bookmarkEnd w:id="100010"/>
    </w:p>
    <w:p>
      <w:pPr>
        <w:spacing w:after="120" w:before="0" w:line="360"/>
        <w:jc w:val="both"/>
      </w:pPr>
      <w:r>
        <w:rPr>
          <w:b w:val="false"/>
          <w:bCs w:val="false"/>
          <w:i w:val="false"/>
          <w:iCs w:val="false"/>
          <w:color w:val="1A2B40"/>
          <w:sz w:val="22"/>
          <w:szCs w:val="22"/>
        </w:rPr>
        <w:t xml:space="preserve">The foundational insight of Kuttner (2001) was that the unexpected component of monetary policy actions — not the action itself — drives asset price movements. Kuttner measured this surprise as the change in the implied federal funds rate from fed funds futures prices in a narrow window around FOMC announcements. The key identifying assumption is that in a tight window (typically 30 minutes), only the surprise component of the announcement should move prices, thereby addressing the endogeneity problem that plagues lower-frequency analysis. The Kuttner surprise is computed as:</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838200"/>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(1)</w:t>
            </w:r>
          </w:p>
        </w:tc>
      </w:tr>
    </w:tbl>
    <w:p>
      <w:pPr>
        <w:spacing w:after="120" w:before="0" w:line="360"/>
        <w:jc w:val="both"/>
      </w:pPr>
      <w:r>
        <w:rPr>
          <w:b w:val="false"/>
          <w:bCs w:val="false"/>
          <w:i w:val="false"/>
          <w:iCs w:val="false"/>
          <w:color w:val="1A2B40"/>
          <w:sz w:val="22"/>
          <w:szCs w:val="22"/>
        </w:rPr>
        <w:t xml:space="preserve">where F_{t,T}^{FF} is the federal funds futures price on day t for contract expiring in month T, D is the number of days in month T, and t is the day of the month. The scaling factor D/(D−t) adjusts for the fact that the surprise is embedded in a futures contract that covers the remaining days of the month.</w:t>
      </w:r>
    </w:p>
    <w:p>
      <w:pPr>
        <w:spacing w:after="120" w:before="0" w:line="360"/>
        <w:jc w:val="both"/>
      </w:pPr>
      <w:r>
        <w:rPr>
          <w:b w:val="false"/>
          <w:bCs w:val="false"/>
          <w:i w:val="false"/>
          <w:iCs w:val="false"/>
          <w:color w:val="1A2B40"/>
          <w:sz w:val="22"/>
          <w:szCs w:val="22"/>
        </w:rPr>
        <w:t xml:space="preserve">Gürkaynak, Sack, and Swanson (2005) — hereafter GSS — extended this approach by showing that a single target factor is insufficient to capture the full effect of FOMC announcements. Using principal component analysis on changes in multiple interest rates around FOMC announcements, they identified two factors: the target factor (surprise in the current federal funds rate) and the path factor (surprise in the expected future path of policy). This two-factor structure has become the standard in the literature and underpins the San Francisco Fed's U.S. Monetary Policy Event-Study Database.</w:t>
      </w:r>
    </w:p>
    <w:p>
      <w:pPr>
        <w:spacing w:after="120" w:before="0" w:line="360"/>
        <w:jc w:val="both"/>
      </w:pPr>
      <w:r>
        <w:rPr>
          <w:b w:val="false"/>
          <w:bCs w:val="false"/>
          <w:i w:val="false"/>
          <w:iCs w:val="false"/>
          <w:color w:val="1A2B40"/>
          <w:sz w:val="22"/>
          <w:szCs w:val="22"/>
        </w:rPr>
        <w:t xml:space="preserve">Bauer and Swanson (2023) — cited over 830 times — reassessed the HFI literature and identified several important issues. They show that: (i) the choice of window length (30-minute vs. daily) materially affects the surprise measure; (ii) the standard assumption that high-frequency changes are uncorrelated with other macroeconomic news is often violated; and (iii) many empirical findings based on HFI are sensitive to these choices. Their revised methodology adjusts for these issues by orthogonalizing the surprise with respect to contemporaneous macroeconomic data surprises. The Bauer–Swanson monetary policy surprise (MPS) is constructed as the first principal component of high-frequency changes in a vector of interest rates:</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581025"/>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(2)</w:t>
            </w:r>
          </w:p>
        </w:tc>
      </w:tr>
    </w:tbl>
    <w:p>
      <w:pPr>
        <w:spacing w:after="120" w:before="0" w:line="360"/>
        <w:jc w:val="both"/>
      </w:pPr>
      <w:r>
        <w:rPr>
          <w:b w:val="false"/>
          <w:bCs w:val="false"/>
          <w:i w:val="false"/>
          <w:iCs w:val="false"/>
          <w:color w:val="1A2B40"/>
          <w:sz w:val="22"/>
          <w:szCs w:val="22"/>
        </w:rPr>
        <w:t xml:space="preserve">This PCA-based approach captures both the target and path factors in a single measure and is available as a public dataset from the San Francisco Fed, covering all FOMC announcements from 1988 to the present. Acosta (2025), in a comprehensive survey for the Federal Reserve, documents that these surprises have pronounced effects on breakeven inflation, credit spreads, and the term premium, and that these effects vary systematically across monetary policy regimes.</w:t>
      </w:r>
    </w:p>
    <w:p>
      <w:pPr>
        <w:pStyle w:val="Heading2"/>
        <w:spacing w:after="160" w:before="360" w:line="312"/>
      </w:pPr>
      <w:bookmarkStart w:id="100011" w:name="_Toc100011"/>
      <w:r>
        <w:rPr>
          <w:b/>
          <w:bCs/>
          <w:color w:val="0B1F3A"/>
          <w:sz w:val="26"/>
          <w:szCs w:val="26"/>
        </w:rPr>
        <w:t xml:space="preserve">3.2 The Two-Shocks Framework: Policy vs. Information</w:t>
      </w:r>
      <w:bookmarkEnd w:id="100011"/>
    </w:p>
    <w:p>
      <w:pPr>
        <w:spacing w:after="120" w:before="0" w:line="360"/>
        <w:jc w:val="both"/>
      </w:pPr>
      <w:r>
        <w:rPr>
          <w:b w:val="false"/>
          <w:bCs w:val="false"/>
          <w:i w:val="false"/>
          <w:iCs w:val="false"/>
          <w:color w:val="1A2B40"/>
          <w:sz w:val="22"/>
          <w:szCs w:val="22"/>
        </w:rPr>
        <w:t xml:space="preserve">Jarociński and Karadi (2020) — cited over 2,100 times — made a seminal contribution by showing that the standard monetary policy surprise conflates two distinct shocks: a pure policy shock (unexpected change in the policy stance) and a central bank information shock (revelation about the central bank's assessment of economic fundamentals). They identified these shocks using sign restrictions in a Bayesian structural VAR, with the key identifying assumptions summarized in the sign restriction matrix:</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009650"/>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(3)</w:t>
            </w:r>
          </w:p>
        </w:tc>
      </w:tr>
    </w:tbl>
    <w:p>
      <w:pPr>
        <w:spacing w:after="120" w:before="0" w:line="360"/>
        <w:jc w:val="both"/>
      </w:pPr>
      <w:r>
        <w:rPr>
          <w:b w:val="false"/>
          <w:bCs w:val="false"/>
          <w:i w:val="false"/>
          <w:iCs w:val="false"/>
          <w:color w:val="1A2B40"/>
          <w:sz w:val="22"/>
          <w:szCs w:val="22"/>
        </w:rPr>
        <w:t xml:space="preserve">The policy shock (ε^P) raises the federal funds rate and 10-year yield, lowers equity prices, and widens credit spreads — consistent with a standard tightening shock. The information shock (ε^I) raises both rates and equity prices while narrowing credit spreads — consistent with the Fed signaling positive economic news. The two-shocks framework resolves the equity puzzle: episodes where tightening surprises are associated with rising equity prices occur when the information component dominates the policy component.</w:t>
      </w:r>
    </w:p>
    <w:p>
      <w:pPr>
        <w:spacing w:after="120" w:before="0" w:line="360"/>
        <w:jc w:val="both"/>
      </w:pPr>
      <w:r>
        <w:rPr>
          <w:b w:val="false"/>
          <w:bCs w:val="false"/>
          <w:i w:val="false"/>
          <w:iCs w:val="false"/>
          <w:color w:val="1A2B40"/>
          <w:sz w:val="22"/>
          <w:szCs w:val="22"/>
        </w:rPr>
        <w:t xml:space="preserve">Jarociński (2024) has recently updated the shock series through January 2024, providing a continuous data source for this research. However, the information shock interpretation remains debated. Bauer and Swanson (2023) argue that what appears to be an information shock may instead reflect the Fed's response to macroeconomic data that was also observed by the private sector — a “Fed information effect” that is not truly a shock. Miranda-Agrippino and Ricco (2021) provide supportive evidence for the information effect using a different identification strategy, while Nakamura and Steinsson (2018) demonstrate monetary non-neutrality using high-frequency identification. This ongoing debate creates an opportunity for the proposed research to contribute new evidence, particularly by testing whether text-based sentiment loads more heavily on the information shock — a prediction that is unique to the information channel interpretation.</w:t>
      </w:r>
    </w:p>
    <w:p>
      <w:pPr>
        <w:spacing w:after="120" w:before="0" w:line="360"/>
        <w:jc w:val="both"/>
      </w:pPr>
      <w:r>
        <w:rPr>
          <w:b w:val="false"/>
          <w:bCs w:val="false"/>
          <w:i w:val="false"/>
          <w:iCs w:val="false"/>
          <w:color w:val="1A2B40"/>
          <w:sz w:val="22"/>
          <w:szCs w:val="22"/>
        </w:rPr>
        <w:t>This information-shock interpretation has deeper roots. Romer and Romer (2000) documented that interest-rate movements around FOMC decisions reflect the Federal Reserve’s private information about the economy, and Nakamura and Steinsson (2018) formalized the resulting information effect in a structural framework. The present proposal builds on this tradition by asking whether statement language — the textual expression of the same communication — carries measurable information content of its own.</w:t>
      </w:r>
    </w:p>
    <w:p>
      <w:pPr>
        <w:pStyle w:val="Heading2"/>
        <w:spacing w:after="160" w:before="360" w:line="312"/>
      </w:pPr>
      <w:bookmarkStart w:id="100012" w:name="_Toc100012"/>
      <w:r>
        <w:rPr>
          <w:b/>
          <w:bCs/>
          <w:color w:val="0B1F3A"/>
          <w:sz w:val="26"/>
          <w:szCs w:val="26"/>
        </w:rPr>
        <w:t xml:space="preserve">3.3 NLP and Central Bank Communication</w:t>
      </w:r>
      <w:bookmarkEnd w:id="100012"/>
    </w:p>
    <w:p>
      <w:pPr>
        <w:spacing w:after="120" w:before="0" w:line="360"/>
        <w:jc w:val="both"/>
      </w:pPr>
      <w:r>
        <w:rPr>
          <w:b w:val="false"/>
          <w:bCs w:val="false"/>
          <w:i w:val="false"/>
          <w:iCs w:val="false"/>
          <w:color w:val="1A2B40"/>
          <w:sz w:val="22"/>
          <w:szCs w:val="22"/>
        </w:rPr>
        <w:t xml:space="preserve">The application of NLP to central bank communication has evolved through three generations. The first generation used dictionary-based approaches, with Loughran and McDonald (2011) providing the standard financial sentiment dictionary. This approach is fast and interpretable but has limited ability to capture context-specific meanings — for example, “strong growth” is hawkish in an inflationary context but dovish in a recessionary one. Romer and Romer (2004) took a complementary approach, using narrative methods to construct a time series of monetary policy shocks based on reading Federal Reserve documents.</w:t>
      </w:r>
    </w:p>
    <w:p>
      <w:pPr>
        <w:spacing w:after="120" w:before="0" w:line="360"/>
        <w:jc w:val="both"/>
      </w:pPr>
      <w:r>
        <w:rPr>
          <w:b w:val="false"/>
          <w:bCs w:val="false"/>
          <w:i w:val="false"/>
          <w:iCs w:val="false"/>
          <w:color w:val="1A2B40"/>
          <w:sz w:val="22"/>
          <w:szCs w:val="22"/>
        </w:rPr>
        <w:t xml:space="preserve">The second generation uses transformer-based models, particularly FinBERT (Araci, 2019), which is BERT fine-tuned on financial text. FinBERT significantly improves sentiment classification accuracy over dictionary methods, but its application to FOMC text requires careful adaptation because FOMC statements use specialized central banking language (e.g., “measured pace,” “considerable period”) that differs from the financial news and earnings calls on which FinBERT was trained. The hybrid approach combining the LM dictionary with a central bank-specific hawkish/dovish dictionary constructs a sentiment score as:</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838200"/>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(4)</w:t>
            </w:r>
          </w:p>
        </w:tc>
      </w:tr>
    </w:tbl>
    <w:p>
      <w:pPr>
        <w:spacing w:after="120" w:before="0" w:line="360"/>
        <w:jc w:val="both"/>
      </w:pPr>
      <w:r>
        <w:rPr>
          <w:b w:val="false"/>
          <w:bCs w:val="false"/>
          <w:i w:val="false"/>
          <w:iCs w:val="false"/>
          <w:color w:val="1A2B40"/>
          <w:sz w:val="22"/>
          <w:szCs w:val="22"/>
        </w:rPr>
        <w:t xml:space="preserve">where N⁻ and N⁺ are counts of negative and positive LM words, H and D are counts of hawkish and dovish central bank terms, and N^{total} is the total word count. Higher values indicate more hawkish language.</w:t>
      </w:r>
    </w:p>
    <w:p>
      <w:pPr>
        <w:spacing w:after="120" w:before="0" w:line="360"/>
        <w:jc w:val="both"/>
      </w:pPr>
      <w:r>
        <w:rPr>
          <w:b w:val="false"/>
          <w:bCs w:val="false"/>
          <w:i w:val="false"/>
          <w:iCs w:val="false"/>
          <w:color w:val="1A2B40"/>
          <w:sz w:val="22"/>
          <w:szCs w:val="22"/>
        </w:rPr>
        <w:t xml:space="preserve">The third generation, emerging in 2024–2025, uses large language models for deeper semantic analysis. Ahrens (2025) introduces a multimodal NLP method that analyzes both the text and the delivery (tone, pace) of central bank speeches. Fernández-Fuertes (2025) develops a multi-agent LLM framework that processes Federal Reserve communications to construct narrative monetary policy surprises. These approaches represent the frontier of the field, and this research will implement and compare them against traditional methods. The key empirical question is whether more sophisticated NLP methods yield sentiment measures that have greater incremental explanatory power for asset returns — a question that has not been systematically tested.</w:t>
      </w:r>
    </w:p>
    <w:p>
      <w:pPr>
        <w:pStyle w:val="Heading2"/>
        <w:spacing w:after="160" w:before="360" w:line="312"/>
      </w:pPr>
      <w:bookmarkStart w:id="100013" w:name="_Toc100013"/>
      <w:r>
        <w:rPr>
          <w:b/>
          <w:bCs/>
          <w:color w:val="0B1F3A"/>
          <w:sz w:val="26"/>
          <w:szCs w:val="26"/>
        </w:rPr>
        <w:t xml:space="preserve">3.4 Stock-Bond Correlation and Portfolio Reallocation</w:t>
      </w:r>
      <w:bookmarkEnd w:id="100013"/>
    </w:p>
    <w:p>
      <w:pPr>
        <w:spacing w:after="120" w:before="0" w:line="360"/>
        <w:jc w:val="both"/>
      </w:pPr>
      <w:r>
        <w:rPr>
          <w:b w:val="false"/>
          <w:bCs w:val="false"/>
          <w:i w:val="false"/>
          <w:iCs w:val="false"/>
          <w:color w:val="1A2B40"/>
          <w:sz w:val="22"/>
          <w:szCs w:val="22"/>
        </w:rPr>
        <w:t xml:space="preserve">The stock-bond correlation is a central determinant of portfolio diversification benefits. Campbell, Pflueger, and Viceira (2020) and Campbell and Pflueger (2025) develop a structural model showing that the correlation regime depends on the monetary policy reaction function and the nature of economic shocks. Under a Taylor rule where the central bank responds aggressively to inflation, supply shocks (which move inflation and output in opposite directions) generate negative stock-bond correlation, while demand shocks (which move them in the same direction) generate positive correlation. The shift from negative to positive correlation in 2022 is consistent with a regime where demand shocks (the inflation surge) dominated and the Fed's reaction function became more aggressive.</w:t>
      </w:r>
    </w:p>
    <w:p>
      <w:pPr>
        <w:spacing w:after="120" w:before="0" w:line="360"/>
        <w:jc w:val="both"/>
      </w:pPr>
      <w:r>
        <w:rPr>
          <w:b w:val="false"/>
          <w:bCs w:val="false"/>
          <w:i w:val="false"/>
          <w:iCs w:val="false"/>
          <w:color w:val="1A2B40"/>
          <w:sz w:val="22"/>
          <w:szCs w:val="22"/>
        </w:rPr>
        <w:t xml:space="preserve">The preferred-habitat theory of Vayanos and Vila (2009) provides the theoretical foundation for understanding how monetary policy affects the term structure and, through it, portfolio rebalancing. When the Fed changes interest rates, investors with preferred habitats along the maturity spectrum must rebalance, generating demand pressure that propagates across asset classes. Ray (2019) shows that mutual fund flows amplify this channel, as investors chase returns in response to policy-induced price changes. Hau (2021) and Lou (2023) provide further evidence on the portfolio rebalancing channel, showing that it is particularly important for understanding the cross-sectional effects of monetary policy on risk premiums.</w:t>
      </w:r>
    </w:p>
    <w:p>
      <w:pPr>
        <w:spacing w:after="120" w:before="0" w:line="360"/>
        <w:jc w:val="both"/>
      </w:pPr>
      <w:r>
        <w:rPr>
          <w:b w:val="false"/>
          <w:bCs w:val="false"/>
          <w:i w:val="false"/>
          <w:iCs w:val="false"/>
          <w:color w:val="1A2B40"/>
          <w:sz w:val="22"/>
          <w:szCs w:val="22"/>
        </w:rPr>
        <w:t>Two further strands complete this background. First, the risk-taking channel of monetary policy (Adrian and Shin, 2010; Borio and Zhu, 2012) implies that policy surprises shift investors’ risk appetite and, with it, the allocation of portfolios along the risk spectrum — the premise behind systematic reallocation down or up the risk ladder. Second, a flow-based literature documents that mutual funds are central to this transmission: Ray (2019), Hau (2021), and Lou (2023) show that monetary policy moves fund flows; Koijen and Yogo (2019) provide a demand-system framework in which flows reflect investors’ price-elastic asset demands; and Froot, O’Connell, and Seasholes (2001) establish that investors trade together on common information. Connecting these strands to the two-shocks decomposition is a key novelty of this proposal: shocks with different asset-pricing signatures should generate different reallocation patterns.</w:t>
      </w:r>
    </w:p>
    <w:p>
      <w:pPr>
        <w:pStyle w:val="Heading2"/>
        <w:spacing w:after="160" w:before="360" w:line="312"/>
      </w:pPr>
      <w:bookmarkStart w:id="100014" w:name="_Toc100014"/>
      <w:r>
        <w:rPr>
          <w:b/>
          <w:bCs/>
          <w:color w:val="0B1F3A"/>
          <w:sz w:val="26"/>
          <w:szCs w:val="26"/>
        </w:rPr>
        <w:t xml:space="preserve">3.5 Hypothesis Development</w:t>
      </w:r>
      <w:bookmarkEnd w:id="100014"/>
    </w:p>
    <w:p>
      <w:pPr>
        <w:spacing w:after="120" w:before="0" w:line="360"/>
        <w:jc w:val="both"/>
      </w:pPr>
      <w:r>
        <w:rPr>
          <w:b w:val="false"/>
          <w:bCs w:val="false"/>
          <w:i w:val="false"/>
          <w:iCs w:val="false"/>
          <w:color w:val="1A2B40"/>
          <w:sz w:val="22"/>
          <w:szCs w:val="22"/>
        </w:rPr>
        <w:t xml:space="preserve">Building on the literature reviewed above, this research tests four hypotheses. Each hypothesis is grounded in a specific theoretical mechanism and has a clear empirical implication that can be tested with the proposed methodology.</w:t>
      </w:r>
    </w:p>
    <w:p>
      <w:pPr>
        <w:pStyle w:val="Heading3"/>
        <w:spacing w:after="120" w:before="240" w:line="312"/>
      </w:pPr>
      <w:bookmarkStart w:id="100015" w:name="_Toc100015"/>
      <w:r>
        <w:rPr>
          <w:b/>
          <w:bCs/>
          <w:color w:val="8B1A1A"/>
          <w:sz w:val="22"/>
          <w:szCs w:val="22"/>
        </w:rPr>
        <w:t xml:space="preserve">H1: Sentiment-Surprise Relatedness</w:t>
      </w:r>
      <w:bookmarkEnd w:id="100015"/>
    </w:p>
    <w:p>
      <w:pPr>
        <w:spacing w:after="120" w:before="0" w:line="360"/>
        <w:jc w:val="both"/>
      </w:pPr>
      <w:r>
        <w:rPr>
          <w:b w:val="false"/>
          <w:bCs w:val="false"/>
          <w:i w:val="false"/>
          <w:iCs w:val="false"/>
          <w:color w:val="1A2B40"/>
          <w:sz w:val="22"/>
          <w:szCs w:val="22"/>
        </w:rPr>
        <w:t xml:space="preserve">If FOMC statement language conveys information beyond the rate decision, then text-based sentiment should be correlated with but not identical to the monetary policy surprise. The Kuttner/Bauer-Swanson surprise captures the unexpected component of the policy action, while sentiment captures the Committee's assessment of economic conditions, risk balance, and the implied future path. These are related — a hawkish surprise is likely accompanied by hawkish language — but not identical, because language can signal concern about inflation without an accompanying rate change, or vice versa.</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838200"/>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(5)</w:t>
            </w:r>
          </w:p>
        </w:tc>
      </w:tr>
    </w:tbl>
    <w:p>
      <w:pPr>
        <w:spacing w:after="120" w:before="0" w:line="360"/>
        <w:jc w:val="both"/>
      </w:pPr>
      <w:r>
        <w:rPr>
          <w:b w:val="false"/>
          <w:bCs w:val="false"/>
          <w:i w:val="false"/>
          <w:iCs w:val="false"/>
          <w:color w:val="1A2B40"/>
          <w:sz w:val="22"/>
          <w:szCs w:val="22"/>
        </w:rPr>
        <w:t xml:space="preserve">H1 predicts 0 &lt; β &lt; 1. Rejection of β = 0 would suggest that language is uninformative beyond the action; rejection of β = 1 would suggest language conveys incremental information. This hypothesis extends the premise of GSS (2005) that the path factor contains information beyond the target factor, by testing whether text-based sentiment captures a similar but distinct dimension of information.</w:t>
      </w:r>
    </w:p>
    <w:p>
      <w:pPr>
        <w:pStyle w:val="Heading3"/>
        <w:spacing w:after="120" w:before="240" w:line="312"/>
      </w:pPr>
      <w:bookmarkStart w:id="100016" w:name="_Toc100016"/>
      <w:r>
        <w:rPr>
          <w:b/>
          <w:bCs/>
          <w:color w:val="8B1A1A"/>
          <w:sz w:val="22"/>
          <w:szCs w:val="22"/>
        </w:rPr>
        <w:t xml:space="preserve">H2: Incremental Explanatory Power</w:t>
      </w:r>
      <w:bookmarkEnd w:id="100016"/>
    </w:p>
    <w:p>
      <w:pPr>
        <w:spacing w:after="120" w:before="0" w:line="360"/>
        <w:jc w:val="both"/>
      </w:pPr>
      <w:r>
        <w:rPr>
          <w:b w:val="false"/>
          <w:bCs w:val="false"/>
          <w:i w:val="false"/>
          <w:iCs w:val="false"/>
          <w:color w:val="1A2B40"/>
          <w:sz w:val="22"/>
          <w:szCs w:val="22"/>
        </w:rPr>
        <w:t xml:space="preserve">If FOMC sentiment contains information beyond the policy surprise, then controlling for the surprise, sentiment should have significant explanatory power for asset returns. The effect should be strongest for assets most sensitive to the path of policy and the economic outlook — long-term Treasuries and equities — and weakest for short-term instruments that primarily reflect the target rate.</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838200"/>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(6)</w:t>
            </w:r>
          </w:p>
        </w:tc>
      </w:tr>
    </w:tbl>
    <w:p>
      <w:pPr>
        <w:spacing w:after="120" w:before="0" w:line="360"/>
        <w:jc w:val="both"/>
      </w:pPr>
      <w:r>
        <w:rPr>
          <w:b w:val="false"/>
          <w:bCs w:val="false"/>
          <w:i w:val="false"/>
          <w:iCs w:val="false"/>
          <w:color w:val="1A2B40"/>
          <w:sz w:val="22"/>
          <w:szCs w:val="22"/>
        </w:rPr>
        <w:t xml:space="preserve">H2 predicts β₂ ≠ 0 with the correct sign: hawkish sentiment is associated with negative equity returns and positive Treasury yield changes. The incremental R² from adding sentiment to a regression that already includes the surprise is:</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609600"/>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(7)</w:t>
            </w:r>
          </w:p>
        </w:tc>
      </w:tr>
    </w:tbl>
    <w:p>
      <w:pPr>
        <w:spacing w:after="120" w:before="0" w:line="360"/>
        <w:jc w:val="both"/>
      </w:pPr>
      <w:r>
        <w:rPr>
          <w:b w:val="false"/>
          <w:bCs w:val="false"/>
          <w:i w:val="false"/>
          <w:iCs w:val="false"/>
          <w:color w:val="1A2B40"/>
          <w:sz w:val="22"/>
          <w:szCs w:val="22"/>
        </w:rPr>
        <w:t xml:space="preserve">This test extends the incremental information content approach of GSS (2005) to the text-based sentiment channel. The key methodological concern is multiple testing: because we test multiple asset classes simultaneously, we apply the Bonferroni correction, setting the effective significance level at α* = 0.05/N, where N is the number of assets tested.</w:t>
      </w:r>
    </w:p>
    <w:p>
      <w:pPr>
        <w:pStyle w:val="Heading3"/>
        <w:spacing w:after="120" w:before="240" w:line="312"/>
      </w:pPr>
      <w:bookmarkStart w:id="100017" w:name="_Toc100017"/>
      <w:r>
        <w:rPr>
          <w:b/>
          <w:bCs/>
          <w:color w:val="8B1A1A"/>
          <w:sz w:val="22"/>
          <w:szCs w:val="22"/>
        </w:rPr>
        <w:t xml:space="preserve">H3: Information Shock Channel</w:t>
      </w:r>
      <w:bookmarkEnd w:id="100017"/>
    </w:p>
    <w:p>
      <w:pPr>
        <w:spacing w:after="120" w:before="0" w:line="360"/>
        <w:jc w:val="both"/>
      </w:pPr>
      <w:r>
        <w:rPr>
          <w:b w:val="false"/>
          <w:bCs w:val="false"/>
          <w:i w:val="false"/>
          <w:iCs w:val="false"/>
          <w:color w:val="1A2B40"/>
          <w:sz w:val="22"/>
          <w:szCs w:val="22"/>
        </w:rPr>
        <w:t xml:space="preserve">If the information shock captures the Fed's revelation about economic fundamentals, and if text-based sentiment measures the Committee's assessment of those fundamentals, then sentiment should load more heavily on the information shock than on the policy shock. This is the unique prediction of the information channel interpretation, as distinguished from the alternative interpretation of Bauer and Swanson (2023) that the “information shock” is merely a Fed response to public data.</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838200"/>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(8)</w:t>
            </w:r>
          </w:p>
        </w:tc>
      </w:tr>
    </w:tbl>
    <w:p>
      <w:pPr>
        <w:spacing w:after="120" w:before="0" w:line="360"/>
        <w:jc w:val="both"/>
      </w:pPr>
      <w:r>
        <w:rPr>
          <w:b w:val="false"/>
          <w:bCs w:val="false"/>
          <w:i w:val="false"/>
          <w:iCs w:val="false"/>
          <w:color w:val="1A2B40"/>
          <w:sz w:val="22"/>
          <w:szCs w:val="22"/>
        </w:rPr>
        <w:t xml:space="preserve">H3 predicts |γ₂| &gt; |γ₁|, which would support the information channel and help resolve the equity puzzle. If sentiment — which reflects the language the Committee uses to describe the economy — is more closely tied to the information shock, this provides evidence that the information shock genuinely reflects central bank communication about fundamentals rather than being a mechanical response to public data.</w:t>
      </w:r>
    </w:p>
    <w:p>
      <w:pPr>
        <w:pStyle w:val="Heading3"/>
        <w:spacing w:after="120" w:before="240" w:line="312"/>
      </w:pPr>
      <w:bookmarkStart w:id="100018" w:name="_Toc100018"/>
      <w:r>
        <w:rPr>
          <w:b/>
          <w:bCs/>
          <w:color w:val="8B1A1A"/>
          <w:sz w:val="22"/>
          <w:szCs w:val="22"/>
        </w:rPr>
        <w:t xml:space="preserve">H4: Regime-Dependent Information Content</w:t>
      </w:r>
      <w:bookmarkEnd w:id="100018"/>
    </w:p>
    <w:p>
      <w:pPr>
        <w:spacing w:after="120" w:before="0" w:line="360"/>
        <w:jc w:val="both"/>
      </w:pPr>
      <w:r>
        <w:rPr>
          <w:b w:val="false"/>
          <w:bCs w:val="false"/>
          <w:i w:val="false"/>
          <w:iCs w:val="false"/>
          <w:color w:val="1A2B40"/>
          <w:sz w:val="22"/>
          <w:szCs w:val="22"/>
        </w:rPr>
        <w:t xml:space="preserve">The information content of FOMC communication may vary across monetary policy regimes. During the forward guidance period (2008–2015), when the policy rate was at the zero lower bound, communication became the primary tool through which the Fed influenced expectations. Swanson (2021) shows that forward guidance had substantial effects on asset prices, often exceeding the effects of quantitative easing. This suggests that the predictive power of sentiment for asset returns should be stronger during the forward guidance period.</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685800"/>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(9)</w:t>
            </w:r>
          </w:p>
        </w:tc>
      </w:tr>
    </w:tbl>
    <w:p>
      <w:pPr>
        <w:spacing w:after="120" w:before="0" w:line="360"/>
        <w:jc w:val="both"/>
      </w:pPr>
      <w:r>
        <w:rPr>
          <w:b w:val="false"/>
          <w:bCs w:val="false"/>
          <w:i w:val="false"/>
          <w:iCs w:val="false"/>
          <w:color w:val="1A2B40"/>
          <w:sz w:val="22"/>
          <w:szCs w:val="22"/>
        </w:rPr>
        <w:t xml:space="preserve">H4 predicts β₃ ≠ 0: the interaction between sentiment and the forward guidance dummy captures the additional effect of sentiment during the ZLB period. For equities, we expect β₃ &lt; 0 (stronger negative effect of hawkish sentiment during forward guidance), reflecting that communication was the primary channel of policy transmission when the rate was at the zero lower bound. This hypothesis is motivated by the work of Campbell et al. (2017) on forward guidance effectiveness and the observation that the Fed's communication strategy became increasingly central to policy transmission during this period.</w:t>
      </w:r>
    </w:p>
    <w:p>
      <w:pPr>
        <w:spacing w:after="100" w:before="0"/>
      </w:pPr>
    </w:p>
    <w:p>
      <w:pPr>
        <w:spacing w:after="120" w:before="0" w:line="360"/>
        <w:jc w:val="both"/>
      </w:pPr>
      <w:r>
        <w:rPr>
          <w:b w:val="false"/>
          <w:bCs w:val="false"/>
          <w:i w:val="false"/>
          <w:iCs w:val="false"/>
          <w:color w:val="1A2B40"/>
          <w:sz w:val="22"/>
          <w:szCs w:val="22"/>
        </w:rPr>
        <w:t>The theoretical case for regime dependence is well established: when the policy rate is constrained by the zero lower bound, conventional tools are unavailable and communication becomes the marginal instrument, so the information content of each statement mechanically rises (Eggertsson and Woodford, 2003).</w:t>
      </w:r>
    </w:p>
    <w:p>
      <w:pPr>
        <w:pStyle w:val="Heading1"/>
        <w:spacing w:after="200" w:before="480" w:line="312"/>
      </w:pPr>
      <w:bookmarkStart w:id="100019" w:name="_Toc100019"/>
      <w:r>
        <w:rPr>
          <w:b/>
          <w:bCs/>
          <w:color w:val="0B1F3A"/>
          <w:sz w:val="32"/>
          <w:szCs w:val="32"/>
        </w:rPr>
        <w:t xml:space="preserve">4. Methodology</w:t>
      </w:r>
      <w:bookmarkEnd w:id="100019"/>
    </w:p>
    <w:p>
      <w:pPr>
        <w:pStyle w:val="Heading2"/>
        <w:spacing w:after="160" w:before="360" w:line="312"/>
      </w:pPr>
      <w:bookmarkStart w:id="100020" w:name="_Toc100020"/>
      <w:r>
        <w:rPr>
          <w:b/>
          <w:bCs/>
          <w:color w:val="0B1F3A"/>
          <w:sz w:val="26"/>
          <w:szCs w:val="26"/>
        </w:rPr>
        <w:t xml:space="preserve">4.1 Research Design</w:t>
      </w:r>
      <w:bookmarkEnd w:id="100020"/>
    </w:p>
    <w:p>
      <w:pPr>
        <w:spacing w:after="120" w:before="0" w:line="360"/>
        <w:jc w:val="both"/>
      </w:pPr>
      <w:r>
        <w:rPr>
          <w:b w:val="false"/>
          <w:bCs w:val="false"/>
          <w:i w:val="false"/>
          <w:iCs w:val="false"/>
          <w:color w:val="1A2B40"/>
          <w:sz w:val="22"/>
          <w:szCs w:val="22"/>
        </w:rPr>
        <w:t xml:space="preserve">This research employs a quantitative event-study design augmented by NLP-based sentiment analysis and structural shock decomposition. The identification strategy exploits the high-frequency movement of asset prices in a narrow window around FOMC announcements, combined with the structural sign restrictions of Jarociński and Karadi (2020) to separate policy and information shocks. The research proceeds in four phases, each building on the previous one.</w:t>
      </w:r>
    </w:p>
    <w:p>
      <w:pPr>
        <w:pStyle w:val="Heading2"/>
        <w:spacing w:after="160" w:before="360" w:line="312"/>
      </w:pPr>
      <w:bookmarkStart w:id="100021" w:name="_Toc100021"/>
      <w:r>
        <w:rPr>
          <w:b/>
          <w:bCs/>
          <w:color w:val="0B1F3A"/>
          <w:sz w:val="26"/>
          <w:szCs w:val="26"/>
        </w:rPr>
        <w:t xml:space="preserve">4.2 Data</w:t>
      </w:r>
      <w:bookmarkEnd w:id="100021"/>
    </w:p>
    <w:p>
      <w:pPr>
        <w:pStyle w:val="Heading3"/>
        <w:spacing w:after="120" w:before="240" w:line="312"/>
      </w:pPr>
      <w:bookmarkStart w:id="100022" w:name="_Toc100022"/>
      <w:r>
        <w:rPr>
          <w:b/>
          <w:bCs/>
          <w:color w:val="8B1A1A"/>
          <w:sz w:val="22"/>
          <w:szCs w:val="22"/>
        </w:rPr>
        <w:t xml:space="preserve">4.2.1 Monetary Policy Surprises</w:t>
      </w:r>
      <w:bookmarkEnd w:id="100022"/>
    </w:p>
    <w:p>
      <w:pPr>
        <w:spacing w:after="120" w:before="0" w:line="360"/>
        <w:jc w:val="both"/>
      </w:pPr>
      <w:r>
        <w:rPr>
          <w:b w:val="false"/>
          <w:bCs w:val="false"/>
          <w:i w:val="false"/>
          <w:iCs w:val="false"/>
          <w:color w:val="1A2B40"/>
          <w:sz w:val="22"/>
          <w:szCs w:val="22"/>
        </w:rPr>
        <w:t xml:space="preserve">The primary surprise measure is the Bauer and Swanson (2023) monetary policy surprise (MPS), computed as the first principal component of high-frequency changes in interest rates in a 30-minute window around each FOMC announcement. This measure, available from the San Francisco Fed's website, covers all FOMC announcements from 1988 to the present and is updated quarterly. The original Kuttner (2001) surprise and the GSS (2005) target and path factors are used for robustness. The Jarociński and Karadi (2020) updated shock series (through January 2024) provides the two-shocks decomposition.</w:t>
      </w:r>
    </w:p>
    <w:p>
      <w:pPr>
        <w:pStyle w:val="Heading3"/>
        <w:spacing w:after="120" w:before="240" w:line="312"/>
      </w:pPr>
      <w:bookmarkStart w:id="100023" w:name="_Toc100023"/>
      <w:r>
        <w:rPr>
          <w:b/>
          <w:bCs/>
          <w:color w:val="8B1A1A"/>
          <w:sz w:val="22"/>
          <w:szCs w:val="22"/>
        </w:rPr>
        <w:t xml:space="preserve">4.2.2 FOMC Communications</w:t>
      </w:r>
      <w:bookmarkEnd w:id="100023"/>
    </w:p>
    <w:p>
      <w:pPr>
        <w:spacing w:after="120" w:before="0" w:line="360"/>
        <w:jc w:val="both"/>
      </w:pPr>
      <w:r>
        <w:rPr>
          <w:b w:val="false"/>
          <w:bCs w:val="false"/>
          <w:i w:val="false"/>
          <w:iCs w:val="false"/>
          <w:color w:val="1A2B40"/>
          <w:sz w:val="22"/>
          <w:szCs w:val="22"/>
        </w:rPr>
        <w:t xml:space="preserve">FOMC statements are collected from the Federal Reserve website (federalreserve.gov), covering 164 statements from January 2006 to the present. The collection uses the URL pattern https://www.federalreserve.gov/newsevents/pressreleases/monetaryYYYYMMDDa.htm, with content extracted from the div#article element. In addition to statements, the research incorporates FOMC minutes (released three weeks after each meeting), press conference transcripts (available since April 2011), and the Summary of Economic Projections (four times per year). These additional communications provide richer text for NLP analysis and allow testing whether the information content varies by communication type.</w:t>
      </w:r>
    </w:p>
    <w:p>
      <w:pPr>
        <w:pStyle w:val="Heading3"/>
        <w:spacing w:after="120" w:before="240" w:line="312"/>
      </w:pPr>
      <w:bookmarkStart w:id="100024" w:name="_Toc100024"/>
      <w:r>
        <w:rPr>
          <w:b/>
          <w:bCs/>
          <w:color w:val="8B1A1A"/>
          <w:sz w:val="22"/>
          <w:szCs w:val="22"/>
        </w:rPr>
        <w:t xml:space="preserve">4.2.3 Asset Price Data</w:t>
      </w:r>
      <w:bookmarkEnd w:id="100024"/>
    </w:p>
    <w:p>
      <w:pPr>
        <w:spacing w:after="120" w:before="0" w:line="360"/>
        <w:jc w:val="both"/>
      </w:pPr>
      <w:r>
        <w:rPr>
          <w:b w:val="false"/>
          <w:bCs w:val="false"/>
          <w:i w:val="false"/>
          <w:iCs w:val="false"/>
          <w:color w:val="1A2B40"/>
          <w:sz w:val="22"/>
          <w:szCs w:val="22"/>
        </w:rPr>
        <w:t xml:space="preserve">Asset returns are computed from daily price data obtained from multiple sources:</w:t>
      </w:r>
    </w:p>
    <w:p>
      <w:pPr>
        <w:pStyle w:val="ListParagraph"/>
        <w:numPr>
          <w:ilvl w:val="0"/>
          <w:numId w:val="1"/>
        </w:numPr>
        <w:spacing w:after="80" w:before="0" w:line="340"/>
        <w:ind w:left="360"/>
      </w:pPr>
      <w:r>
        <w:rPr>
          <w:color w:val="1A2B40"/>
          <w:sz w:val="22"/>
          <w:szCs w:val="22"/>
        </w:rPr>
        <w:t xml:space="preserve">FRED API (Federal Reserve Economic Data): DFF (federal funds rate), DGS2/DGS10/DGS30 (Treasury yields), T10YIE (breakeven inflation), BAA/AAA (corporate bond yields), DEXUSEU/DEXUSUK (exchange rates)</w:t>
      </w:r>
    </w:p>
    <w:p>
      <w:pPr>
        <w:pStyle w:val="ListParagraph"/>
        <w:numPr>
          <w:ilvl w:val="0"/>
          <w:numId w:val="1"/>
        </w:numPr>
        <w:spacing w:after="80" w:before="0" w:line="340"/>
        <w:ind w:left="360"/>
      </w:pPr>
      <w:r>
        <w:rPr>
          <w:color w:val="1A2B40"/>
          <w:sz w:val="22"/>
          <w:szCs w:val="22"/>
        </w:rPr>
        <w:t xml:space="preserve">CRSP daily stock returns (via WRDS): survivorship-bias-free individual stock returns, CRSP value-weighted and equal-weighted market indices, and CRSP mutual fund holdings for portfolio flow analysis</w:t>
      </w:r>
    </w:p>
    <w:p>
      <w:pPr>
        <w:pStyle w:val="ListParagraph"/>
        <w:numPr>
          <w:ilvl w:val="0"/>
          <w:numId w:val="1"/>
        </w:numPr>
        <w:spacing w:after="80" w:before="0" w:line="340"/>
        <w:ind w:left="360"/>
      </w:pPr>
      <w:r>
        <w:rPr>
          <w:color w:val="1A2B40"/>
          <w:sz w:val="22"/>
          <w:szCs w:val="22"/>
        </w:rPr>
        <w:t xml:space="preserve">CME Group (via WRDS): federal funds futures prices and Eurodollar futures prices for constructing the Kuttner and path factor surprises at various horizons</w:t>
      </w:r>
    </w:p>
    <w:p>
      <w:pPr>
        <w:pStyle w:val="ListParagraph"/>
        <w:numPr>
          <w:ilvl w:val="0"/>
          <w:numId w:val="1"/>
        </w:numPr>
        <w:spacing w:after="80" w:before="0" w:line="340"/>
        <w:ind w:left="360"/>
      </w:pPr>
      <w:r>
        <w:rPr>
          <w:color w:val="1A2B40"/>
          <w:sz w:val="22"/>
          <w:szCs w:val="22"/>
        </w:rPr>
        <w:t xml:space="preserve">Additional series: S&amp;P 500, NASDAQ, Russell 2000, MSCI Emerging Markets, Gold, Oil, VIX, US Dollar Index</w:t>
      </w:r>
    </w:p>
    <w:p>
      <w:pPr>
        <w:pStyle w:val="Heading3"/>
        <w:spacing w:after="120" w:before="240" w:line="312"/>
      </w:pPr>
      <w:bookmarkStart w:id="100025" w:name="_Toc100025"/>
      <w:r>
        <w:rPr>
          <w:b/>
          <w:bCs/>
          <w:color w:val="8B1A1A"/>
          <w:sz w:val="22"/>
          <w:szCs w:val="22"/>
        </w:rPr>
        <w:t xml:space="preserve">4.2.4 Sample Period and FOMC Meetings</w:t>
      </w:r>
      <w:bookmarkEnd w:id="100025"/>
    </w:p>
    <w:p>
      <w:pPr>
        <w:spacing w:after="120" w:before="0" w:line="360"/>
        <w:jc w:val="both"/>
      </w:pPr>
      <w:r>
        <w:t>The corrected sample covers FOMC meetings from January 2006 to April 2026, yielding 161 meetings driven by statements and surprises (body-only statement texts; the December 2008 and January 2022 statements were re-downloaded after the audit). The sample spans three monetary policy regimes:</w:t>
      </w:r>
    </w:p>
    <w:tbl>
      <w:tblPr>
        <w:tblW w:type="pct" w:w="100%"/>
        <w:tblBorders>
          <w:top w:val="single" w:color="0B1F3A" w:sz="8"/>
          <w:left w:val="single" w:color="D0D4DC" w:sz="2"/>
          <w:bottom w:val="single" w:color="0B1F3A" w:sz="8"/>
          <w:right w:val="single" w:color="D0D4DC" w:sz="2"/>
          <w:insideH w:val="single" w:color="D0D4DC" w:sz="2"/>
          <w:insideV w:val="single" w:color="D0D4DC" w:sz="2"/>
        </w:tblBorders>
      </w:tblPr>
      <w:tblGrid>
        <w:gridCol w:w="100"/>
        <w:gridCol w:w="100"/>
        <w:gridCol w:w="100"/>
        <w:gridCol w:w="100"/>
      </w:tblGrid>
      <w:tr>
        <w:trPr>
          <w:tblHeader/>
        </w:trPr>
        <w:tc>
          <w:tcPr>
            <w:tcW w:type="dxa" w:w="20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Regime</w:t>
            </w:r>
          </w:p>
        </w:tc>
        <w:tc>
          <w:tcPr>
            <w:tcW w:type="dxa" w:w="22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Period</w:t>
            </w:r>
          </w:p>
        </w:tc>
        <w:tc>
          <w:tcPr>
            <w:tcW w:type="dxa" w:w="24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Key Feature</w:t>
            </w:r>
          </w:p>
        </w:tc>
        <w:tc>
          <w:tcPr>
            <w:tcW w:type="dxa" w:w="26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N (approx.)</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Conventional</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1994–2008</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Policy rate above ZLB</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120</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Forward Guidance</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2009–2015</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ZLB + explicit forward guidance</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55</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Normalization</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2016–2019</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Gradual rate increases</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32</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Tightening Cycle</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2022–2025</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Aggressive tightening</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33</w:t>
            </w:r>
          </w:p>
        </w:tc>
      </w:tr>
    </w:tbl>
    <w:p>
      <w:pPr>
        <w:spacing w:after="60" w:before="120" w:line="300"/>
        <w:jc w:val="left"/>
      </w:pPr>
      <w:r>
        <w:rPr>
          <w:i/>
          <w:iCs/>
          <w:color w:val="4A5568"/>
          <w:sz w:val="20"/>
          <w:szCs w:val="20"/>
        </w:rPr>
        <w:t xml:space="preserve">Table 1. Monetary policy regime classification and meeting counts.</w:t>
      </w:r>
    </w:p>
    <w:p>
      <w:pPr>
        <w:pStyle w:val="Heading2"/>
        <w:spacing w:after="160" w:before="360" w:line="312"/>
      </w:pPr>
      <w:bookmarkStart w:id="100026" w:name="_Toc100026"/>
      <w:r>
        <w:rPr>
          <w:b/>
          <w:bCs/>
          <w:color w:val="0B1F3A"/>
          <w:sz w:val="26"/>
          <w:szCs w:val="26"/>
        </w:rPr>
        <w:t xml:space="preserve">4.3 Variable Construction</w:t>
      </w:r>
      <w:bookmarkEnd w:id="100026"/>
    </w:p>
    <w:p>
      <w:pPr>
        <w:pStyle w:val="Heading3"/>
        <w:spacing w:after="120" w:before="240" w:line="312"/>
      </w:pPr>
      <w:bookmarkStart w:id="100027" w:name="_Toc100027"/>
      <w:r>
        <w:rPr>
          <w:b/>
          <w:bCs/>
          <w:color w:val="8B1A1A"/>
          <w:sz w:val="22"/>
          <w:szCs w:val="22"/>
        </w:rPr>
        <w:t xml:space="preserve">4.3.1 Monetary Policy Surprise (S_t)</w:t>
      </w:r>
      <w:bookmarkEnd w:id="100027"/>
    </w:p>
    <w:p>
      <w:pPr>
        <w:spacing w:after="120" w:before="0" w:line="360"/>
        <w:jc w:val="both"/>
      </w:pPr>
      <w:r>
        <w:rPr>
          <w:b w:val="false"/>
          <w:bCs w:val="false"/>
          <w:i w:val="false"/>
          <w:iCs w:val="false"/>
          <w:color w:val="1A2B40"/>
          <w:sz w:val="22"/>
          <w:szCs w:val="22"/>
        </w:rPr>
        <w:t xml:space="preserve">The Bauer-Swanson MPS is the primary surprise measure. For robustness, the following alternative measures are used: (i) the Kuttner (2001) surprise from fed funds futures (Equation 1); (ii) the GSS target and path factors separately; (iii) intraday (30-minute) vs. daily window comparisons; and (iv) the Bauer-Swanson MPS orthogonalized with respect to contemporaneous macroeconomic data surprises.</w:t>
      </w:r>
    </w:p>
    <w:p>
      <w:pPr>
        <w:pStyle w:val="Heading3"/>
        <w:spacing w:after="120" w:before="240" w:line="312"/>
      </w:pPr>
      <w:bookmarkStart w:id="100028" w:name="_Toc100028"/>
      <w:r>
        <w:rPr>
          <w:b/>
          <w:bCs/>
          <w:color w:val="8B1A1A"/>
          <w:sz w:val="22"/>
          <w:szCs w:val="22"/>
        </w:rPr>
        <w:t xml:space="preserve">4.3.2 FOMC Sentiment Score (Sent_t)</w:t>
      </w:r>
      <w:bookmarkEnd w:id="100028"/>
    </w:p>
    <w:p>
      <w:pPr>
        <w:spacing w:after="120" w:before="0" w:line="360"/>
        <w:jc w:val="both"/>
      </w:pPr>
      <w:r>
        <w:rPr>
          <w:b w:val="false"/>
          <w:bCs w:val="false"/>
          <w:i w:val="false"/>
          <w:iCs w:val="false"/>
          <w:color w:val="1A2B40"/>
          <w:sz w:val="22"/>
          <w:szCs w:val="22"/>
        </w:rPr>
        <w:t xml:space="preserve">The sentiment score is constructed using three methods, which are compared for robustness:</w:t>
      </w:r>
    </w:p>
    <w:p>
      <w:pPr>
        <w:spacing w:after="120" w:before="0" w:line="360"/>
        <w:jc w:val="both"/>
      </w:pPr>
      <w:r>
        <w:rPr>
          <w:b w:val="false"/>
          <w:bCs w:val="false"/>
          <w:i w:val="false"/>
          <w:iCs w:val="false"/>
          <w:color w:val="1A2B40"/>
          <w:sz w:val="22"/>
          <w:szCs w:val="22"/>
        </w:rPr>
        <w:t xml:space="preserve">Method 1 (Dictionary-based): The hybrid LM+CB approach (Equation 4), combining the Loughran-McDonald financial sentiment dictionary with a central bank-specific hawkish/dovish dictionary. This method is fast, interpretable, and requires no GPU.</w:t>
      </w:r>
    </w:p>
    <w:p>
      <w:pPr>
        <w:spacing w:after="120" w:before="0" w:line="360"/>
        <w:jc w:val="both"/>
      </w:pPr>
      <w:r>
        <w:rPr>
          <w:b w:val="false"/>
          <w:bCs w:val="false"/>
          <w:i w:val="false"/>
          <w:iCs w:val="false"/>
          <w:color w:val="1A2B40"/>
          <w:sz w:val="22"/>
          <w:szCs w:val="22"/>
        </w:rPr>
        <w:t xml:space="preserve">Method 2 (FinBERT): A BERT model fine-tuned on FOMC statements using the ProsusAI/finbert architecture, with training labels derived from expert classifications of FOMC sentiment (hawkish, dovish, neutral) for a subsample of 100 statements. The sentiment score is P(hawkish) − P(dovish).</w:t>
      </w:r>
    </w:p>
    <w:p>
      <w:pPr>
        <w:spacing w:after="120" w:before="0" w:line="360"/>
        <w:jc w:val="both"/>
      </w:pPr>
      <w:r>
        <w:rPr>
          <w:b w:val="false"/>
          <w:bCs w:val="false"/>
          <w:i w:val="false"/>
          <w:iCs w:val="false"/>
          <w:color w:val="1A2B40"/>
          <w:sz w:val="22"/>
          <w:szCs w:val="22"/>
        </w:rPr>
        <w:t xml:space="preserve">Method 3 (LLM-based): Following Fernández-Fuertes (2025), a multi-agent LLM framework that processes FOMC communications to construct narrative monetary policy surprises. This method uses a large language model to generate structured assessments of the communication's hawkishness, the information conveyed about the economic outlook, and the implied policy path.</w:t>
      </w:r>
    </w:p>
    <w:p>
      <w:pPr>
        <w:pStyle w:val="Heading3"/>
        <w:spacing w:after="120" w:before="240" w:line="312"/>
      </w:pPr>
      <w:bookmarkStart w:id="100029" w:name="_Toc100029"/>
      <w:r>
        <w:rPr>
          <w:b/>
          <w:bCs/>
          <w:color w:val="8B1A1A"/>
          <w:sz w:val="22"/>
          <w:szCs w:val="22"/>
        </w:rPr>
        <w:t xml:space="preserve">4.3.3 Two-Shocks Decomposition</w:t>
      </w:r>
      <w:bookmarkEnd w:id="100029"/>
    </w:p>
    <w:p>
      <w:pPr>
        <w:spacing w:after="120" w:before="0" w:line="360"/>
        <w:jc w:val="both"/>
      </w:pPr>
      <w:r>
        <w:rPr>
          <w:b w:val="false"/>
          <w:bCs w:val="false"/>
          <w:i w:val="false"/>
          <w:iCs w:val="false"/>
          <w:color w:val="1A2B40"/>
          <w:sz w:val="22"/>
          <w:szCs w:val="22"/>
        </w:rPr>
        <w:t xml:space="preserve">The Jarociński and Karadi (2020) decomposition separates the monetary policy surprise into a policy shock (ε^P) and an information shock (ε^I) using sign restrictions in a Bayesian structural VAR (Equation 3). The identifying sign restrictions are: a policy shock raises rates and lowers equities (tightening is bad), while an information shock raises both rates and equities (the Fed is signaling good news). The updated shock series through January 2024 is used, extended to the present using the same methodology.</w:t>
      </w:r>
    </w:p>
    <w:p>
      <w:pPr>
        <w:pStyle w:val="Heading3"/>
        <w:spacing w:after="120" w:before="240" w:line="312"/>
      </w:pPr>
      <w:bookmarkStart w:id="100030" w:name="_Toc100030"/>
      <w:r>
        <w:rPr>
          <w:b/>
          <w:bCs/>
          <w:color w:val="8B1A1A"/>
          <w:sz w:val="22"/>
          <w:szCs w:val="22"/>
        </w:rPr>
        <w:t xml:space="preserve">4.3.4 Asset Returns</w:t>
      </w:r>
      <w:bookmarkEnd w:id="100030"/>
    </w:p>
    <w:p>
      <w:pPr>
        <w:spacing w:after="120" w:before="0" w:line="360"/>
        <w:jc w:val="both"/>
      </w:pPr>
      <w:r>
        <w:rPr>
          <w:b w:val="false"/>
          <w:bCs w:val="false"/>
          <w:i w:val="false"/>
          <w:iCs w:val="false"/>
          <w:color w:val="1A2B40"/>
          <w:sz w:val="22"/>
          <w:szCs w:val="22"/>
        </w:rPr>
        <w:t xml:space="preserve">For the event study, cumulative abnormal returns (CAR) are computed over the window [−1, +1] around each FOMC announcement using the market model:</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781050"/>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(10)</w:t>
            </w:r>
          </w:p>
        </w:tc>
      </w:tr>
    </w:tbl>
    <w:p>
      <w:pPr>
        <w:spacing w:after="120" w:before="0" w:line="360"/>
        <w:jc w:val="both"/>
      </w:pPr>
      <w:r>
        <w:rPr>
          <w:b w:val="false"/>
          <w:bCs w:val="false"/>
          <w:i w:val="false"/>
          <w:iCs w:val="false"/>
          <w:color w:val="1A2B40"/>
          <w:sz w:val="22"/>
          <w:szCs w:val="22"/>
        </w:rPr>
        <w:t xml:space="preserve">where α_i and β_i are estimated from a 250-day estimation window ending 30 days before the announcement to avoid contamination from the event itself. The market model is the primary specification; the Fama-French three-factor model is used for robustness. For assets without a clear market benchmark (e.g., Treasuries, commodities), the constant mean return model is used.</w:t>
      </w:r>
    </w:p>
    <w:p>
      <w:pPr>
        <w:pStyle w:val="Heading2"/>
        <w:spacing w:after="160" w:before="360" w:line="312"/>
      </w:pPr>
      <w:bookmarkStart w:id="100031" w:name="_Toc100031"/>
      <w:r>
        <w:rPr>
          <w:b/>
          <w:bCs/>
          <w:color w:val="0B1F3A"/>
          <w:sz w:val="26"/>
          <w:szCs w:val="26"/>
        </w:rPr>
        <w:t xml:space="preserve">4.4 Econometric Specifications</w:t>
      </w:r>
      <w:bookmarkEnd w:id="100031"/>
    </w:p>
    <w:p>
      <w:pPr>
        <w:spacing w:after="120" w:before="0" w:line="360"/>
        <w:jc w:val="both"/>
      </w:pPr>
      <w:r>
        <w:rPr>
          <w:b w:val="false"/>
          <w:bCs w:val="false"/>
          <w:i w:val="false"/>
          <w:iCs w:val="false"/>
          <w:color w:val="1A2B40"/>
          <w:sz w:val="22"/>
          <w:szCs w:val="22"/>
        </w:rPr>
        <w:t xml:space="preserve">The four hypotheses are tested using OLS regressions with standard errors chosen to address the specific concerns of each specification. All regressions use Newey-West HAC standard errors with 4 lags as the baseline, following the convention in the monetary policy literature.</w:t>
      </w:r>
    </w:p>
    <w:p>
      <w:pPr>
        <w:pStyle w:val="Heading3"/>
        <w:spacing w:after="120" w:before="240" w:line="312"/>
      </w:pPr>
      <w:bookmarkStart w:id="100032" w:name="_Toc100032"/>
      <w:r>
        <w:rPr>
          <w:b/>
          <w:bCs/>
          <w:color w:val="8B1A1A"/>
          <w:sz w:val="22"/>
          <w:szCs w:val="22"/>
        </w:rPr>
        <w:t xml:space="preserve">4.4.1 Model 1: Sentiment-Surprise Relatedness (H1)</w:t>
      </w:r>
      <w:bookmarkEnd w:id="100032"/>
    </w:p>
    <w:p>
      <w:pPr>
        <w:spacing w:after="120" w:before="0" w:line="360"/>
        <w:jc w:val="both"/>
      </w:pPr>
      <w:r>
        <w:rPr>
          <w:b w:val="false"/>
          <w:bCs w:val="false"/>
          <w:i w:val="false"/>
          <w:iCs w:val="false"/>
          <w:color w:val="1A2B40"/>
          <w:sz w:val="22"/>
          <w:szCs w:val="22"/>
        </w:rPr>
        <w:t xml:space="preserve">Equation (5) is estimated by OLS with Newey-West HAC(4) standard errors. H1 is tested as 0 &lt; β &lt; 1 using a Wald test on the joint restriction. The Newey-West estimator is:</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838200"/>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(11)</w:t>
            </w:r>
          </w:p>
        </w:tc>
      </w:tr>
    </w:tbl>
    <w:p>
      <w:pPr>
        <w:spacing w:after="120" w:before="0" w:line="360"/>
        <w:jc w:val="both"/>
      </w:pPr>
      <w:r>
        <w:rPr>
          <w:b w:val="false"/>
          <w:bCs w:val="false"/>
          <w:i w:val="false"/>
          <w:iCs w:val="false"/>
          <w:color w:val="1A2B40"/>
          <w:sz w:val="22"/>
          <w:szCs w:val="22"/>
        </w:rPr>
        <w:t xml:space="preserve">where Σ̂ is the contemporaneous covariance matrix, Γ̂_ℓ is the autocovariance at lag ℓ, and ω_ℓ is the Bartlett kernel weight. The lag length L = 4 is chosen following the convention in the monetary policy literature, corresponding to approximately one year of quarterly data.</w:t>
      </w:r>
    </w:p>
    <w:p>
      <w:pPr>
        <w:pStyle w:val="Heading3"/>
        <w:spacing w:after="120" w:before="240" w:line="312"/>
      </w:pPr>
      <w:bookmarkStart w:id="100033" w:name="_Toc100033"/>
      <w:r>
        <w:rPr>
          <w:b/>
          <w:bCs/>
          <w:color w:val="8B1A1A"/>
          <w:sz w:val="22"/>
          <w:szCs w:val="22"/>
        </w:rPr>
        <w:t xml:space="preserve">4.4.2 Model 2: Incremental Explanatory Power (H2)</w:t>
      </w:r>
      <w:bookmarkEnd w:id="100033"/>
    </w:p>
    <w:p>
      <w:pPr>
        <w:spacing w:after="120" w:before="0" w:line="360"/>
        <w:jc w:val="both"/>
      </w:pPr>
      <w:r>
        <w:rPr>
          <w:b w:val="false"/>
          <w:bCs w:val="false"/>
          <w:i w:val="false"/>
          <w:iCs w:val="false"/>
          <w:color w:val="1A2B40"/>
          <w:sz w:val="22"/>
          <w:szCs w:val="22"/>
        </w:rPr>
        <w:t xml:space="preserve">Equation (6) is estimated for each asset class i, with Newey-West HAC(4) standard errors. H2 is tested as β₂ ≠ 0 for each asset. Because we test 5+ asset classes simultaneously, the Bonferroni correction is applied: the effective significance level is α* = 0.05/N. With N = 5, α* = 0.01. The incremental R² (Equation 7) quantifies the economic significance of sentiment beyond the surprise.</w:t>
      </w:r>
    </w:p>
    <w:p>
      <w:pPr>
        <w:pStyle w:val="Heading3"/>
        <w:spacing w:after="120" w:before="240" w:line="312"/>
      </w:pPr>
      <w:bookmarkStart w:id="100034" w:name="_Toc100034"/>
      <w:r>
        <w:rPr>
          <w:b/>
          <w:bCs/>
          <w:color w:val="8B1A1A"/>
          <w:sz w:val="22"/>
          <w:szCs w:val="22"/>
        </w:rPr>
        <w:t xml:space="preserve">4.4.3 Model 3: Information Shock Channel (H3)</w:t>
      </w:r>
      <w:bookmarkEnd w:id="100034"/>
    </w:p>
    <w:p>
      <w:pPr>
        <w:spacing w:after="120" w:before="0" w:line="360"/>
        <w:jc w:val="both"/>
      </w:pPr>
      <w:r>
        <w:rPr>
          <w:b w:val="false"/>
          <w:bCs w:val="false"/>
          <w:i w:val="false"/>
          <w:iCs w:val="false"/>
          <w:color w:val="1A2B40"/>
          <w:sz w:val="22"/>
          <w:szCs w:val="22"/>
        </w:rPr>
        <w:t xml:space="preserve">Equation (8) is estimated by OLS with Newey-West HAC(4) standard errors. H3 is tested as |γ₂| &gt; |γ₁| using a Wald test on the difference γ₂ − γ₁. This test directly distinguishes between the information channel interpretation (sentiment loads on information shock) and the alternative interpretation of Bauer and Swanson (2023) that the “information shock” is a Fed response to public data.</w:t>
      </w:r>
    </w:p>
    <w:p>
      <w:pPr>
        <w:pStyle w:val="Heading3"/>
        <w:spacing w:after="120" w:before="240" w:line="312"/>
      </w:pPr>
      <w:bookmarkStart w:id="100035" w:name="_Toc100035"/>
      <w:r>
        <w:rPr>
          <w:b/>
          <w:bCs/>
          <w:color w:val="8B1A1A"/>
          <w:sz w:val="22"/>
          <w:szCs w:val="22"/>
        </w:rPr>
        <w:t xml:space="preserve">4.4.4 Model 4: Regime-Dependent Effects (H4)</w:t>
      </w:r>
      <w:bookmarkEnd w:id="100035"/>
    </w:p>
    <w:p>
      <w:pPr>
        <w:spacing w:after="120" w:before="0" w:line="360"/>
        <w:jc w:val="both"/>
      </w:pPr>
      <w:r>
        <w:rPr>
          <w:b w:val="false"/>
          <w:bCs w:val="false"/>
          <w:i w:val="false"/>
          <w:iCs w:val="false"/>
          <w:color w:val="1A2B40"/>
          <w:sz w:val="22"/>
          <w:szCs w:val="22"/>
        </w:rPr>
        <w:t xml:space="preserve">Equation (9) is estimated with the forward guidance interaction term FG_t = 1 during 2008–2015. H4 is tested as β₃ ≠ 0. Because this specification pools assets and time periods, the standard errors are double-clustered by time and asset class following Thompson (2011):</w:t>
      </w:r>
    </w:p>
    <w:tbl>
      <w:tblPr>
        <w:tblW w:type="pct" w:w="100%"/>
        <w:tblBorders>
          <w:top w:val="none"/>
          <w:left w:val="none"/>
          <w:bottom w:val="none"/>
          <w:right w:val="none"/>
          <w:insideH w:val="none"/>
          <w:insideV w:val="none"/>
        </w:tblBorders>
      </w:tblPr>
      <w:tblGrid>
        <w:gridCol w:w="100"/>
        <w:gridCol w:w="100"/>
        <w:gridCol w:w="100"/>
      </w:tblGrid>
      <w:tr>
        <w:tc>
          <w:tcPr>
            <w:tcW w:type="pct" w:w="10%"/>
            <w:tcBorders>
              <w:top w:val="none"/>
              <w:left w:val="none"/>
              <w:bottom w:val="none"/>
              <w:right w:val="none"/>
            </w:tcBorders>
          </w:tcPr>
          <w:p>
            <w:r>
              <w:t xml:space="preserve"/>
            </w:r>
          </w:p>
        </w:tc>
        <w:tc>
          <w:tcPr>
            <w:tcW w:type="pct" w:w="80%"/>
            <w:tcBorders>
              <w:top w:val="none"/>
              <w:left w:val="none"/>
              <w:bottom w:val="none"/>
              <w:right w:val="none"/>
            </w:tcBorders>
          </w:tcPr>
          <w:p>
            <w:pPr>
              <w:spacing w:after="100" w:before="100"/>
              <w:jc w:val="center"/>
            </w:pPr>
            <w:r>
              <w:drawing>
                <wp:inline distT="0" distB="0" distL="0" distR="0">
                  <wp:extent cx="4762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838200"/>
                          </a:xfrm>
                          <a:prstGeom prst="rect">
                            <a:avLst/>
                          </a:prstGeom>
                        </pic:spPr>
                      </pic:pic>
                    </a:graphicData>
                  </a:graphic>
                </wp:inline>
              </w:drawing>
            </w:r>
          </w:p>
        </w:tc>
        <w:tc>
          <w:tcPr>
            <w:tcW w:type="pct" w:w="10%"/>
            <w:tcBorders>
              <w:top w:val="none"/>
              <w:left w:val="none"/>
              <w:bottom w:val="none"/>
              <w:right w:val="none"/>
            </w:tcBorders>
          </w:tcPr>
          <w:p>
            <w:pPr>
              <w:spacing w:after="100" w:before="100"/>
              <w:jc w:val="right"/>
            </w:pPr>
            <w:r>
              <w:rPr>
                <w:color w:val="1A2B40"/>
                <w:sz w:val="22"/>
                <w:szCs w:val="22"/>
              </w:rPr>
              <w:t xml:space="preserve">(12)</w:t>
            </w:r>
          </w:p>
        </w:tc>
      </w:tr>
    </w:tbl>
    <w:p>
      <w:pPr>
        <w:spacing w:after="120" w:before="0" w:line="360"/>
        <w:jc w:val="both"/>
      </w:pPr>
      <w:r>
        <w:rPr>
          <w:b w:val="false"/>
          <w:bCs w:val="false"/>
          <w:i w:val="false"/>
          <w:iCs w:val="false"/>
          <w:color w:val="1A2B40"/>
          <w:sz w:val="22"/>
          <w:szCs w:val="22"/>
        </w:rPr>
        <w:t xml:space="preserve">This double-clustering accounts for both time-series correlation (asset prices comove within the same period) and cross-sectional correlation (the same asset is affected by common factors across periods). The Thompson estimator is the sum of the time-clustered and asset-clustered variances, minus their intersection, to avoid double-counting.</w:t>
      </w:r>
    </w:p>
    <w:p>
      <w:pPr>
        <w:pStyle w:val="Heading2"/>
        <w:spacing w:after="160" w:before="360" w:line="312"/>
      </w:pPr>
      <w:bookmarkStart w:id="100036" w:name="_Toc100036"/>
      <w:r>
        <w:rPr>
          <w:b/>
          <w:bCs/>
          <w:color w:val="0B1F3A"/>
          <w:sz w:val="26"/>
          <w:szCs w:val="26"/>
        </w:rPr>
        <w:t xml:space="preserve">4.5 Robustness Checks</w:t>
      </w:r>
      <w:bookmarkEnd w:id="100036"/>
    </w:p>
    <w:p>
      <w:pPr>
        <w:spacing w:after="120" w:before="0" w:line="360"/>
        <w:jc w:val="both"/>
      </w:pPr>
      <w:r>
        <w:rPr>
          <w:b w:val="false"/>
          <w:bCs w:val="false"/>
          <w:i w:val="false"/>
          <w:iCs w:val="false"/>
          <w:color w:val="1A2B40"/>
          <w:sz w:val="22"/>
          <w:szCs w:val="22"/>
        </w:rPr>
        <w:t xml:space="preserve">The following robustness checks are conducted for all hypotheses:</w:t>
      </w:r>
    </w:p>
    <w:tbl>
      <w:tblPr>
        <w:tblW w:type="pct" w:w="100%"/>
        <w:tblBorders>
          <w:top w:val="single" w:color="0B1F3A" w:sz="8"/>
          <w:left w:val="single" w:color="D0D4DC" w:sz="2"/>
          <w:bottom w:val="single" w:color="0B1F3A" w:sz="8"/>
          <w:right w:val="single" w:color="D0D4DC" w:sz="2"/>
          <w:insideH w:val="single" w:color="D0D4DC" w:sz="2"/>
          <w:insideV w:val="single" w:color="D0D4DC" w:sz="2"/>
        </w:tblBorders>
      </w:tblPr>
      <w:tblGrid>
        <w:gridCol w:w="100"/>
        <w:gridCol w:w="100"/>
        <w:gridCol w:w="100"/>
      </w:tblGrid>
      <w:tr>
        <w:trPr>
          <w:tblHeader/>
        </w:trPr>
        <w:tc>
          <w:tcPr>
            <w:tcW w:type="dxa" w:w="20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Check</w:t>
            </w:r>
          </w:p>
        </w:tc>
        <w:tc>
          <w:tcPr>
            <w:tcW w:type="dxa" w:w="22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Description</w:t>
            </w:r>
          </w:p>
        </w:tc>
        <w:tc>
          <w:tcPr>
            <w:tcW w:type="dxa" w:w="24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Addresses</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Alternative surprise measures</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Kuttner, GSS target/path, BS MPS orthogonalized</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Sensitivity to surprise construction</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Alternative sentiment methods</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LM dictionary, FinBERT, LLM-based</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Sensitivity to NLP method</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Window length</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30-min intraday vs. daily</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HFI window sensitivity</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Sample period</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Exclude 2022-2025 tightening; exclude COVID</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Sample sensitivity</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Standard errors</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OLS, White, NW HAC(4), Thompson double-clustered</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Inference robustness</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Multiple testing</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Bonferroni, Holm-Bonferroni, FDR (Benjamini-Hochberg)</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Multiple comparison correction</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Regime subsamples</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Conventional, FG, normalization, tightening</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Regime heterogeneity</w:t>
            </w:r>
          </w:p>
        </w:tc>
      </w:tr>
    </w:tbl>
    <w:p>
      <w:pPr>
        <w:spacing w:after="60" w:before="120" w:line="300"/>
        <w:jc w:val="left"/>
      </w:pPr>
      <w:r>
        <w:rPr>
          <w:i/>
          <w:iCs/>
          <w:color w:val="4A5568"/>
          <w:sz w:val="20"/>
          <w:szCs w:val="20"/>
        </w:rPr>
        <w:t xml:space="preserve">Table 2. Robustness checks for all hypothesis tests.</w:t>
      </w:r>
    </w:p>
    <w:p>
      <w:pPr>
        <w:spacing w:after="100" w:before="0"/>
      </w:pPr>
    </w:p>
    <w:p>
      <w:pPr>
        <w:pStyle w:val="Heading1"/>
        <w:spacing w:after="200" w:before="480" w:line="312"/>
      </w:pPr>
      <w:bookmarkStart w:id="100037" w:name="_Toc100037"/>
      <w:r>
        <w:rPr>
          <w:b/>
          <w:bCs/>
          <w:color w:val="0B1F3A"/>
          <w:sz w:val="32"/>
          <w:szCs w:val="32"/>
        </w:rPr>
        <w:t xml:space="preserve">5. Expected Findings and Contributions</w:t>
      </w:r>
      <w:bookmarkEnd w:id="100037"/>
    </w:p>
    <w:p>
      <w:pPr>
        <w:pStyle w:val="Heading2"/>
        <w:spacing w:after="160" w:before="360" w:line="312"/>
      </w:pPr>
      <w:bookmarkStart w:id="100038" w:name="_Toc100038"/>
      <w:r>
        <w:rPr>
          <w:b/>
          <w:bCs/>
          <w:color w:val="0B1F3A"/>
          <w:sz w:val="26"/>
          <w:szCs w:val="26"/>
        </w:rPr>
        <w:t xml:space="preserve">5.1 Expected Findings</w:t>
      </w:r>
      <w:bookmarkEnd w:id="100038"/>
    </w:p>
    <w:p>
      <w:pPr>
        <w:pStyle w:val="Heading3"/>
        <w:spacing w:after="120" w:before="240" w:line="312"/>
      </w:pPr>
      <w:bookmarkStart w:id="100039" w:name="_Toc100039"/>
      <w:r>
        <w:rPr>
          <w:b/>
          <w:bCs/>
          <w:color w:val="8B1A1A"/>
          <w:sz w:val="22"/>
          <w:szCs w:val="22"/>
        </w:rPr>
        <w:t xml:space="preserve">5.1.1 H1: Sentiment-Surprise Relatedness</w:t>
      </w:r>
      <w:bookmarkEnd w:id="100039"/>
    </w:p>
    <w:p>
      <w:pPr>
        <w:spacing w:after="120" w:before="0" w:line="360"/>
        <w:jc w:val="both"/>
      </w:pPr>
      <w:r>
        <w:rPr>
          <w:b w:val="false"/>
          <w:bCs w:val="false"/>
          <w:i w:val="false"/>
          <w:iCs w:val="false"/>
          <w:color w:val="1A2B40"/>
          <w:sz w:val="22"/>
          <w:szCs w:val="22"/>
        </w:rPr>
        <w:t xml:space="preserve">Based on the existing literature, we expect a positive but imperfect correlation between sentiment and surprise (β ≈ 0.3–0.6). This is consistent with the premise that language and the rate action are related but not identical, and that language conveys signals about the future path and the economic outlook that are not captured by the target rate change. The existing evidence from the LM dictionary approach suggests a correlation of approximately 0.2–0.4; the FinBERT and LLM methods are expected to yield higher correlations due to their ability to capture contextual nuances.</w:t>
      </w:r>
    </w:p>
    <w:p>
      <w:pPr>
        <w:pStyle w:val="Heading3"/>
        <w:spacing w:after="120" w:before="240" w:line="312"/>
      </w:pPr>
      <w:bookmarkStart w:id="100040" w:name="_Toc100040"/>
      <w:r>
        <w:rPr>
          <w:b/>
          <w:bCs/>
          <w:color w:val="8B1A1A"/>
          <w:sz w:val="22"/>
          <w:szCs w:val="22"/>
        </w:rPr>
        <w:t xml:space="preserve">5.1.2 H2: Incremental Explanatory Power</w:t>
      </w:r>
      <w:bookmarkEnd w:id="100040"/>
    </w:p>
    <w:p>
      <w:pPr>
        <w:spacing w:after="120" w:before="0" w:line="360"/>
        <w:jc w:val="both"/>
      </w:pPr>
      <w:r>
        <w:rPr>
          <w:b w:val="false"/>
          <w:bCs w:val="false"/>
          <w:i w:val="false"/>
          <w:iCs w:val="false"/>
          <w:color w:val="1A2B40"/>
          <w:sz w:val="22"/>
          <w:szCs w:val="22"/>
        </w:rPr>
        <w:t xml:space="preserve">We expect sentiment to have significant incremental explanatory power for assets most sensitive to the path of policy and the economic outlook. For long-term Treasuries and equities, we expect β₂ to be significant at the 1% level (after Bonferroni correction), with an incremental R² of 2–5%. For short-term instruments and commodities, the effect is expected to be weaker or insignificant. The current empirical evidence, based on a simplified surprise proxy, finds an incremental R² of approximately 0.4% — substantially below the literature benchmark of 2.76% (Gürkaynak et al., 2005) — suggesting that upgrading to the Bauer-Swanson MPS and FinBERT sentiment will materially improve the explanatory power.</w:t>
      </w:r>
    </w:p>
    <w:p>
      <w:pPr>
        <w:pStyle w:val="Heading3"/>
        <w:spacing w:after="120" w:before="240" w:line="312"/>
      </w:pPr>
      <w:bookmarkStart w:id="100041" w:name="_Toc100041"/>
      <w:r>
        <w:rPr>
          <w:b/>
          <w:bCs/>
          <w:color w:val="8B1A1A"/>
          <w:sz w:val="22"/>
          <w:szCs w:val="22"/>
        </w:rPr>
        <w:t xml:space="preserve">5.1.3 H3: Information Shock Channel</w:t>
      </w:r>
      <w:bookmarkEnd w:id="100041"/>
    </w:p>
    <w:p>
      <w:pPr>
        <w:spacing w:after="120" w:before="0" w:line="360"/>
        <w:jc w:val="both"/>
      </w:pPr>
      <w:r>
        <w:rPr>
          <w:b w:val="false"/>
          <w:bCs w:val="false"/>
          <w:i w:val="false"/>
          <w:iCs w:val="false"/>
          <w:color w:val="1A2B40"/>
          <w:sz w:val="22"/>
          <w:szCs w:val="22"/>
        </w:rPr>
        <w:t xml:space="preserve">We expect sentiment to load more heavily on the information shock than on the policy shock (|γ₂| &gt; |γ₁|), supporting the information channel interpretation. This finding would provide new evidence in the debate between Jarociński and Karadi (2020) and Bauer and Swanson (2023): if text-based sentiment — which reflects the language the Committee uses to describe the economy — is more closely tied to the information shock, this suggests that the information shock genuinely captures central bank communication about fundamentals rather than being a mechanical response to public data.</w:t>
      </w:r>
    </w:p>
    <w:p>
      <w:pPr>
        <w:pStyle w:val="Heading3"/>
        <w:spacing w:after="120" w:before="240" w:line="312"/>
      </w:pPr>
      <w:bookmarkStart w:id="100042" w:name="_Toc100042"/>
      <w:r>
        <w:rPr>
          <w:b/>
          <w:bCs/>
          <w:color w:val="8B1A1A"/>
          <w:sz w:val="22"/>
          <w:szCs w:val="22"/>
        </w:rPr>
        <w:t xml:space="preserve">5.1.4 H4: Regime-Dependent Effects</w:t>
      </w:r>
      <w:bookmarkEnd w:id="100042"/>
    </w:p>
    <w:p>
      <w:pPr>
        <w:spacing w:after="120" w:before="0" w:line="360"/>
        <w:jc w:val="both"/>
      </w:pPr>
      <w:r>
        <w:rPr>
          <w:b w:val="false"/>
          <w:bCs w:val="false"/>
          <w:i w:val="false"/>
          <w:iCs w:val="false"/>
          <w:color w:val="1A2B40"/>
          <w:sz w:val="22"/>
          <w:szCs w:val="22"/>
        </w:rPr>
        <w:t xml:space="preserve">We expect the forward guidance interaction (β₃) to be significant, with the effect of sentiment on equity returns being stronger during the forward guidance period (2008–2015) than during conventional or normalization periods. This is consistent with the evidence in Swanson (2021) that forward guidance had substantial effects on asset prices and with the observation that communication became the primary policy tool at the zero lower bound. The 2022–2025 tightening cycle provides new out-of-sample evidence on whether the information content of communication has persisted as the Fed returned to conventional monetary policy.</w:t>
      </w:r>
      <w:r>
        <w:rPr>
          <w:i/>
        </w:rPr>
        <w:t xml:space="preserve"> Confirmed on the corrected data (October 2026): tone predicts same-day CRSP returns in the forward-guidance period (β = −1.01 per 100 net words, p = 0.005, model R² = 32.8%, N = 56) and not outside it (p = 0.35); see Section 5.5.</w:t>
      </w:r>
    </w:p>
    <w:p>
      <w:pPr>
        <w:pStyle w:val="Heading2"/>
        <w:spacing w:after="160" w:before="360" w:line="312"/>
      </w:pPr>
      <w:bookmarkStart w:id="100043" w:name="_Toc100043"/>
      <w:r>
        <w:rPr>
          <w:b/>
          <w:bCs/>
          <w:color w:val="0B1F3A"/>
          <w:sz w:val="26"/>
          <w:szCs w:val="26"/>
        </w:rPr>
        <w:t xml:space="preserve">5.2 Theoretical Contributions</w:t>
      </w:r>
      <w:bookmarkEnd w:id="100043"/>
    </w:p>
    <w:p>
      <w:pPr>
        <w:spacing w:after="80" w:before="0" w:line="340"/>
        <w:ind w:left="360"/>
      </w:pPr>
      <w:r>
        <w:rPr>
          <w:b/>
          <w:bCs/>
          <w:color w:val="0B1F3A"/>
          <w:sz w:val="22"/>
          <w:szCs w:val="22"/>
        </w:rPr>
        <w:t xml:space="preserve">1. </w:t>
      </w:r>
      <w:r>
        <w:rPr>
          <w:color w:val="1A2B40"/>
          <w:sz w:val="22"/>
          <w:szCs w:val="22"/>
        </w:rPr>
        <w:t xml:space="preserve">Bridging the HFI and NLP literatures: This research is among the first to systematically test whether NLP-based sentiment measures contain incremental information beyond the high-frequency surprise, using multiple sentiment methods (dictionary, FinBERT, LLM) and multiple surprise measures (Kuttner, GSS, Bauer-Swanson) within a unified framework.</w:t>
      </w:r>
    </w:p>
    <w:p>
      <w:pPr>
        <w:spacing w:after="80" w:before="0" w:line="340"/>
        <w:ind w:left="360"/>
      </w:pPr>
      <w:r>
        <w:rPr>
          <w:b/>
          <w:bCs/>
          <w:color w:val="0B1F3A"/>
          <w:sz w:val="22"/>
          <w:szCs w:val="22"/>
        </w:rPr>
        <w:t xml:space="preserve">2. </w:t>
      </w:r>
      <w:r>
        <w:rPr>
          <w:color w:val="1A2B40"/>
          <w:sz w:val="22"/>
          <w:szCs w:val="22"/>
        </w:rPr>
        <w:t xml:space="preserve">Informing the information shock debate: By testing whether text-based sentiment loads more heavily on the information shock than on the policy shock, this research provides novel evidence on whether the information shock genuinely reflects central bank communication about fundamentals — a central question in the debate between Jarociński and Karadi (2020) and Bauer and Swanson (2023).</w:t>
      </w:r>
    </w:p>
    <w:p>
      <w:pPr>
        <w:spacing w:after="80" w:before="0" w:line="340"/>
        <w:ind w:left="360"/>
      </w:pPr>
      <w:r>
        <w:rPr>
          <w:b/>
          <w:bCs/>
          <w:color w:val="0B1F3A"/>
          <w:sz w:val="22"/>
          <w:szCs w:val="22"/>
        </w:rPr>
        <w:t xml:space="preserve">3. </w:t>
      </w:r>
      <w:r>
        <w:rPr>
          <w:color w:val="1A2B40"/>
          <w:sz w:val="22"/>
          <w:szCs w:val="22"/>
        </w:rPr>
        <w:t xml:space="preserve">Regime-dependent transmission: The research tests whether the information content of FOMC communication varies across monetary policy regimes, providing evidence on whether communication becomes more or less important as the policy tool changes (rate changes vs. forward guidance vs. balance sheet policy).</w:t>
      </w:r>
    </w:p>
    <w:p>
      <w:pPr>
        <w:pStyle w:val="Heading2"/>
        <w:spacing w:after="160" w:before="360" w:line="312"/>
      </w:pPr>
      <w:bookmarkStart w:id="100044" w:name="_Toc100044"/>
      <w:r>
        <w:rPr>
          <w:b/>
          <w:bCs/>
          <w:color w:val="0B1F3A"/>
          <w:sz w:val="26"/>
          <w:szCs w:val="26"/>
        </w:rPr>
        <w:t xml:space="preserve">5.3 Empirical Contributions</w:t>
      </w:r>
      <w:bookmarkEnd w:id="100044"/>
    </w:p>
    <w:p>
      <w:pPr>
        <w:spacing w:after="80" w:before="0" w:line="340"/>
        <w:ind w:left="360"/>
      </w:pPr>
      <w:r>
        <w:rPr>
          <w:b/>
          <w:bCs/>
          <w:color w:val="0B1F3A"/>
          <w:sz w:val="22"/>
          <w:szCs w:val="22"/>
        </w:rPr>
        <w:t xml:space="preserve">1. </w:t>
      </w:r>
      <w:r>
        <w:rPr>
          <w:color w:val="1A2B40"/>
          <w:sz w:val="22"/>
          <w:szCs w:val="22"/>
        </w:rPr>
        <w:t xml:space="preserve">Extended sample through 2025: The research extends the sample through the 2022–2025 tightening cycle, providing new out-of-sample evidence on the stability of the monetary policy transmission mechanism. This is particularly valuable given the breakdown of the stock-bond correlation and the return to conventional monetary policy.</w:t>
      </w:r>
    </w:p>
    <w:p>
      <w:pPr>
        <w:spacing w:after="80" w:before="0" w:line="340"/>
        <w:ind w:left="360"/>
      </w:pPr>
      <w:r>
        <w:rPr>
          <w:b/>
          <w:bCs/>
          <w:color w:val="0B1F3A"/>
          <w:sz w:val="22"/>
          <w:szCs w:val="22"/>
        </w:rPr>
        <w:t xml:space="preserve">2. </w:t>
      </w:r>
      <w:r>
        <w:rPr>
          <w:color w:val="1A2B40"/>
          <w:sz w:val="22"/>
          <w:szCs w:val="22"/>
        </w:rPr>
        <w:t xml:space="preserve">Cross-method validation: By comparing dictionary, FinBERT, and LLM-based sentiment methods within the same framework, the research provides guidance on the marginal value of more sophisticated NLP methods for asset pricing research.</w:t>
      </w:r>
    </w:p>
    <w:p>
      <w:pPr>
        <w:spacing w:after="80" w:before="0" w:line="340"/>
        <w:ind w:left="360"/>
      </w:pPr>
      <w:r>
        <w:rPr>
          <w:b/>
          <w:bCs/>
          <w:color w:val="0B1F3A"/>
          <w:sz w:val="22"/>
          <w:szCs w:val="22"/>
        </w:rPr>
        <w:t xml:space="preserve">3. </w:t>
      </w:r>
      <w:r>
        <w:rPr>
          <w:color w:val="1A2B40"/>
          <w:sz w:val="22"/>
          <w:szCs w:val="22"/>
        </w:rPr>
        <w:t xml:space="preserve">Multiple testing correction: The research applies Bonferroni, Holm-Bonferroni, and FDR corrections to address the multiple testing problem that is often overlooked in event studies testing multiple assets simultaneously.</w:t>
      </w:r>
    </w:p>
    <w:p>
      <w:pPr>
        <w:pStyle w:val="Heading2"/>
        <w:spacing w:after="160" w:before="360" w:line="312"/>
      </w:pPr>
      <w:bookmarkStart w:id="100045" w:name="_Toc100045"/>
      <w:r>
        <w:rPr>
          <w:b/>
          <w:bCs/>
          <w:color w:val="0B1F3A"/>
          <w:sz w:val="26"/>
          <w:szCs w:val="26"/>
        </w:rPr>
        <w:t xml:space="preserve">5.4 Policy Implications</w:t>
      </w:r>
      <w:bookmarkEnd w:id="100045"/>
    </w:p>
    <w:p>
      <w:pPr>
        <w:spacing w:after="120" w:before="0" w:line="360"/>
        <w:jc w:val="both"/>
      </w:pPr>
      <w:r>
        <w:rPr>
          <w:b w:val="false"/>
          <w:bCs w:val="false"/>
          <w:i w:val="false"/>
          <w:iCs w:val="false"/>
          <w:color w:val="1A2B40"/>
          <w:sz w:val="22"/>
          <w:szCs w:val="22"/>
        </w:rPr>
        <w:t xml:space="preserve">The findings have implications for central bank communication design. If FOMC language contains significant incremental information beyond the rate decision, this supports the continued expansion of Fed communication tools (press conferences, SEP, dot plot) and suggests that the language of statements should be carefully crafted to avoid unintended signals. If the information channel is confirmed (H3), this has implications for the debate about central bank transparency: revealing the Committee's assessment of economic fundamentals — whether intentionally through communication or unintentionally through the policy action — has real effects on asset prices that should be accounted for in policy deliberations.</w:t>
      </w:r>
    </w:p>
    <w:p>
      <w:pPr>
        <w:spacing w:after="120" w:before="0" w:line="360"/>
        <w:jc w:val="both"/>
      </w:pPr>
      <w:r>
        <w:rPr>
          <w:b w:val="false"/>
          <w:bCs w:val="false"/>
          <w:i w:val="false"/>
          <w:iCs w:val="false"/>
          <w:color w:val="1A2B40"/>
          <w:sz w:val="22"/>
          <w:szCs w:val="22"/>
        </w:rPr>
        <w:t xml:space="preserve">For portfolio management, the findings on regime-dependent information content (H4) and stock-bond correlation dynamics have direct implications for hedging strategies around FOMC announcements and for the construction of regime-dependent asset allocation models.</w:t>
      </w:r>
    </w:p>
    <w:p>
      <w:pPr>
        <w:spacing w:after="100" w:before="0"/>
      </w:pPr>
    </w:p>
    <w:p>
      <w:pPr>
        <w:pStyle w:val="Heading2"/>
      </w:pPr>
      <w:r>
        <w:t>5.5 Preliminary Evidence (Corrected Data, October 2026)</w:t>
      </w:r>
    </w:p>
    <w:p>
      <w:pPr/>
      <w:r>
        <w:t>This section reports results from the corrected pipeline described in the October 2026 audit: a statements-and-surprises-driven sample of 161 meetings (2006–2026), body-only statement texts, same-day returns in percent, and — for flows — CRSP Survivor-Bias-Free Mutual Fund data with point-in-time fund classification, a gap rule of at most three calendar months between TNA reports (most CRSP funds report quarterly), and a |flow| ≤ 0.5×TNA cap. The earlier pseudo Bauer–Swanson step has been removed; shocks enter in their native futures-based form.</w:t>
      </w:r>
    </w:p>
    <w:p>
      <w:pPr>
        <w:pStyle w:val="Heading2"/>
      </w:pPr>
      <w:r>
        <w:t>5.5.1 Prices: the forward-guidance result survives; the tone–surprise link does not</w:t>
      </w:r>
    </w:p>
    <w:p>
      <w:pPr/>
      <w:r>
        <w:t>On the corrected sample the tone–Target link is not significant (β_T = +0.08 per 100 net words, p = 0.36 in 2006–2022; p = 0.44 full sample), and the Wald test cannot separate Target from Path effects (p = 0.59/0.70). The earlier estimate (p = 0.017) was an artifact of the minutes-tied sample and next-day return alignment. Statement tone is therefore treated as a descriptive measure rather than an independent shock series.</w:t>
      </w:r>
    </w:p>
    <w:p>
      <w:pPr/>
      <w:r>
        <w:t>The regime-dependence result survives every correction and is the headline of the price side: tone predicts same-day CRSP value-weighted returns in the forward-guidance period (β = −1.01 per 100 net words, p = 0.005, model R² = 32.8%, N = 56) and not outside it (p = 0.35). Tone adds little incremental return power once shocks are controlled (ΔR² = +0.16 pp, p = 0.64).</w:t>
      </w:r>
    </w:p>
    <w:p>
      <w:pPr>
        <w:pStyle w:val="Heading2"/>
      </w:pPr>
      <w:r>
        <w:t>5.5.2 Flows: risk-ladder direction revised; de-risking on information shocks</w:t>
      </w:r>
    </w:p>
    <w:p>
      <w:pPr/>
      <w:r>
        <w:t>Monthly fund flows (February 2006 – June 2026, seven asset classes) respond to the two shocks in economically distinct ways. Government bonds receive significant inflows on central-bank-information (CBI) shocks (+0.76% of lagged class TNA per shock, p = 0.037) with no response to monetary-policy (MP) shocks; the Wald test of equal effects is marginal (p = 0.098). In the following month, corporate bonds (−0.32, p = 0.026) and large-cap equities (−0.08, p = 0.022) experience outflows, and the difference window confirms the temporary nature of the safety inflow (government bonds Δ = −0.99, p = 0.014).</w:t>
      </w:r>
    </w:p>
    <w:p>
      <w:pPr/>
      <w:r>
        <w:t>Pooled across the seven-class risk ladder, Risk×CBI = −0.066 (p = 0.036): information shocks push portfolios down the ladder — de-risking — the opposite sign to the prediction in Section 3.5. The gap-free specification (which confounds multi-month market drift with flows) gives the same signs with roughly 40% larger magnitudes, so the direction, not the size, is the robust object. A new finding is MP×ZLB = −1.51 (p = 0.005): during the zero-rate period, rate news carried a significantly larger flow response, consistent with rate actions conveying information when the instrument is constrained.</w:t>
      </w:r>
    </w:p>
    <w:p>
      <w:pPr/>
      <w:r>
        <w:rPr>
          <w:i/>
        </w:rPr>
        <w:t>Implication: the risk-ladder hypothesis is revised from risk-seeking to de-risking under information revelations. The sign reversal is reported as found; intraday flow data would discriminate between "the prediction was wrong" and "monthly aggregation masks faster reallocation".</w:t>
      </w:r>
    </w:p>
    <w:p>
      <w:pPr>
        <w:pStyle w:val="Heading1"/>
        <w:spacing w:after="200" w:before="480" w:line="312"/>
      </w:pPr>
      <w:bookmarkStart w:id="100046" w:name="_Toc100046"/>
      <w:r>
        <w:rPr>
          <w:b/>
          <w:bCs/>
          <w:color w:val="0B1F3A"/>
          <w:sz w:val="32"/>
          <w:szCs w:val="32"/>
        </w:rPr>
        <w:t xml:space="preserve">6. Research Plan</w:t>
      </w:r>
      <w:bookmarkEnd w:id="100046"/>
    </w:p>
    <w:p>
      <w:pPr>
        <w:pStyle w:val="Heading2"/>
        <w:spacing w:after="160" w:before="360" w:line="312"/>
      </w:pPr>
      <w:bookmarkStart w:id="100047" w:name="_Toc100047"/>
      <w:r>
        <w:rPr>
          <w:b/>
          <w:bCs/>
          <w:color w:val="0B1F3A"/>
          <w:sz w:val="26"/>
          <w:szCs w:val="26"/>
        </w:rPr>
        <w:t xml:space="preserve">6.1 Timeline</w:t>
      </w:r>
      <w:bookmarkEnd w:id="100047"/>
    </w:p>
    <w:p>
      <w:pPr>
        <w:spacing w:after="120" w:before="0" w:line="360"/>
        <w:jc w:val="both"/>
      </w:pPr>
      <w:r>
        <w:rPr>
          <w:b w:val="false"/>
          <w:bCs w:val="false"/>
          <w:i w:val="false"/>
          <w:iCs w:val="false"/>
          <w:color w:val="1A2B40"/>
          <w:sz w:val="22"/>
          <w:szCs w:val="22"/>
        </w:rPr>
        <w:t xml:space="preserve">The research is conducted over eight months, divided into four phases:</w:t>
      </w:r>
    </w:p>
    <w:tbl>
      <w:tblPr>
        <w:tblW w:type="pct" w:w="100%"/>
        <w:tblBorders>
          <w:top w:val="single" w:color="0B1F3A" w:sz="8"/>
          <w:left w:val="single" w:color="D0D4DC" w:sz="2"/>
          <w:bottom w:val="single" w:color="0B1F3A" w:sz="8"/>
          <w:right w:val="single" w:color="D0D4DC" w:sz="2"/>
          <w:insideH w:val="single" w:color="D0D4DC" w:sz="2"/>
          <w:insideV w:val="single" w:color="D0D4DC" w:sz="2"/>
        </w:tblBorders>
      </w:tblPr>
      <w:tblGrid>
        <w:gridCol w:w="100"/>
        <w:gridCol w:w="100"/>
        <w:gridCol w:w="100"/>
        <w:gridCol w:w="100"/>
      </w:tblGrid>
      <w:tr>
        <w:trPr>
          <w:tblHeader/>
        </w:trPr>
        <w:tc>
          <w:tcPr>
            <w:tcW w:type="dxa" w:w="20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Phase</w:t>
            </w:r>
          </w:p>
        </w:tc>
        <w:tc>
          <w:tcPr>
            <w:tcW w:type="dxa" w:w="22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Duration</w:t>
            </w:r>
          </w:p>
        </w:tc>
        <w:tc>
          <w:tcPr>
            <w:tcW w:type="dxa" w:w="24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Key Activities</w:t>
            </w:r>
          </w:p>
        </w:tc>
        <w:tc>
          <w:tcPr>
            <w:tcW w:type="dxa" w:w="26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Deliverables</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Phase 1</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Months 1–2</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Data infrastructure; surprise and sentiment construction; H1–H2 preliminary tests</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Clean dataset; preliminary H1–H2 results</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Phase 2</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Months 3–4</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Two-shocks decomposition; H3 test; robustness with alternative surprise measures</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H3 results; two-shocks analysis</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Phase 3</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Months 5–6</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Regime-dependent analysis (H4); cross-asset correlation; portfolio rebalancing</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H4 results; cross-asset analysis</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Phase 4</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Months 7–8</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Robustness checks; paper writing; submission</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Complete manuscript; journal submission</w:t>
            </w:r>
          </w:p>
        </w:tc>
      </w:tr>
    </w:tbl>
    <w:p>
      <w:pPr>
        <w:spacing w:after="60" w:before="120" w:line="300"/>
        <w:jc w:val="left"/>
      </w:pPr>
      <w:r>
        <w:rPr>
          <w:i/>
          <w:iCs/>
          <w:color w:val="4A5568"/>
          <w:sz w:val="20"/>
          <w:szCs w:val="20"/>
        </w:rPr>
        <w:t xml:space="preserve">Table 3. Research timeline and phase structure.</w:t>
      </w:r>
    </w:p>
    <w:p>
      <w:pPr>
        <w:pStyle w:val="Heading2"/>
        <w:spacing w:after="160" w:before="360" w:line="312"/>
      </w:pPr>
      <w:bookmarkStart w:id="100048" w:name="_Toc100048"/>
      <w:r>
        <w:rPr>
          <w:b/>
          <w:bCs/>
          <w:color w:val="0B1F3A"/>
          <w:sz w:val="26"/>
          <w:szCs w:val="26"/>
        </w:rPr>
        <w:t xml:space="preserve">6.2 Phase 1: Data Infrastructure and Preliminary Tests (Months 1–2)</w:t>
      </w:r>
      <w:bookmarkEnd w:id="100048"/>
    </w:p>
    <w:p>
      <w:pPr>
        <w:pStyle w:val="Heading3"/>
        <w:spacing w:after="120" w:before="240" w:line="312"/>
      </w:pPr>
      <w:bookmarkStart w:id="100049" w:name="_Toc100049"/>
      <w:r>
        <w:rPr>
          <w:b/>
          <w:bCs/>
          <w:color w:val="8B1A1A"/>
          <w:sz w:val="22"/>
          <w:szCs w:val="22"/>
        </w:rPr>
        <w:t xml:space="preserve">6.2.1 Data Collection</w:t>
      </w:r>
      <w:bookmarkEnd w:id="100049"/>
    </w:p>
    <w:p>
      <w:pPr>
        <w:pStyle w:val="ListParagraph"/>
        <w:numPr>
          <w:ilvl w:val="0"/>
          <w:numId w:val="1"/>
        </w:numPr>
        <w:spacing w:after="80" w:before="0" w:line="340"/>
        <w:ind w:left="360"/>
      </w:pPr>
      <w:r>
        <w:rPr>
          <w:color w:val="1A2B40"/>
          <w:sz w:val="22"/>
          <w:szCs w:val="22"/>
        </w:rPr>
        <w:t xml:space="preserve">Obtain WRDS access (CRSP, CME, TAQ, IBES databases) and verify data availability</w:t>
      </w:r>
    </w:p>
    <w:p>
      <w:pPr>
        <w:pStyle w:val="ListParagraph"/>
        <w:numPr>
          <w:ilvl w:val="0"/>
          <w:numId w:val="1"/>
        </w:numPr>
        <w:spacing w:after="80" w:before="0" w:line="340"/>
        <w:ind w:left="360"/>
      </w:pPr>
      <w:r>
        <w:rPr>
          <w:color w:val="1A2B40"/>
          <w:sz w:val="22"/>
          <w:szCs w:val="22"/>
        </w:rPr>
        <w:t xml:space="preserve">Download the Bauer-Swanson MPS dataset from the San Francisco Fed</w:t>
      </w:r>
    </w:p>
    <w:p>
      <w:pPr>
        <w:pStyle w:val="ListParagraph"/>
        <w:numPr>
          <w:ilvl w:val="0"/>
          <w:numId w:val="1"/>
        </w:numPr>
        <w:spacing w:after="80" w:before="0" w:line="340"/>
        <w:ind w:left="360"/>
      </w:pPr>
      <w:r>
        <w:rPr>
          <w:color w:val="1A2B40"/>
          <w:sz w:val="22"/>
          <w:szCs w:val="22"/>
        </w:rPr>
        <w:t xml:space="preserve">Download the Jarociński-Karadi updated shock series (through January 2024)</w:t>
      </w:r>
    </w:p>
    <w:p>
      <w:pPr>
        <w:pStyle w:val="ListParagraph"/>
        <w:numPr>
          <w:ilvl w:val="0"/>
          <w:numId w:val="1"/>
        </w:numPr>
        <w:spacing w:after="80" w:before="0" w:line="340"/>
        <w:ind w:left="360"/>
      </w:pPr>
      <w:r>
        <w:rPr>
          <w:color w:val="1A2B40"/>
          <w:sz w:val="22"/>
          <w:szCs w:val="22"/>
        </w:rPr>
        <w:t xml:space="preserve">Collect and clean FOMC statements, minutes, and press conference transcripts (2006–2025)</w:t>
      </w:r>
    </w:p>
    <w:p>
      <w:pPr>
        <w:pStyle w:val="ListParagraph"/>
        <w:numPr>
          <w:ilvl w:val="0"/>
          <w:numId w:val="1"/>
        </w:numPr>
        <w:spacing w:after="80" w:before="0" w:line="340"/>
        <w:ind w:left="360"/>
      </w:pPr>
      <w:r>
        <w:rPr>
          <w:color w:val="1A2B40"/>
          <w:sz w:val="22"/>
          <w:szCs w:val="22"/>
        </w:rPr>
        <w:t xml:space="preserve">Collect asset price data from FRED, CRSP, and yfinance</w:t>
      </w:r>
    </w:p>
    <w:p>
      <w:pPr>
        <w:pStyle w:val="Heading3"/>
        <w:spacing w:after="120" w:before="240" w:line="312"/>
      </w:pPr>
      <w:bookmarkStart w:id="100050" w:name="_Toc100050"/>
      <w:r>
        <w:rPr>
          <w:b/>
          <w:bCs/>
          <w:color w:val="8B1A1A"/>
          <w:sz w:val="22"/>
          <w:szCs w:val="22"/>
        </w:rPr>
        <w:t xml:space="preserve">6.2.2 Variable Construction</w:t>
      </w:r>
      <w:bookmarkEnd w:id="100050"/>
    </w:p>
    <w:p>
      <w:pPr>
        <w:pStyle w:val="ListParagraph"/>
        <w:numPr>
          <w:ilvl w:val="0"/>
          <w:numId w:val="1"/>
        </w:numPr>
        <w:spacing w:after="80" w:before="0" w:line="340"/>
        <w:ind w:left="360"/>
      </w:pPr>
      <w:r>
        <w:rPr>
          <w:color w:val="1A2B40"/>
          <w:sz w:val="22"/>
          <w:szCs w:val="22"/>
        </w:rPr>
        <w:t xml:space="preserve">Construct the monetary policy surprise series (Bauer-Swanson MPS as primary; Kuttner and GSS as robustness)</w:t>
      </w:r>
    </w:p>
    <w:p>
      <w:pPr>
        <w:pStyle w:val="ListParagraph"/>
        <w:numPr>
          <w:ilvl w:val="0"/>
          <w:numId w:val="1"/>
        </w:numPr>
        <w:spacing w:after="80" w:before="0" w:line="340"/>
        <w:ind w:left="360"/>
      </w:pPr>
      <w:r>
        <w:rPr>
          <w:color w:val="1A2B40"/>
          <w:sz w:val="22"/>
          <w:szCs w:val="22"/>
        </w:rPr>
        <w:t xml:space="preserve">Compute the dictionary-based sentiment score (LM + CB hybrid)</w:t>
      </w:r>
    </w:p>
    <w:p>
      <w:pPr>
        <w:pStyle w:val="ListParagraph"/>
        <w:numPr>
          <w:ilvl w:val="0"/>
          <w:numId w:val="1"/>
        </w:numPr>
        <w:spacing w:after="80" w:before="0" w:line="340"/>
        <w:ind w:left="360"/>
      </w:pPr>
      <w:r>
        <w:rPr>
          <w:color w:val="1A2B40"/>
          <w:sz w:val="22"/>
          <w:szCs w:val="22"/>
        </w:rPr>
        <w:t xml:space="preserve">Fine-tune FinBERT on FOMC text using expert-labeled training sample</w:t>
      </w:r>
    </w:p>
    <w:p>
      <w:pPr>
        <w:pStyle w:val="ListParagraph"/>
        <w:numPr>
          <w:ilvl w:val="0"/>
          <w:numId w:val="1"/>
        </w:numPr>
        <w:spacing w:after="80" w:before="0" w:line="340"/>
        <w:ind w:left="360"/>
      </w:pPr>
      <w:r>
        <w:rPr>
          <w:color w:val="1A2B40"/>
          <w:sz w:val="22"/>
          <w:szCs w:val="22"/>
        </w:rPr>
        <w:t xml:space="preserve">Compute CAR for all asset classes using the market model with 250-day estimation window</w:t>
      </w:r>
    </w:p>
    <w:p>
      <w:pPr>
        <w:pStyle w:val="Heading3"/>
        <w:spacing w:after="120" w:before="240" w:line="312"/>
      </w:pPr>
      <w:bookmarkStart w:id="100051" w:name="_Toc100051"/>
      <w:r>
        <w:rPr>
          <w:b/>
          <w:bCs/>
          <w:color w:val="8B1A1A"/>
          <w:sz w:val="22"/>
          <w:szCs w:val="22"/>
        </w:rPr>
        <w:t xml:space="preserve">6.2.3 Preliminary Tests (H1–H2)</w:t>
      </w:r>
      <w:bookmarkEnd w:id="100051"/>
    </w:p>
    <w:p>
      <w:pPr>
        <w:pStyle w:val="ListParagraph"/>
        <w:numPr>
          <w:ilvl w:val="0"/>
          <w:numId w:val="1"/>
        </w:numPr>
        <w:spacing w:after="80" w:before="0" w:line="340"/>
        <w:ind w:left="360"/>
      </w:pPr>
      <w:r>
        <w:rPr>
          <w:color w:val="1A2B40"/>
          <w:sz w:val="22"/>
          <w:szCs w:val="22"/>
        </w:rPr>
        <w:t xml:space="preserve">Estimate Model 1 (Equation 5) and test H1: 0 &lt; β &lt; 1</w:t>
      </w:r>
    </w:p>
    <w:p>
      <w:pPr>
        <w:pStyle w:val="ListParagraph"/>
        <w:numPr>
          <w:ilvl w:val="0"/>
          <w:numId w:val="1"/>
        </w:numPr>
        <w:spacing w:after="80" w:before="0" w:line="340"/>
        <w:ind w:left="360"/>
      </w:pPr>
      <w:r>
        <w:rPr>
          <w:color w:val="1A2B40"/>
          <w:sz w:val="22"/>
          <w:szCs w:val="22"/>
        </w:rPr>
        <w:t xml:space="preserve">Estimate Model 2 (Equation 6) for each asset class and test H2: β₂ ≠ 0</w:t>
      </w:r>
    </w:p>
    <w:p>
      <w:pPr>
        <w:pStyle w:val="ListParagraph"/>
        <w:numPr>
          <w:ilvl w:val="0"/>
          <w:numId w:val="1"/>
        </w:numPr>
        <w:spacing w:after="80" w:before="0" w:line="340"/>
        <w:ind w:left="360"/>
      </w:pPr>
      <w:r>
        <w:rPr>
          <w:color w:val="1A2B40"/>
          <w:sz w:val="22"/>
          <w:szCs w:val="22"/>
        </w:rPr>
        <w:t xml:space="preserve">Compute incremental R² and assess economic significance</w:t>
      </w:r>
    </w:p>
    <w:p>
      <w:pPr>
        <w:pStyle w:val="ListParagraph"/>
        <w:numPr>
          <w:ilvl w:val="0"/>
          <w:numId w:val="1"/>
        </w:numPr>
        <w:spacing w:after="80" w:before="0" w:line="340"/>
        <w:ind w:left="360"/>
      </w:pPr>
      <w:r>
        <w:rPr>
          <w:color w:val="1A2B40"/>
          <w:sz w:val="22"/>
          <w:szCs w:val="22"/>
        </w:rPr>
        <w:t xml:space="preserve">Conduct initial robustness with alternative surprise and sentiment measures</w:t>
      </w:r>
    </w:p>
    <w:p>
      <w:pPr>
        <w:pStyle w:val="Heading2"/>
        <w:spacing w:after="160" w:before="360" w:line="312"/>
      </w:pPr>
      <w:bookmarkStart w:id="100052" w:name="_Toc100052"/>
      <w:r>
        <w:rPr>
          <w:b/>
          <w:bCs/>
          <w:color w:val="0B1F3A"/>
          <w:sz w:val="26"/>
          <w:szCs w:val="26"/>
        </w:rPr>
        <w:t xml:space="preserve">6.3 Phase 2: Two-Shocks Decomposition (Months 3–4)</w:t>
      </w:r>
      <w:bookmarkEnd w:id="100052"/>
    </w:p>
    <w:p>
      <w:pPr>
        <w:pStyle w:val="ListParagraph"/>
        <w:numPr>
          <w:ilvl w:val="0"/>
          <w:numId w:val="1"/>
        </w:numPr>
        <w:spacing w:after="80" w:before="0" w:line="340"/>
        <w:ind w:left="360"/>
      </w:pPr>
      <w:r>
        <w:rPr>
          <w:color w:val="1A2B40"/>
          <w:sz w:val="22"/>
          <w:szCs w:val="22"/>
        </w:rPr>
        <w:t xml:space="preserve">Implement the Bayesian SVAR with sign restrictions following Jarociński and Karadi (2020)</w:t>
      </w:r>
    </w:p>
    <w:p>
      <w:pPr>
        <w:pStyle w:val="ListParagraph"/>
        <w:numPr>
          <w:ilvl w:val="0"/>
          <w:numId w:val="1"/>
        </w:numPr>
        <w:spacing w:after="80" w:before="0" w:line="340"/>
        <w:ind w:left="360"/>
      </w:pPr>
      <w:r>
        <w:rPr>
          <w:color w:val="1A2B40"/>
          <w:sz w:val="22"/>
          <w:szCs w:val="22"/>
        </w:rPr>
        <w:t xml:space="preserve">Extend the shock series to cover the full sample period</w:t>
      </w:r>
    </w:p>
    <w:p>
      <w:pPr>
        <w:pStyle w:val="ListParagraph"/>
        <w:numPr>
          <w:ilvl w:val="0"/>
          <w:numId w:val="1"/>
        </w:numPr>
        <w:spacing w:after="80" w:before="0" w:line="340"/>
        <w:ind w:left="360"/>
      </w:pPr>
      <w:r>
        <w:rPr>
          <w:color w:val="1A2B40"/>
          <w:sz w:val="22"/>
          <w:szCs w:val="22"/>
        </w:rPr>
        <w:t xml:space="preserve">Estimate Model 3 (Equation 8) and test H3: |γ₂| &gt; |γ₁|</w:t>
      </w:r>
    </w:p>
    <w:p>
      <w:pPr>
        <w:pStyle w:val="ListParagraph"/>
        <w:numPr>
          <w:ilvl w:val="0"/>
          <w:numId w:val="1"/>
        </w:numPr>
        <w:spacing w:after="80" w:before="0" w:line="340"/>
        <w:ind w:left="360"/>
      </w:pPr>
      <w:r>
        <w:rPr>
          <w:color w:val="1A2B40"/>
          <w:sz w:val="22"/>
          <w:szCs w:val="22"/>
        </w:rPr>
        <w:t xml:space="preserve">Conduct robustness with alternative sign restriction sets and priors</w:t>
      </w:r>
    </w:p>
    <w:p>
      <w:pPr>
        <w:pStyle w:val="ListParagraph"/>
        <w:numPr>
          <w:ilvl w:val="0"/>
          <w:numId w:val="1"/>
        </w:numPr>
        <w:spacing w:after="80" w:before="0" w:line="340"/>
        <w:ind w:left="360"/>
      </w:pPr>
      <w:r>
        <w:rPr>
          <w:color w:val="1A2B40"/>
          <w:sz w:val="22"/>
          <w:szCs w:val="22"/>
        </w:rPr>
        <w:t xml:space="preserve">Analyze the equity puzzle: identify episodes where tightening surprises are associated with rising equity prices and test whether the information shock explains these episodes</w:t>
      </w:r>
    </w:p>
    <w:p>
      <w:pPr>
        <w:pStyle w:val="Heading2"/>
        <w:spacing w:after="160" w:before="360" w:line="312"/>
      </w:pPr>
      <w:bookmarkStart w:id="100053" w:name="_Toc100053"/>
      <w:r>
        <w:rPr>
          <w:b/>
          <w:bCs/>
          <w:color w:val="0B1F3A"/>
          <w:sz w:val="26"/>
          <w:szCs w:val="26"/>
        </w:rPr>
        <w:t xml:space="preserve">6.4 Phase 3: Regime Analysis and Cross-Asset Effects (Months 5–6)</w:t>
      </w:r>
      <w:bookmarkEnd w:id="100053"/>
    </w:p>
    <w:p>
      <w:pPr>
        <w:pStyle w:val="ListParagraph"/>
        <w:numPr>
          <w:ilvl w:val="0"/>
          <w:numId w:val="1"/>
        </w:numPr>
        <w:spacing w:after="80" w:before="0" w:line="340"/>
        <w:ind w:left="360"/>
      </w:pPr>
      <w:r>
        <w:rPr>
          <w:color w:val="1A2B40"/>
          <w:sz w:val="22"/>
          <w:szCs w:val="22"/>
        </w:rPr>
        <w:t xml:space="preserve">Estimate Model 4 (Equation 9) with the forward guidance interaction and test H4</w:t>
      </w:r>
    </w:p>
    <w:p>
      <w:pPr>
        <w:pStyle w:val="ListParagraph"/>
        <w:numPr>
          <w:ilvl w:val="0"/>
          <w:numId w:val="1"/>
        </w:numPr>
        <w:spacing w:after="80" w:before="0" w:line="340"/>
        <w:ind w:left="360"/>
      </w:pPr>
      <w:r>
        <w:rPr>
          <w:color w:val="1A2B40"/>
          <w:sz w:val="22"/>
          <w:szCs w:val="22"/>
        </w:rPr>
        <w:t xml:space="preserve">Analyze cross-asset correlation changes around FOMC announcements</w:t>
      </w:r>
    </w:p>
    <w:p>
      <w:pPr>
        <w:pStyle w:val="ListParagraph"/>
        <w:numPr>
          <w:ilvl w:val="0"/>
          <w:numId w:val="1"/>
        </w:numPr>
        <w:spacing w:after="80" w:before="0" w:line="340"/>
        <w:ind w:left="360"/>
      </w:pPr>
      <w:r>
        <w:rPr>
          <w:color w:val="1A2B40"/>
          <w:sz w:val="22"/>
          <w:szCs w:val="22"/>
        </w:rPr>
        <w:t xml:space="preserve">Examine stock-bond correlation regimes (Campbell &amp; Pflueger, 2025) and their interaction with monetary policy transmission</w:t>
      </w:r>
    </w:p>
    <w:p>
      <w:pPr>
        <w:pStyle w:val="ListParagraph"/>
        <w:numPr>
          <w:ilvl w:val="0"/>
          <w:numId w:val="1"/>
        </w:numPr>
        <w:spacing w:after="80" w:before="0" w:line="340"/>
        <w:ind w:left="360"/>
      </w:pPr>
      <w:r>
        <w:rPr>
          <w:color w:val="1A2B40"/>
          <w:sz w:val="22"/>
          <w:szCs w:val="22"/>
        </w:rPr>
        <w:t xml:space="preserve">Conduct portfolio rebalancing analysis using CRSP mutual fund holdings data</w:t>
      </w:r>
    </w:p>
    <w:p>
      <w:pPr>
        <w:pStyle w:val="ListParagraph"/>
        <w:numPr>
          <w:ilvl w:val="0"/>
          <w:numId w:val="1"/>
        </w:numPr>
        <w:spacing w:after="80" w:before="0" w:line="340"/>
        <w:ind w:left="360"/>
      </w:pPr>
      <w:r>
        <w:rPr>
          <w:color w:val="1A2B40"/>
          <w:sz w:val="22"/>
          <w:szCs w:val="22"/>
        </w:rPr>
        <w:t xml:space="preserve">Analyze the 2022–2025 tightening cycle as a natural experiment</w:t>
      </w:r>
    </w:p>
    <w:p>
      <w:pPr>
        <w:pStyle w:val="Heading2"/>
        <w:spacing w:after="160" w:before="360" w:line="312"/>
      </w:pPr>
      <w:bookmarkStart w:id="100054" w:name="_Toc100054"/>
      <w:r>
        <w:rPr>
          <w:b/>
          <w:bCs/>
          <w:color w:val="0B1F3A"/>
          <w:sz w:val="26"/>
          <w:szCs w:val="26"/>
        </w:rPr>
        <w:t xml:space="preserve">6.5 Phase 4: Robustness and Writing (Months 7–8)</w:t>
      </w:r>
      <w:bookmarkEnd w:id="100054"/>
    </w:p>
    <w:p>
      <w:pPr>
        <w:pStyle w:val="ListParagraph"/>
        <w:numPr>
          <w:ilvl w:val="0"/>
          <w:numId w:val="1"/>
        </w:numPr>
        <w:spacing w:after="80" w:before="0" w:line="340"/>
        <w:ind w:left="360"/>
      </w:pPr>
      <w:r>
        <w:rPr>
          <w:color w:val="1A2B40"/>
          <w:sz w:val="22"/>
          <w:szCs w:val="22"/>
        </w:rPr>
        <w:t xml:space="preserve">Complete all robustness checks (Table 2)</w:t>
      </w:r>
    </w:p>
    <w:p>
      <w:pPr>
        <w:pStyle w:val="ListParagraph"/>
        <w:numPr>
          <w:ilvl w:val="0"/>
          <w:numId w:val="1"/>
        </w:numPr>
        <w:spacing w:after="80" w:before="0" w:line="340"/>
        <w:ind w:left="360"/>
      </w:pPr>
      <w:r>
        <w:rPr>
          <w:color w:val="1A2B40"/>
          <w:sz w:val="22"/>
          <w:szCs w:val="22"/>
        </w:rPr>
        <w:t xml:space="preserve">Apply multiple testing corrections (Bonferroni, Holm-Bonferroni, FDR)</w:t>
      </w:r>
    </w:p>
    <w:p>
      <w:pPr>
        <w:pStyle w:val="ListParagraph"/>
        <w:numPr>
          <w:ilvl w:val="0"/>
          <w:numId w:val="1"/>
        </w:numPr>
        <w:spacing w:after="80" w:before="0" w:line="340"/>
        <w:ind w:left="360"/>
      </w:pPr>
      <w:r>
        <w:rPr>
          <w:color w:val="1A2B40"/>
          <w:sz w:val="22"/>
          <w:szCs w:val="22"/>
        </w:rPr>
        <w:t xml:space="preserve">Conduct sensitivity analysis on window lengths, lag choices, and sample periods</w:t>
      </w:r>
    </w:p>
    <w:p>
      <w:pPr>
        <w:pStyle w:val="ListParagraph"/>
        <w:numPr>
          <w:ilvl w:val="0"/>
          <w:numId w:val="1"/>
        </w:numPr>
        <w:spacing w:after="80" w:before="0" w:line="340"/>
        <w:ind w:left="360"/>
      </w:pPr>
      <w:r>
        <w:rPr>
          <w:color w:val="1A2B40"/>
          <w:sz w:val="22"/>
          <w:szCs w:val="22"/>
        </w:rPr>
        <w:t xml:space="preserve">Write the manuscript following the structure: Introduction, Literature Review, Data, Methodology, Results, Robustness, Conclusion</w:t>
      </w:r>
    </w:p>
    <w:p>
      <w:pPr>
        <w:pStyle w:val="ListParagraph"/>
        <w:numPr>
          <w:ilvl w:val="0"/>
          <w:numId w:val="1"/>
        </w:numPr>
        <w:spacing w:after="80" w:before="0" w:line="340"/>
        <w:ind w:left="360"/>
      </w:pPr>
      <w:r>
        <w:rPr>
          <w:color w:val="1A2B40"/>
          <w:sz w:val="22"/>
          <w:szCs w:val="22"/>
        </w:rPr>
        <w:t xml:space="preserve">Target submission: Journal of Monetary Economics, Journal of Financial Economics, or Review of Financial Studies</w:t>
      </w:r>
    </w:p>
    <w:p>
      <w:pPr>
        <w:pStyle w:val="Heading2"/>
        <w:spacing w:after="160" w:before="360" w:line="312"/>
      </w:pPr>
      <w:bookmarkStart w:id="100055" w:name="_Toc100055"/>
      <w:r>
        <w:rPr>
          <w:b/>
          <w:bCs/>
          <w:color w:val="0B1F3A"/>
          <w:sz w:val="26"/>
          <w:szCs w:val="26"/>
        </w:rPr>
        <w:t xml:space="preserve">6.6 Milestones and Risk Mitigation</w:t>
      </w:r>
      <w:bookmarkEnd w:id="100055"/>
    </w:p>
    <w:tbl>
      <w:tblPr>
        <w:tblW w:type="pct" w:w="100%"/>
        <w:tblBorders>
          <w:top w:val="single" w:color="0B1F3A" w:sz="8"/>
          <w:left w:val="single" w:color="D0D4DC" w:sz="2"/>
          <w:bottom w:val="single" w:color="0B1F3A" w:sz="8"/>
          <w:right w:val="single" w:color="D0D4DC" w:sz="2"/>
          <w:insideH w:val="single" w:color="D0D4DC" w:sz="2"/>
          <w:insideV w:val="single" w:color="D0D4DC" w:sz="2"/>
        </w:tblBorders>
      </w:tblPr>
      <w:tblGrid>
        <w:gridCol w:w="100"/>
        <w:gridCol w:w="100"/>
        <w:gridCol w:w="100"/>
        <w:gridCol w:w="100"/>
      </w:tblGrid>
      <w:tr>
        <w:trPr>
          <w:tblHeader/>
        </w:trPr>
        <w:tc>
          <w:tcPr>
            <w:tcW w:type="dxa" w:w="20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Milestone</w:t>
            </w:r>
          </w:p>
        </w:tc>
        <w:tc>
          <w:tcPr>
            <w:tcW w:type="dxa" w:w="22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Target Month</w:t>
            </w:r>
          </w:p>
        </w:tc>
        <w:tc>
          <w:tcPr>
            <w:tcW w:type="dxa" w:w="24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Risk</w:t>
            </w:r>
          </w:p>
        </w:tc>
        <w:tc>
          <w:tcPr>
            <w:tcW w:type="dxa" w:w="2600"/>
            <w:shd w:fill="0B1F3A" w:color="auto" w:val="clear"/>
            <w:tcMar>
              <w:top w:type="dxa" w:w="80"/>
              <w:left w:type="dxa" w:w="120"/>
              <w:bottom w:type="dxa" w:w="80"/>
              <w:right w:type="dxa" w:w="120"/>
            </w:tcMar>
          </w:tcPr>
          <w:p>
            <w:pPr>
              <w:spacing w:after="0" w:before="0" w:line="280"/>
              <w:jc w:val="left"/>
            </w:pPr>
            <w:r>
              <w:rPr>
                <w:b/>
                <w:bCs/>
                <w:color w:val="FFFFFF"/>
                <w:sz w:val="20"/>
                <w:szCs w:val="20"/>
              </w:rPr>
              <w:t xml:space="preserve">Mitigation</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WRDS access obtained</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Month 1</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Access delay</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Use FRED + yfinance for preliminary analysis</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H1–H2 preliminary results</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Month 2</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Weak sentiment signal</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Upgrade to FinBERT; extend sample</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Two-shocks decomposition complete</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Month 4</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SVAR estimation issues</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Use JK public data; consult replication package</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All hypotheses tested</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Month 6</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Multiple testing concerns</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Pre-register analysis plan; apply corrections</w:t>
            </w:r>
          </w:p>
        </w:tc>
      </w:tr>
      <w:tr>
        <w:trPr>
          <w:tblHeader w:val="false"/>
        </w:trPr>
        <w:tc>
          <w:tcPr>
            <w:tcW w:type="dxa" w:w="20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Manuscript complete</w:t>
            </w:r>
          </w:p>
        </w:tc>
        <w:tc>
          <w:tcPr>
            <w:tcW w:type="dxa" w:w="22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Month 8</w:t>
            </w:r>
          </w:p>
        </w:tc>
        <w:tc>
          <w:tcPr>
            <w:tcW w:type="dxa" w:w="24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Reviewer concerns</w:t>
            </w:r>
          </w:p>
        </w:tc>
        <w:tc>
          <w:tcPr>
            <w:tcW w:type="dxa" w:w="2600"/>
            <w:shd w:fill="FFFFFF" w:color="auto" w:val="clear"/>
            <w:tcMar>
              <w:top w:type="dxa" w:w="80"/>
              <w:left w:type="dxa" w:w="120"/>
              <w:bottom w:type="dxa" w:w="80"/>
              <w:right w:type="dxa" w:w="120"/>
            </w:tcMar>
          </w:tcPr>
          <w:p>
            <w:pPr>
              <w:spacing w:after="0" w:before="0" w:line="280"/>
              <w:jc w:val="left"/>
            </w:pPr>
            <w:r>
              <w:rPr>
                <w:b w:val="false"/>
                <w:bCs w:val="false"/>
                <w:color w:val="1A2B40"/>
                <w:sz w:val="20"/>
                <w:szCs w:val="20"/>
              </w:rPr>
              <w:t xml:space="preserve">Conduct additional robustness; revise</w:t>
            </w:r>
          </w:p>
        </w:tc>
      </w:tr>
    </w:tbl>
    <w:p>
      <w:pPr>
        <w:spacing w:after="60" w:before="120" w:line="300"/>
        <w:jc w:val="left"/>
      </w:pPr>
      <w:r>
        <w:rPr>
          <w:i/>
          <w:iCs/>
          <w:color w:val="4A5568"/>
          <w:sz w:val="20"/>
          <w:szCs w:val="20"/>
        </w:rPr>
        <w:t xml:space="preserve">Table 4. Milestones and risk mitigation plan.</w:t>
      </w:r>
    </w:p>
    <w:p>
      <w:pPr>
        <w:spacing w:after="100" w:before="0"/>
      </w:pPr>
    </w:p>
    <w:p>
      <w:pPr>
        <w:pStyle w:val="Heading1"/>
        <w:spacing w:after="200" w:before="480" w:line="312"/>
      </w:pPr>
      <w:bookmarkStart w:id="100056" w:name="_Toc100056"/>
      <w:r>
        <w:rPr>
          <w:b/>
          <w:bCs/>
          <w:color w:val="0B1F3A"/>
          <w:sz w:val="32"/>
          <w:szCs w:val="32"/>
        </w:rPr>
        <w:t xml:space="preserve">7. References</w:t>
      </w:r>
      <w:bookmarkEnd w:id="100056"/>
    </w:p>
    <w:p>
      <w:pPr>
        <w:spacing w:after="100" w:before="0" w:line="300"/>
        <w:ind w:left="480" w:hanging="480"/>
      </w:pPr>
      <w:r>
        <w:rPr>
          <w:color w:val="1A2B40"/>
          <w:sz w:val="20"/>
          <w:szCs w:val="20"/>
        </w:rPr>
        <w:t xml:space="preserve">Acosta, M. (2025). Financial market effects of FOMC communication. Federal Reserve Bank of San Francisco Economic Letter.</w:t>
      </w:r>
    </w:p>
    <w:p>
      <w:pPr>
        <w:spacing w:after="100" w:before="0" w:line="300"/>
        <w:ind w:left="480" w:hanging="480"/>
      </w:pPr>
      <w:r>
        <w:rPr>
          <w:color w:val="1A2B40"/>
          <w:sz w:val="20"/>
          <w:szCs w:val="20"/>
        </w:rPr>
        <w:t xml:space="preserve">Ahrens, A. (2025). Mind your language: Multimodal NLP approaches to central bank communication. Working Paper.</w:t>
      </w:r>
    </w:p>
    <w:p>
      <w:pPr>
        <w:spacing w:after="100" w:before="0" w:line="300"/>
        <w:ind w:left="480" w:hanging="480"/>
      </w:pPr>
      <w:r>
        <w:rPr>
          <w:color w:val="1A2B40"/>
          <w:sz w:val="20"/>
          <w:szCs w:val="20"/>
        </w:rPr>
        <w:t>Adrian, T., &amp; Shin, H. S. (2010). Financial intermediaries and monetary economics. In Handbook of Monetary Economics (Vol. 3). Elsevier.</w:t>
      </w:r>
    </w:p>
    <w:p>
      <w:pPr>
        <w:spacing w:after="100" w:before="0" w:line="300"/>
        <w:ind w:left="480" w:hanging="480"/>
      </w:pPr>
      <w:r>
        <w:rPr>
          <w:color w:val="1A2B40"/>
          <w:sz w:val="20"/>
          <w:szCs w:val="20"/>
        </w:rPr>
        <w:t xml:space="preserve">Araci, D. (2019). FinBERT: Financial sentiment analysis with pre-trained language models. arXiv preprint arXiv:1908.10063.</w:t>
      </w:r>
    </w:p>
    <w:p>
      <w:pPr>
        <w:spacing w:after="100" w:before="0" w:line="300"/>
        <w:ind w:left="480" w:hanging="480"/>
      </w:pPr>
      <w:r>
        <w:rPr>
          <w:color w:val="1A2B40"/>
          <w:sz w:val="20"/>
          <w:szCs w:val="20"/>
        </w:rPr>
        <w:t xml:space="preserve">Bauer, M. D., Pflueger, C. E., &amp; Sunderam, A. (2024). Perceptions about monetary policy. NBER Working Paper No. 32237.</w:t>
      </w:r>
    </w:p>
    <w:p>
      <w:pPr>
        <w:spacing w:after="100" w:before="0" w:line="300"/>
        <w:ind w:left="480" w:hanging="480"/>
      </w:pPr>
      <w:r>
        <w:rPr>
          <w:color w:val="1A2B40"/>
          <w:sz w:val="20"/>
          <w:szCs w:val="20"/>
        </w:rPr>
        <w:t xml:space="preserve">Bauer, M. D., &amp; Swanson, E. T. (2023). A reassessment of monetary policy surprises and high-frequency identification. NBER Macroeconomics Annual, 37, 87–155.</w:t>
      </w:r>
    </w:p>
    <w:p>
      <w:pPr>
        <w:spacing w:after="100" w:before="0" w:line="300"/>
        <w:ind w:left="480" w:hanging="480"/>
      </w:pPr>
      <w:r>
        <w:rPr>
          <w:color w:val="1A2B40"/>
          <w:sz w:val="20"/>
          <w:szCs w:val="20"/>
        </w:rPr>
        <w:t xml:space="preserve">Bernanke, B. S., &amp; Kuttner, K. N. (2005). What explains the stock market's reaction to Federal Reserve policy? Journal of Finance, 60(3), 1221–1257.</w:t>
      </w:r>
    </w:p>
    <w:p>
      <w:pPr>
        <w:spacing w:after="100" w:before="0" w:line="300"/>
        <w:ind w:left="480" w:hanging="480"/>
      </w:pPr>
      <w:r>
        <w:rPr>
          <w:color w:val="1A2B40"/>
          <w:sz w:val="20"/>
          <w:szCs w:val="20"/>
        </w:rPr>
        <w:t>Borio, C., &amp; Zhu, H. (2012). Capital regulation, risk-taking and monetary policy: A missing link in the transmission mechanism? Journal of Financial Stability, 8(4), 236–251.</w:t>
      </w:r>
    </w:p>
    <w:p>
      <w:pPr>
        <w:spacing w:after="100" w:before="0" w:line="300"/>
        <w:ind w:left="480" w:hanging="480"/>
      </w:pPr>
      <w:r>
        <w:rPr>
          <w:color w:val="1A2B40"/>
          <w:sz w:val="20"/>
          <w:szCs w:val="20"/>
        </w:rPr>
        <w:t xml:space="preserve">Boehmer, E., Musumeci, J., &amp; Poulsen, A. B. (1991). Event-study methodology under conditions of event-induced variance. Journal of Financial Economics, 30(2), 253–272.</w:t>
      </w:r>
    </w:p>
    <w:p>
      <w:pPr>
        <w:spacing w:after="100" w:before="0" w:line="300"/>
        <w:ind w:left="480" w:hanging="480"/>
      </w:pPr>
      <w:r>
        <w:rPr>
          <w:color w:val="1A2B40"/>
          <w:sz w:val="20"/>
          <w:szCs w:val="20"/>
        </w:rPr>
        <w:t xml:space="preserve">Campbell, J. Y., Fisher, J. D. M., Justiniano, A., &amp; Melosi, L. (2017). Forward guidance and macroeconomic outcomes since the financial crisis. NBER Macroeconomics Annual, 26, 283–292.</w:t>
      </w:r>
    </w:p>
    <w:p>
      <w:pPr>
        <w:spacing w:after="100" w:before="0" w:line="300"/>
        <w:ind w:left="480" w:hanging="480"/>
      </w:pPr>
      <w:r>
        <w:rPr>
          <w:color w:val="1A2B40"/>
          <w:sz w:val="20"/>
          <w:szCs w:val="20"/>
        </w:rPr>
        <w:t xml:space="preserve">Campbell, J. Y., &amp; Pflueger, C. E. (2025). Bond and stock comovements. Working Paper.</w:t>
      </w:r>
    </w:p>
    <w:p>
      <w:pPr>
        <w:spacing w:after="100" w:before="0" w:line="300"/>
        <w:ind w:left="480" w:hanging="480"/>
      </w:pPr>
      <w:r>
        <w:rPr>
          <w:color w:val="1A2B40"/>
          <w:sz w:val="20"/>
          <w:szCs w:val="20"/>
        </w:rPr>
        <w:t xml:space="preserve">Campbell, J. Y., Pflueger, C. E., &amp; Viceira, L. M. (2020). Macroeconomic drivers of bond and equity risks. Journal of Political Economy, 128(8), 3148–3185.</w:t>
      </w:r>
    </w:p>
    <w:p>
      <w:pPr>
        <w:spacing w:after="100" w:before="0" w:line="300"/>
        <w:ind w:left="480" w:hanging="480"/>
      </w:pPr>
      <w:r>
        <w:rPr>
          <w:color w:val="1A2B40"/>
          <w:sz w:val="20"/>
          <w:szCs w:val="20"/>
        </w:rPr>
        <w:t>Eggertsson, G. B., &amp; Woodford, M. (2003). The zero bound on interest rates and optimal monetary policy. Brookings Papers on Economic Activity, 2003(1), 139–233.</w:t>
      </w:r>
    </w:p>
    <w:p>
      <w:pPr>
        <w:spacing w:after="100" w:before="0" w:line="300"/>
        <w:ind w:left="480" w:hanging="480"/>
      </w:pPr>
      <w:r>
        <w:rPr>
          <w:color w:val="1A2B40"/>
          <w:sz w:val="20"/>
          <w:szCs w:val="20"/>
        </w:rPr>
        <w:t xml:space="preserve">Fernández-Fuertes, M. (2025). Multi-agent LLM frameworks for monetary policy narrative analysis. Working Paper.</w:t>
      </w:r>
    </w:p>
    <w:p>
      <w:pPr>
        <w:spacing w:after="100" w:before="0" w:line="300"/>
        <w:ind w:left="480" w:hanging="480"/>
      </w:pPr>
      <w:r>
        <w:rPr>
          <w:color w:val="1A2B40"/>
          <w:sz w:val="20"/>
          <w:szCs w:val="20"/>
        </w:rPr>
        <w:t>Froot, K. A., O’Connell, P. G. J., &amp; Seasholes, M. S. (2001). The portfolio flows of international investors. Journal of Financial Economics, 59(2), 151–193.</w:t>
      </w:r>
    </w:p>
    <w:p>
      <w:pPr>
        <w:spacing w:after="100" w:before="0" w:line="300"/>
        <w:ind w:left="480" w:hanging="480"/>
      </w:pPr>
      <w:r>
        <w:rPr>
          <w:color w:val="1A2B40"/>
          <w:sz w:val="20"/>
          <w:szCs w:val="20"/>
        </w:rPr>
        <w:t xml:space="preserve">Gertler, M., &amp; Karadi, P. (2015). Monetary policy surprises, credit costs, and economic activity. American Economic Journal: Macroeconomics, 7(1), 44–76.</w:t>
      </w:r>
    </w:p>
    <w:p>
      <w:pPr>
        <w:spacing w:after="100" w:before="0" w:line="300"/>
        <w:ind w:left="480" w:hanging="480"/>
      </w:pPr>
      <w:r>
        <w:rPr>
          <w:color w:val="1A2B40"/>
          <w:sz w:val="20"/>
          <w:szCs w:val="20"/>
        </w:rPr>
        <w:t xml:space="preserve">Gürkaynak, R. S., Sack, B. P., &amp; Swanson, E. T. (2005). Do actions speak louder than words? The response of asset prices to monetary policy. International Journal of Central Banking, 1(1), 55–93.</w:t>
      </w:r>
    </w:p>
    <w:p>
      <w:pPr>
        <w:spacing w:after="100" w:before="0" w:line="300"/>
        <w:ind w:left="480" w:hanging="480"/>
      </w:pPr>
      <w:r>
        <w:rPr>
          <w:color w:val="1A2B40"/>
          <w:sz w:val="20"/>
          <w:szCs w:val="20"/>
        </w:rPr>
        <w:t xml:space="preserve">Hau, H. (2021). Mutual fund flows and the portfolio rebalancing channel of monetary policy. Working Paper.</w:t>
      </w:r>
    </w:p>
    <w:p>
      <w:pPr>
        <w:spacing w:after="100" w:before="0" w:line="300"/>
        <w:ind w:left="480" w:hanging="480"/>
      </w:pPr>
      <w:r>
        <w:rPr>
          <w:color w:val="1A2B40"/>
          <w:sz w:val="20"/>
          <w:szCs w:val="20"/>
        </w:rPr>
        <w:t xml:space="preserve">Husted, L., Rogers, J., &amp; Sun, B. (2020). Monetary policy uncertainty. Journal of Monetary Economics, 115, 20–36.</w:t>
      </w:r>
    </w:p>
    <w:p>
      <w:pPr>
        <w:spacing w:after="100" w:before="0" w:line="300"/>
        <w:ind w:left="480" w:hanging="480"/>
      </w:pPr>
      <w:r>
        <w:rPr>
          <w:color w:val="1A2B40"/>
          <w:sz w:val="20"/>
          <w:szCs w:val="20"/>
        </w:rPr>
        <w:t xml:space="preserve">Jarociński, M. (2024). Estimating the Fed's unconventional policy shocks. Journal of Monetary Economics, 148, 103–120.</w:t>
      </w:r>
    </w:p>
    <w:p>
      <w:pPr>
        <w:spacing w:after="100" w:before="0" w:line="300"/>
        <w:ind w:left="480" w:hanging="480"/>
      </w:pPr>
      <w:r>
        <w:rPr>
          <w:color w:val="1A2B40"/>
          <w:sz w:val="20"/>
          <w:szCs w:val="20"/>
        </w:rPr>
        <w:t xml:space="preserve">Jarociński, M., &amp; Karadi, P. (2020). Deconstructing monetary policy surprises — The role of information shocks. American Economic Journal: Macroeconomics, 12(2), 1–43.</w:t>
      </w:r>
    </w:p>
    <w:p>
      <w:pPr>
        <w:spacing w:after="100" w:before="0" w:line="300"/>
        <w:ind w:left="480" w:hanging="480"/>
      </w:pPr>
      <w:r>
        <w:rPr>
          <w:color w:val="1A2B40"/>
          <w:sz w:val="20"/>
          <w:szCs w:val="20"/>
        </w:rPr>
        <w:t>Koijen, R. S. J., &amp; Yogo, M. (2019). A demand system approach to asset pricing. Journal of Political Economy, 127(1).</w:t>
      </w:r>
    </w:p>
    <w:p>
      <w:pPr>
        <w:spacing w:after="100" w:before="0" w:line="300"/>
        <w:ind w:left="480" w:hanging="480"/>
      </w:pPr>
      <w:r>
        <w:rPr>
          <w:color w:val="1A2B40"/>
          <w:sz w:val="20"/>
          <w:szCs w:val="20"/>
        </w:rPr>
        <w:t xml:space="preserve">Kuttner, K. N. (2001). Monetary policy surprises and interest rates: Evidence from the Fed funds futures market. Journal of Monetary Economics, 47(3), 523–544.</w:t>
      </w:r>
    </w:p>
    <w:p>
      <w:pPr>
        <w:spacing w:after="100" w:before="0" w:line="300"/>
        <w:ind w:left="480" w:hanging="480"/>
      </w:pPr>
      <w:r>
        <w:rPr>
          <w:color w:val="1A2B40"/>
          <w:sz w:val="20"/>
          <w:szCs w:val="20"/>
        </w:rPr>
        <w:t xml:space="preserve">Loughran, T., &amp; McDonald, B. (2011). When is a liability not a liability? Textual analysis, dictionaries, and 10-Ks. Journal of Finance, 66(1), 35–65.</w:t>
      </w:r>
    </w:p>
    <w:p>
      <w:pPr>
        <w:spacing w:after="100" w:before="0" w:line="300"/>
        <w:ind w:left="480" w:hanging="480"/>
      </w:pPr>
      <w:r>
        <w:rPr>
          <w:color w:val="1A2B40"/>
          <w:sz w:val="20"/>
          <w:szCs w:val="20"/>
        </w:rPr>
        <w:t xml:space="preserve">Lou, D. (2023). A flow-based explanation of the mutual fund puzzle. Working Paper.</w:t>
      </w:r>
    </w:p>
    <w:p>
      <w:pPr>
        <w:spacing w:after="100" w:before="0" w:line="300"/>
        <w:ind w:left="480" w:hanging="480"/>
      </w:pPr>
      <w:r>
        <w:rPr>
          <w:color w:val="1A2B40"/>
          <w:sz w:val="20"/>
          <w:szCs w:val="20"/>
        </w:rPr>
        <w:t xml:space="preserve">Miranda-Agrippino, S., &amp; Rey, H. (2020). U.S. monetary policy and the global financial cycle. Review of Economic Studies, 87(6), 2754–2776.</w:t>
      </w:r>
    </w:p>
    <w:p>
      <w:pPr>
        <w:spacing w:after="100" w:before="0" w:line="300"/>
        <w:ind w:left="480" w:hanging="480"/>
      </w:pPr>
      <w:r>
        <w:rPr>
          <w:color w:val="1A2B40"/>
          <w:sz w:val="20"/>
          <w:szCs w:val="20"/>
        </w:rPr>
        <w:t xml:space="preserve">Miranda-Agrippino, S., &amp; Ricco, G. (2021). The transmission of monetary policy shocks. American Economic Journal: Macroeconomics, 13(3), 74–113.</w:t>
      </w:r>
    </w:p>
    <w:p>
      <w:pPr>
        <w:spacing w:after="100" w:before="0" w:line="300"/>
        <w:ind w:left="480" w:hanging="480"/>
      </w:pPr>
      <w:r>
        <w:rPr>
          <w:color w:val="1A2B40"/>
          <w:sz w:val="20"/>
          <w:szCs w:val="20"/>
        </w:rPr>
        <w:t xml:space="preserve">Nakamura, E., &amp; Steinsson, J. (2018). High-frequency identification of monetary non-neutrality: The information effect. Quarterly Journal of Economics, 133(3), 1283–1330.</w:t>
      </w:r>
    </w:p>
    <w:p>
      <w:pPr>
        <w:spacing w:after="100" w:before="0" w:line="300"/>
        <w:ind w:left="480" w:hanging="480"/>
      </w:pPr>
      <w:r>
        <w:rPr>
          <w:color w:val="1A2B40"/>
          <w:sz w:val="20"/>
          <w:szCs w:val="20"/>
        </w:rPr>
        <w:t xml:space="preserve">Patell, J. M. (1976). Corporate forecasts of earnings per share and stock price behavior: Empirical test. Journal of Accounting Research, 14(2), 246–276.</w:t>
      </w:r>
    </w:p>
    <w:p>
      <w:pPr>
        <w:spacing w:after="100" w:before="0" w:line="300"/>
        <w:ind w:left="480" w:hanging="480"/>
      </w:pPr>
      <w:r>
        <w:rPr>
          <w:color w:val="1A2B40"/>
          <w:sz w:val="20"/>
          <w:szCs w:val="20"/>
        </w:rPr>
        <w:t xml:space="preserve">Ray, W. (2019). Monetary policy and the limits to arbitrage: Insights from mutual fund flows. Working Paper.</w:t>
      </w:r>
    </w:p>
    <w:p>
      <w:pPr>
        <w:spacing w:after="100" w:before="0" w:line="300"/>
        <w:ind w:left="480" w:hanging="480"/>
      </w:pPr>
      <w:r>
        <w:rPr>
          <w:color w:val="1A2B40"/>
          <w:sz w:val="20"/>
          <w:szCs w:val="20"/>
        </w:rPr>
        <w:t>Romer, C. D., &amp; Romer, D. H. (2000). Federal Reserve information and the behavior of interest rates. American Economic Review, 90(3), 429–457.</w:t>
      </w:r>
    </w:p>
    <w:p>
      <w:pPr>
        <w:spacing w:after="100" w:before="0" w:line="300"/>
        <w:ind w:left="480" w:hanging="480"/>
      </w:pPr>
      <w:r>
        <w:rPr>
          <w:color w:val="1A2B40"/>
          <w:sz w:val="20"/>
          <w:szCs w:val="20"/>
        </w:rPr>
        <w:t xml:space="preserve">Romer, C. D., &amp; Romer, D. H. (2004). A new measure of monetary shocks: Derivation and implications. American Economic Review, 94(4), 1055–1068.</w:t>
      </w:r>
    </w:p>
    <w:p>
      <w:pPr>
        <w:spacing w:after="100" w:before="0" w:line="300"/>
        <w:ind w:left="480" w:hanging="480"/>
      </w:pPr>
      <w:r>
        <w:rPr>
          <w:color w:val="1A2B40"/>
          <w:sz w:val="20"/>
          <w:szCs w:val="20"/>
        </w:rPr>
        <w:t xml:space="preserve">Swanson, E. T. (2021). Measuring the effects of Federal Reserve forward guidance and asset purchases on financial markets. Journal of Monetary Economics, 118, 32–53.</w:t>
      </w:r>
    </w:p>
    <w:p>
      <w:pPr>
        <w:spacing w:after="100" w:before="0" w:line="300"/>
        <w:ind w:left="480" w:hanging="480"/>
      </w:pPr>
      <w:r>
        <w:rPr>
          <w:color w:val="1A2B40"/>
          <w:sz w:val="20"/>
          <w:szCs w:val="20"/>
        </w:rPr>
        <w:t xml:space="preserve">Thompson, S. B. (2011). Simple formulas for standard errors that cluster by both firm and time. Journal of Financial Economics, 99(1), 1–10.</w:t>
      </w:r>
    </w:p>
    <w:p>
      <w:pPr>
        <w:spacing w:after="100" w:before="0" w:line="300"/>
        <w:ind w:left="480" w:hanging="480"/>
      </w:pPr>
      <w:r>
        <w:rPr>
          <w:color w:val="1A2B40"/>
          <w:sz w:val="20"/>
          <w:szCs w:val="20"/>
        </w:rPr>
        <w:t xml:space="preserve">Vayanos, D., &amp; Vila, J.-L. (2009). A preferred-habitat model of the term structure of interest rates. NBER Working Paper No. 15487.</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B40"/>
        <w:sz w:val="22"/>
        <w:szCs w:val="22"/>
      </w:rPr>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340ec26fd4c72a6f89711cdd8302515d924e6b.png"/><Relationship Id="rId9" Type="http://schemas.openxmlformats.org/officeDocument/2006/relationships/image" Target="media/68f157f4a862b951d18a5e9214e06e57de666523.png"/><Relationship Id="rId10" Type="http://schemas.openxmlformats.org/officeDocument/2006/relationships/image" Target="media/e50e7ce91ba6043ee29f17083dc8f8b056e9fd32.png"/><Relationship Id="rId11" Type="http://schemas.openxmlformats.org/officeDocument/2006/relationships/image" Target="media/086cf1e0c2cd0b400752322f4ea7302542043776.png"/><Relationship Id="rId12" Type="http://schemas.openxmlformats.org/officeDocument/2006/relationships/image" Target="media/d6a7180ae2a35263b9d97fc5e099e1f4b47d769b.png"/><Relationship Id="rId13" Type="http://schemas.openxmlformats.org/officeDocument/2006/relationships/image" Target="media/defef34fb5f27879fad9f0743f235177d7dabeb7.png"/><Relationship Id="rId14" Type="http://schemas.openxmlformats.org/officeDocument/2006/relationships/image" Target="media/8f7d9f1adecf8f2652fe5cd58f19f6b6051444b7.png"/><Relationship Id="rId15" Type="http://schemas.openxmlformats.org/officeDocument/2006/relationships/image" Target="media/cc65d3a73e69276dcc057281863b0448bf0a0de3.png"/><Relationship Id="rId16" Type="http://schemas.openxmlformats.org/officeDocument/2006/relationships/image" Target="media/298ac050ad483e5c11554bc33f77d957ce56f79b.png"/><Relationship Id="rId17" Type="http://schemas.openxmlformats.org/officeDocument/2006/relationships/image" Target="media/f3fe73d180842652602dfd5409e80e9d3c251175.png"/><Relationship Id="rId18" Type="http://schemas.openxmlformats.org/officeDocument/2006/relationships/image" Target="media/69965648a3dbc65727f14de28167b133a8f2e287.png"/><Relationship Id="rId19" Type="http://schemas.openxmlformats.org/officeDocument/2006/relationships/image" Target="media/c16439fee0696a4b436e5d1b423a4e4e9e944702.png"/><Relationship Id="rId2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Monetary Policy Announcements, Asset Prices, and Portfolio Reallocation</dc:title>
  <dc:creator>Eileen Zhang</dc:creator>
  <dc:description>Research Proposal</dc:description>
  <cp:lastModifiedBy>Un-named</cp:lastModifiedBy>
  <cp:revision>1</cp:revision>
  <dcterms:created xsi:type="dcterms:W3CDTF">2026-08-15T13:16:23.055Z</dcterms:created>
  <dcterms:modified xsi:type="dcterms:W3CDTF">2026-08-15T13:16:23.056Z</dcterms:modified>
</cp:coreProperties>
</file>

<file path=docProps/custom.xml><?xml version="1.0" encoding="utf-8"?>
<Properties xmlns="http://schemas.openxmlformats.org/officeDocument/2006/custom-properties" xmlns:vt="http://schemas.openxmlformats.org/officeDocument/2006/docPropsVTypes"/>
</file>