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Preliminary Results (Corrected Data, October 19, 2026, rev. 2)</w:t>
      </w:r>
    </w:p>
    <w:p>
      <w:r>
        <w:rPr>
          <w:i/>
          <w:sz w:val="21"/>
        </w:rPr>
        <w:t>Revision 2 incorporates the measurement-error audit of the fund-flow chapter: CRSP monthly TNA is reported at quarterly frequency for most funds, so flows are computed only when the gap between consecutive reports is at most three calendar months, with a tighter |flow| ≤ 0.5·TNA cap. Key coefficients are robust to this choice: the gap-free variant gives the same signs with ~40% larger magnitudes (reported as a robustness row where relevant).</w:t>
      </w:r>
    </w:p>
    <w:p>
      <w:pPr>
        <w:pStyle w:val="Heading1"/>
      </w:pPr>
      <w:r>
        <w:t>1. Data and corrections</w:t>
      </w:r>
    </w:p>
    <w:p>
      <w:r>
        <w:rPr>
          <w:i w:val="0"/>
          <w:sz w:val="21"/>
        </w:rPr>
        <w:t>Sample driven by statements and surprises: 161 FOMC meetings, Jan 2006 – Apr 2026 (was 117 minutes-tied meetings ending Jul 2022). Statement texts body-only; 2008-12-16 and 2022-01-26 re-downloaded. Same-day returns in percent. Flows: CRSP Survivor-Bias-Free Mutual Funds, Feb 2006 – Jun 2026, point-in-time fund classification, gap ≤ 3 months requirement, |flow| ≤ 0.5·lagged TNA cap, pseudo Bauer-Swanson step removed.</w:t>
      </w:r>
    </w:p>
    <w:p>
      <w:pPr>
        <w:pStyle w:val="Heading1"/>
      </w:pPr>
      <w:r>
        <w:t>2. Part 1 — prices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2006–Jul 2022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Full sample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coef.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coef.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H1: tone ~ Target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+0.0784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+0.0580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H1: tone ~ Path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+0.0140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H1: Wald(Target=Path)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p=0.587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p=0.696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H2: CRSP VW ~ tone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H2: ΔR² from tone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+0.16 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+0.82 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H3: tone, FG period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H3: tone, outside FG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+0.145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H3: model R², FG period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7"/>
        </w:rPr>
        <w:t>Note: tone = net (hawkish − dovish) LM words per 100; same-day CRSP VW in percent; OLS, classical SEs; FG = Dec 16, 2008 – Dec 15, 2015. Full sample ends Apr 2026 (tone) / Dec 2024 (CRSP returns).</w:t>
      </w:r>
    </w:p>
    <w:p>
      <w:pPr>
        <w:pStyle w:val="Heading2"/>
      </w:pPr>
      <w:r>
        <w:t>Findings</w:t>
      </w:r>
    </w:p>
    <w:p>
      <w:r>
        <w:rPr>
          <w:i w:val="0"/>
          <w:sz w:val="21"/>
        </w:rPr>
        <w:t>(i) The tone–Target link does not survive the corrected sample (p = 0.36 / 0.44; earlier p = 0.017); the Wald test cannot separate Target from Path. Tone is best treated as a descriptive measure, not an independent shock series.</w:t>
      </w:r>
    </w:p>
    <w:p>
      <w:r>
        <w:rPr>
          <w:i w:val="0"/>
          <w:sz w:val="21"/>
        </w:rPr>
        <w:t>(ii) Forward guidance is the headline: tone predicts same-day CRSP VW returns in the FG period (β = −1.01 per 100 net words, p = 0.005, model R² = 32.8%, N = 56) and not outside it (p = 0.35).</w:t>
      </w:r>
    </w:p>
    <w:p>
      <w:r>
        <w:rPr>
          <w:i w:val="0"/>
          <w:sz w:val="21"/>
        </w:rPr>
        <w:t>(iii) Tone adds little incremental return power (+0.16 pp, p = 0.64); the earlier marginal significance came from next-day return alignment.</w:t>
      </w:r>
    </w:p>
    <w:p>
      <w:pPr>
        <w:pStyle w:val="Heading1"/>
      </w:pPr>
      <w:r>
        <w:t>3. Part 2 — flows (audit-revised specification)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MP shock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CBI shock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Wald(MP=CBI)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government bonds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+0.759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corporate bonds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real assets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large cap equity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developed market equity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+0.105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emerging market equity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small cap equity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</w:t>
            </w:r>
          </w:p>
        </w:tc>
      </w:tr>
    </w:tbl>
    <w:p>
      <w:r>
        <w:rPr>
          <w:i/>
          <w:sz w:val="17"/>
        </w:rPr>
        <w:t>Table 2. Same-month net flows (% of lagged class TNA) on MP and CBI shocks; gap ≤ 3 months, |flow| ≤ 0.5·TNA; controls: log lagged TNA, 12-month flow volatility. OLS, classical SEs. 157 meeting months.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Risk × MP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Risk × CBI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Same 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Zero-rate 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MP×ZLB -1.505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CBI×ZLB +0.802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1099</w:t>
            </w:r>
          </w:p>
        </w:tc>
      </w:tr>
    </w:tbl>
    <w:p>
      <w:r>
        <w:rPr>
          <w:i/>
          <w:sz w:val="17"/>
        </w:rPr>
        <w:t>Table 3. Pooled panel on the 7-class risk ladder (1 = government bonds … 7 = small-cap equity).</w:t>
      </w:r>
    </w:p>
    <w:p>
      <w:pPr>
        <w:pStyle w:val="Heading2"/>
      </w:pPr>
      <w:r>
        <w:t>Findings</w:t>
      </w:r>
    </w:p>
    <w:p>
      <w:r>
        <w:rPr>
          <w:i w:val="0"/>
          <w:sz w:val="21"/>
        </w:rPr>
        <w:t>(i) H4 holds in the safest class: government bonds receive significant inflows on CBI shocks (+0.76 %TNA per shock, p = 0.037) with no MP response; Wald MP = CBI marginal (p = 0.098). Robustness: gap-free variant +1.13 (p = 0.010) — same sign, ~40% larger.</w:t>
      </w:r>
    </w:p>
    <w:p>
      <w:r>
        <w:rPr>
          <w:i w:val="0"/>
          <w:sz w:val="21"/>
        </w:rPr>
        <w:t>(ii) H5: Risk × CBI = −0.066 (p = 0.036) — CBI shocks push portfolios down the risk ladder (de-risking under information revelations), opposite to the proposal’s prediction; robustness: gap-free −0.114 (p = 0.002). Risk × MP flat (p = 0.88).</w:t>
      </w:r>
    </w:p>
    <w:p>
      <w:r>
        <w:rPr>
          <w:i w:val="0"/>
          <w:sz w:val="21"/>
        </w:rPr>
        <w:t>(iii) New in the revised specification: MP × ZLB = −1.51 (p = 0.005) — during the zero-rate period, MP shocks carry a significantly larger (negative) flow response, consistent with rate actions conveying information when the instrument is constrained. CBI × ZLB is not significant (p = 0.78).</w:t>
      </w:r>
    </w:p>
    <w:p>
      <w:r>
        <w:rPr>
          <w:i/>
          <w:sz w:val="21"/>
        </w:rPr>
        <w:t>Measurement-error note: most CRSP funds report TNA quarterly, so unfiltered month-to-month differences confound multi-month market drift with flows. The gap ≤ 3 months rule removes this; coefficient magnitudes shrink ~40% versus the unfiltered variant while signs and significance are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