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Variable Codebook</w:t>
      </w:r>
    </w:p>
    <w:p>
      <w:pPr>
        <w:jc w:val="center"/>
      </w:pPr>
      <w:r>
        <w:rPr>
          <w:i/>
          <w:sz w:val="21"/>
        </w:rPr>
        <w:t>Monetary Policy Shocks and Fund Flows Along the Risk Ladder — one name, one definition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Rule. Every symbol appears with exactly one name in the paper. "Shock" is reserved for innovations; "surprise" only in the GSS construction context; the dictionary-based measure is always called Tone and never "sentiment"; the market-based decomposition is always called the MP / CBI shocks.</w:t>
      </w:r>
    </w:p>
    <w:p>
      <w:pPr>
        <w:pStyle w:val="Heading1"/>
      </w:pPr>
      <w:r>
        <w:t>1. Shocks (meeting level)</w:t>
      </w:r>
    </w:p>
    <w:p>
      <w:r>
        <w:rPr>
          <w:b w:val="0"/>
          <w:i w:val="0"/>
          <w:sz w:val="21"/>
        </w:rPr>
        <w:t>All shocks are innovations against pre-announcement expectations, consistent with rational expectations (Lucas 1972; Sargent-Wallace 1975): anticipated components are priced in and only innovations move prices and allocations.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Definition (unit)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Source / construction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Target Shock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GSS (2005) target factor: change in the Fed-funds futures rate around the 2:00 pm statement release (ex post realized minus ex ante expected path), basis points.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CME Fed Watch / futures data via GSS construction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Path Shock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GSS (2005) path factor: change in the implied path of policy from eurodollar futures around the release (moves in rates 3+ months ahead), basis points.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Eurodollar futures via GSS construction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MP Shock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Monetary-policy component of the target shock from the Jarocinski-Karadi (2020) sign-restriction decomposition: the part that moves the same-day market return in the OPPOSITE direction (policy action). Basis points. One name only: "MP shock" — never "rate news", "target surprise" or "action component" in the text.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JK sign-restriction VAR on (target shock, same-day CRSP VW return)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CBI Shock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Central-bank-information component: the part of the target shock that moves the same-day market return in the SAME direction (information revelation). Basis points. Theory: the Fed reveals private information with noise; the market inverts the signal (Grossman-Stiglitz 1980; Kyle 1985). One name only: "CBI shock" — never "information shock" (reserved for JK discussion) or "Fed news".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JK sign-restriction VAR on (target shock, same-day CRSP VW return)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tau_m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Loughran-McDonald net tone of the statement body: (hawkish - dovish) / total words x 100, computed on the statement body only (no title/date lines). One name only: "tone" — never "sentiment".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LM dictionary on 161 statements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LLM Score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 statement score: -100 (extremely dovish) to +100 (extremely hawkish), from reading the full statement text (amax-router, temperature 0.1). Diagnostic companion to Tone; not a flow regressor.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llm_statement_scoring.py, 161/161 statements</w:t>
            </w:r>
          </w:p>
        </w:tc>
      </w:tr>
    </w:tbl>
    <w:p>
      <w:pPr>
        <w:pStyle w:val="Heading1"/>
      </w:pPr>
      <w:r>
        <w:t>2. Prices and flows (meeting / class-month 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Definition (unit)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Source / construction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R_m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Same-day market price reaction: percentage return of the CRSP value-weighted index on the meeting day (close vs prior close). One name only: "price reaction" or R_m — never "market response" / "returns variable".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CRSP daily value-weighted index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f_{c,w}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Class net flow in month w of meeting m: net new money of Morningstar class c divided by lagged class TNA, percent. Windows: Same (meeting month), Post (m+1..m+3), Diff (Post - Same). Sample: 27,689 funds, 6.1m fund-months, classes with TNA &gt;= $50m; TNA-reporting gaps longer than 3 months dropped; flow winsorized at +/-0.5 of TNA.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CRSP survivor-bias-free US mutual fund database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Risk Rank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k_c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Ordinal asset-class risk position 1-7: 1 government bonds, 2 corporate bonds, 3 real assets, 4 large-cap equity, 5 developed-market equity, 6 emerging-market equity, 7 small-cap equity. Grounded in cash-flow seniority (equity = residual claim) and market beta ordering; treated as ordinal (Spearman) with Shefrin-Statman (2000) behavioral-layer interpretation.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Morningstar classification mapped to 7 classes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Class TNA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TNA_{c,w}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Lagged class total net assets, log dollars, as flow scale control.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CRSP MF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Flow Volatility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sigma_{c,w}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Rolling 12-month standard deviation of class flows, as flow-noise control.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CRSP MF</w:t>
            </w:r>
          </w:p>
        </w:tc>
      </w:tr>
    </w:tbl>
    <w:p>
      <w:pPr>
        <w:pStyle w:val="Heading1"/>
      </w:pPr>
      <w:r>
        <w:t>3. Regimes and samples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Forward-guidance regime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December 16, 2008 - December 15, 2015: meetings in which the statement contained calendar- or outcome-based forward guidance about the funds rate. One name: "FG period". Source: statement text classification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ZLB-plus-QE regime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ZLB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March 15, 2020 - January 26, 2022: zero lower bound with open-ended asset purchases. Source: calendar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Meeting sample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scheduled and unscheduled FOMC meetings with a statement, 2006-01-31 through 2026-09-17. Unscheduled meetings included (GSS shocks use futures windows around the release). Source: Federal Reserve press releases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Flow sample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gaps&lt;=3mo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Class-months with TNA reported within 3 months on either side of the meeting month; classes capped at TNA &gt;= $50m; 7 risk-ladder classes only. Source: CRSP MF</w:t>
            </w:r>
          </w:p>
        </w:tc>
      </w:tr>
    </w:tbl>
    <w:p>
      <w:pPr>
        <w:pStyle w:val="Heading1"/>
      </w:pPr>
      <w:r>
        <w:t>4. Naming discipline (audit list)</w:t>
      </w:r>
    </w:p>
    <w:p>
      <w:pPr>
        <w:pStyle w:val="ListBullet"/>
      </w:pPr>
      <w:r>
        <w:rPr>
          <w:sz w:val="20"/>
        </w:rPr>
        <w:t>Target/Path shock — only when discussing the GSS construction. Never call them "rate news"/"path news" in tables.</w:t>
      </w:r>
    </w:p>
    <w:p>
      <w:pPr>
        <w:pStyle w:val="ListBullet"/>
      </w:pPr>
      <w:r>
        <w:rPr>
          <w:sz w:val="20"/>
        </w:rPr>
        <w:t>MP shock / CBI shock — only for the JK decomposition outputs. Never "information shock" except when explicitly referencing Jarocinski-Karadi's terminology, and then in quotes.</w:t>
      </w:r>
    </w:p>
    <w:p>
      <w:pPr>
        <w:pStyle w:val="ListBullet"/>
      </w:pPr>
      <w:r>
        <w:rPr>
          <w:sz w:val="20"/>
        </w:rPr>
        <w:t>Tone — LM dictionary measure only. The word "sentiment" is banned everywhere (it collides with investor-sentiment literature).</w:t>
      </w:r>
    </w:p>
    <w:p>
      <w:pPr>
        <w:pStyle w:val="ListBullet"/>
      </w:pPr>
      <w:r>
        <w:rPr>
          <w:sz w:val="20"/>
        </w:rPr>
        <w:t>LLM score — the rebuilt text-based measure; only used diagnostically, never in flow regressions.</w:t>
      </w:r>
    </w:p>
    <w:p>
      <w:pPr>
        <w:pStyle w:val="ListBullet"/>
      </w:pPr>
      <w:r>
        <w:rPr>
          <w:sz w:val="20"/>
        </w:rPr>
        <w:t>Price reaction R_m — one definition (CRSP VW same-day). If a table uses equal-weighted or value-weighted, the column header must say so.</w:t>
      </w:r>
    </w:p>
    <w:p>
      <w:pPr>
        <w:pStyle w:val="ListBullet"/>
      </w:pPr>
      <w:r>
        <w:rPr>
          <w:sz w:val="20"/>
        </w:rPr>
        <w:t>Flow f(c,w) — always state the window (Same/Post/Diff) in the table header.</w:t>
      </w:r>
    </w:p>
    <w:p>
      <w:pPr>
        <w:pStyle w:val="ListBullet"/>
      </w:pPr>
      <w:r>
        <w:rPr>
          <w:sz w:val="20"/>
        </w:rPr>
        <w:t>Risk rank — ordinal 1-7; any monotone recoding must be flagged as a robustness check, not a redefinition.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