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p>
    <w:p>
      <w:pPr>
        <w:spacing w:after="200"/>
        <w:jc w:val="center"/>
      </w:pPr>
      <w:r>
        <w:rPr>
          <w:rFonts w:ascii="Times New Roman" w:cs="Times New Roman" w:eastAsia="Times New Roman" w:hAnsi="Times New Roman"/>
          <w:b/>
          <w:bCs/>
          <w:color w:val="0B1220"/>
          <w:sz w:val="56"/>
          <w:szCs w:val="56"/>
        </w:rPr>
        <w:t xml:space="preserve">Literature Review</w:t>
      </w:r>
    </w:p>
    <w:p>
      <w:pPr>
        <w:spacing w:after="600"/>
        <w:jc w:val="center"/>
      </w:pPr>
      <w:r>
        <w:rPr>
          <w:rFonts w:ascii="Times New Roman" w:cs="Times New Roman" w:eastAsia="Times New Roman" w:hAnsi="Times New Roman"/>
          <w:color w:val="2B2B2B"/>
          <w:sz w:val="36"/>
          <w:szCs w:val="36"/>
        </w:rPr>
        <w:t xml:space="preserve">Monetary Policy Announcements, Asset Prices,</w:t>
      </w:r>
    </w:p>
    <w:p>
      <w:pPr>
        <w:spacing w:after="600"/>
        <w:jc w:val="center"/>
      </w:pPr>
      <w:r>
        <w:rPr>
          <w:rFonts w:ascii="Times New Roman" w:cs="Times New Roman" w:eastAsia="Times New Roman" w:hAnsi="Times New Roman"/>
          <w:color w:val="2B2B2B"/>
          <w:sz w:val="36"/>
          <w:szCs w:val="36"/>
        </w:rPr>
        <w:t xml:space="preserve">and Portfolio Reallocation</w:t>
      </w:r>
    </w:p>
    <w:p>
      <w:pPr>
        <w:spacing w:after="100"/>
        <w:jc w:val="center"/>
      </w:pPr>
      <w:r>
        <w:rPr>
          <w:rFonts w:ascii="Calibri" w:cs="Calibri" w:eastAsia="Calibri" w:hAnsi="Calibri"/>
          <w:color w:val="9AA6B2"/>
          <w:sz w:val="22"/>
          <w:szCs w:val="22"/>
        </w:rPr>
        <w:t xml:space="preserve">──────────────────────────────</w:t>
      </w:r>
    </w:p>
    <w:p>
      <w:pPr>
        <w:spacing w:after="200"/>
        <w:jc w:val="center"/>
      </w:pPr>
      <w:r>
        <w:rPr>
          <w:rFonts w:ascii="Calibri" w:cs="Calibri" w:eastAsia="Calibri" w:hAnsi="Calibri"/>
          <w:color w:val="0F172A"/>
          <w:sz w:val="28"/>
          <w:szCs w:val="28"/>
        </w:rPr>
        <w:t xml:space="preserve">Eileen Zhang</w:t>
      </w:r>
    </w:p>
    <w:p>
      <w:pPr>
        <w:spacing w:after="100"/>
        <w:jc w:val="center"/>
      </w:pPr>
      <w:r>
        <w:rPr>
          <w:rFonts w:ascii="Calibri" w:cs="Calibri" w:eastAsia="Calibri" w:hAnsi="Calibri"/>
          <w:i/>
          <w:iCs/>
          <w:color w:val="9AA6B2"/>
          <w:sz w:val="22"/>
          <w:szCs w:val="22"/>
        </w:rPr>
        <w:t xml:space="preserve">Revised Draft</w:t>
      </w:r>
    </w:p>
    <w:p>
      <w:pPr>
        <w:spacing w:after="100"/>
        <w:jc w:val="center"/>
      </w:pPr>
      <w:r>
        <w:rPr>
          <w:rFonts w:ascii="Calibri" w:cs="Calibri" w:eastAsia="Calibri" w:hAnsi="Calibri"/>
          <w:color w:val="9AA6B2"/>
          <w:sz w:val="22"/>
          <w:szCs w:val="22"/>
        </w:rPr>
        <w:t xml:space="preserve">April 2026</w:t>
      </w:r>
    </w:p>
    <w:p>
      <w:pPr>
        <w:sectPr>
          <w:pgSz w:w="11906" w:h="16838" w:orient="portrait"/>
          <w:pgMar w:top="0" w:right="0" w:bottom="0" w:left="0" w:header="708" w:footer="708" w:gutter="0"/>
          <w:pgNumType/>
          <w:titlePg/>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w:t>
          </w:r>
          <w:r>
            <w:tab/>
          </w:r>
          <w:r>
            <w:t>1</w:t>
          </w:r>
        </w:p>
        <w:p>
          <w:pPr>
            <w:pStyle w:val="9"/>
            <w:tabs>
              <w:tab w:val="right" w:leader="dot" w:pos="9026"/>
            </w:tabs>
          </w:pPr>
          <w:r>
            <w:t>2. Theoretical Foundations</w:t>
          </w:r>
          <w:r>
            <w:tab/>
          </w:r>
          <w:r>
            <w:t>2</w:t>
          </w:r>
        </w:p>
        <w:p>
          <w:pPr>
            <w:pStyle w:val="11"/>
            <w:ind w:left="360"/>
            <w:tabs>
              <w:tab w:val="right" w:leader="dot" w:pos="9026"/>
            </w:tabs>
          </w:pPr>
          <w:r>
            <w:t>2.1 The Campbell–Shiller Decomposition</w:t>
          </w:r>
          <w:r>
            <w:tab/>
          </w:r>
          <w:r>
            <w:t>3</w:t>
          </w:r>
        </w:p>
        <w:p>
          <w:pPr>
            <w:pStyle w:val="11"/>
            <w:ind w:left="360"/>
            <w:tabs>
              <w:tab w:val="right" w:leader="dot" w:pos="9026"/>
            </w:tabs>
          </w:pPr>
          <w:r>
            <w:t>2.2 The Portfolio Balance Channel</w:t>
          </w:r>
          <w:r>
            <w:tab/>
          </w:r>
          <w:r>
            <w:t>3</w:t>
          </w:r>
        </w:p>
        <w:p>
          <w:pPr>
            <w:pStyle w:val="9"/>
            <w:tabs>
              <w:tab w:val="right" w:leader="dot" w:pos="9026"/>
            </w:tabs>
          </w:pPr>
          <w:r>
            <w:t>3. Identifying Monetary Policy Surprises</w:t>
          </w:r>
          <w:r>
            <w:tab/>
          </w:r>
          <w:r>
            <w:t>4</w:t>
          </w:r>
        </w:p>
        <w:p>
          <w:pPr>
            <w:pStyle w:val="11"/>
            <w:ind w:left="360"/>
            <w:tabs>
              <w:tab w:val="right" w:leader="dot" w:pos="9026"/>
            </w:tabs>
          </w:pPr>
          <w:r>
            <w:t>3.1 Early Approaches: Target Rate Changes</w:t>
          </w:r>
          <w:r>
            <w:tab/>
          </w:r>
          <w:r>
            <w:t>4</w:t>
          </w:r>
        </w:p>
        <w:p>
          <w:pPr>
            <w:pStyle w:val="11"/>
            <w:ind w:left="360"/>
            <w:tabs>
              <w:tab w:val="right" w:leader="dot" w:pos="9026"/>
            </w:tabs>
          </w:pPr>
          <w:r>
            <w:t>3.2 The Kuttner Surprise: Fed Funds Futures</w:t>
          </w:r>
          <w:r>
            <w:tab/>
          </w:r>
          <w:r>
            <w:t>5</w:t>
          </w:r>
        </w:p>
        <w:p>
          <w:pPr>
            <w:pStyle w:val="11"/>
            <w:ind w:left="360"/>
            <w:tabs>
              <w:tab w:val="right" w:leader="dot" w:pos="9026"/>
            </w:tabs>
          </w:pPr>
          <w:r>
            <w:t>3.3 High-Frequency Identification</w:t>
          </w:r>
          <w:r>
            <w:tab/>
          </w:r>
          <w:r>
            <w:t>5</w:t>
          </w:r>
        </w:p>
        <w:p>
          <w:pPr>
            <w:pStyle w:val="9"/>
            <w:tabs>
              <w:tab w:val="right" w:leader="dot" w:pos="9026"/>
            </w:tabs>
          </w:pPr>
          <w:r>
            <w:t>4. Transmission Channels</w:t>
          </w:r>
          <w:r>
            <w:tab/>
          </w:r>
          <w:r>
            <w:t>6</w:t>
          </w:r>
        </w:p>
        <w:p>
          <w:pPr>
            <w:pStyle w:val="11"/>
            <w:ind w:left="360"/>
            <w:tabs>
              <w:tab w:val="right" w:leader="dot" w:pos="9026"/>
            </w:tabs>
          </w:pPr>
          <w:r>
            <w:t>4.1 The Interest Rate Channel</w:t>
          </w:r>
          <w:r>
            <w:tab/>
          </w:r>
          <w:r>
            <w:t>6</w:t>
          </w:r>
        </w:p>
        <w:p>
          <w:pPr>
            <w:pStyle w:val="11"/>
            <w:ind w:left="360"/>
            <w:tabs>
              <w:tab w:val="right" w:leader="dot" w:pos="9026"/>
            </w:tabs>
          </w:pPr>
          <w:r>
            <w:t>4.2 The Discount Rate Channel for Equities</w:t>
          </w:r>
          <w:r>
            <w:tab/>
          </w:r>
          <w:r>
            <w:t>7</w:t>
          </w:r>
        </w:p>
        <w:p>
          <w:pPr>
            <w:pStyle w:val="11"/>
            <w:ind w:left="360"/>
            <w:tabs>
              <w:tab w:val="right" w:leader="dot" w:pos="9026"/>
            </w:tabs>
          </w:pPr>
          <w:r>
            <w:t>4.3 The Exchange Rate Channel</w:t>
          </w:r>
          <w:r>
            <w:tab/>
          </w:r>
          <w:r>
            <w:t>7</w:t>
          </w:r>
        </w:p>
        <w:p>
          <w:pPr>
            <w:pStyle w:val="11"/>
            <w:ind w:left="360"/>
            <w:tabs>
              <w:tab w:val="right" w:leader="dot" w:pos="9026"/>
            </w:tabs>
          </w:pPr>
          <w:r>
            <w:t>4.4 The Risk-Taking Channel</w:t>
          </w:r>
          <w:r>
            <w:tab/>
          </w:r>
          <w:r>
            <w:t>8</w:t>
          </w:r>
        </w:p>
        <w:p>
          <w:pPr>
            <w:pStyle w:val="9"/>
            <w:tabs>
              <w:tab w:val="right" w:leader="dot" w:pos="9026"/>
            </w:tabs>
          </w:pPr>
          <w:r>
            <w:t>5. The Two-Shocks Framework: Policy vs. Information</w:t>
          </w:r>
          <w:r>
            <w:tab/>
          </w:r>
          <w:r>
            <w:t>8</w:t>
          </w:r>
        </w:p>
        <w:p>
          <w:pPr>
            <w:pStyle w:val="11"/>
            <w:ind w:left="360"/>
            <w:tabs>
              <w:tab w:val="right" w:leader="dot" w:pos="9026"/>
            </w:tabs>
          </w:pPr>
          <w:r>
            <w:t>5.1 Identification Strategy</w:t>
          </w:r>
          <w:r>
            <w:tab/>
          </w:r>
          <w:r>
            <w:t>9</w:t>
          </w:r>
        </w:p>
        <w:p>
          <w:pPr>
            <w:pStyle w:val="11"/>
            <w:ind w:left="360"/>
            <w:tabs>
              <w:tab w:val="right" w:leader="dot" w:pos="9026"/>
            </w:tabs>
          </w:pPr>
          <w:r>
            <w:t>5.2 Key Findings</w:t>
          </w:r>
          <w:r>
            <w:tab/>
          </w:r>
          <w:r>
            <w:t>9</w:t>
          </w:r>
        </w:p>
        <w:p>
          <w:pPr>
            <w:pStyle w:val="9"/>
            <w:tabs>
              <w:tab w:val="right" w:leader="dot" w:pos="9026"/>
            </w:tabs>
          </w:pPr>
          <w:r>
            <w:t>6. Portfolio Reallocation and Cross-Asset Dynamics</w:t>
          </w:r>
          <w:r>
            <w:tab/>
          </w:r>
          <w:r>
            <w:t>10</w:t>
          </w:r>
        </w:p>
        <w:p>
          <w:pPr>
            <w:pStyle w:val="11"/>
            <w:ind w:left="360"/>
            <w:tabs>
              <w:tab w:val="right" w:leader="dot" w:pos="9026"/>
            </w:tabs>
          </w:pPr>
          <w:r>
            <w:t>6.1 Cross-Asset Correlation Patterns</w:t>
          </w:r>
          <w:r>
            <w:tab/>
          </w:r>
          <w:r>
            <w:t>10</w:t>
          </w:r>
        </w:p>
        <w:p>
          <w:pPr>
            <w:pStyle w:val="11"/>
            <w:ind w:left="360"/>
            <w:tabs>
              <w:tab w:val="right" w:leader="dot" w:pos="9026"/>
            </w:tabs>
          </w:pPr>
          <w:r>
            <w:t>6.2 Flight to Quality and Flight to Risk</w:t>
          </w:r>
          <w:r>
            <w:tab/>
          </w:r>
          <w:r>
            <w:t>11</w:t>
          </w:r>
        </w:p>
        <w:p>
          <w:pPr>
            <w:pStyle w:val="11"/>
            <w:ind w:left="360"/>
            <w:tabs>
              <w:tab w:val="right" w:leader="dot" w:pos="9026"/>
            </w:tabs>
          </w:pPr>
          <w:r>
            <w:t>6.3 Intraday Dynamics and the Pre-FOMC Drift</w:t>
          </w:r>
          <w:r>
            <w:tab/>
          </w:r>
          <w:r>
            <w:t>11</w:t>
          </w:r>
        </w:p>
        <w:p>
          <w:pPr>
            <w:pStyle w:val="9"/>
            <w:tabs>
              <w:tab w:val="right" w:leader="dot" w:pos="9026"/>
            </w:tabs>
          </w:pPr>
          <w:r>
            <w:t>7. International Spillovers</w:t>
          </w:r>
          <w:r>
            <w:tab/>
          </w:r>
          <w:r>
            <w:t>12</w:t>
          </w:r>
        </w:p>
        <w:p>
          <w:pPr>
            <w:pStyle w:val="9"/>
            <w:tabs>
              <w:tab w:val="right" w:leader="dot" w:pos="9026"/>
            </w:tabs>
          </w:pPr>
          <w:r>
            <w:t>8. Unconventional Monetary Policy</w:t>
          </w:r>
          <w:r>
            <w:tab/>
          </w:r>
          <w:r>
            <w:t>13</w:t>
          </w:r>
        </w:p>
        <w:p>
          <w:pPr>
            <w:pStyle w:val="11"/>
            <w:ind w:left="360"/>
            <w:tabs>
              <w:tab w:val="right" w:leader="dot" w:pos="9026"/>
            </w:tabs>
          </w:pPr>
          <w:r>
            <w:t>8.1 Quantitative Easing and Asset Purchases</w:t>
          </w:r>
          <w:r>
            <w:tab/>
          </w:r>
          <w:r>
            <w:t>13</w:t>
          </w:r>
        </w:p>
        <w:p>
          <w:pPr>
            <w:pStyle w:val="11"/>
            <w:ind w:left="360"/>
            <w:tabs>
              <w:tab w:val="right" w:leader="dot" w:pos="9026"/>
            </w:tabs>
          </w:pPr>
          <w:r>
            <w:t>8.2 Forward Guidance</w:t>
          </w:r>
          <w:r>
            <w:tab/>
          </w:r>
          <w:r>
            <w:t>14</w:t>
          </w:r>
        </w:p>
        <w:p>
          <w:pPr>
            <w:pStyle w:val="9"/>
            <w:tabs>
              <w:tab w:val="right" w:leader="dot" w:pos="9026"/>
            </w:tabs>
          </w:pPr>
          <w:r>
            <w:t>9. Time-Varying Effects and Recent Developments</w:t>
          </w:r>
          <w:r>
            <w:tab/>
          </w:r>
          <w:r>
            <w:t>14</w:t>
          </w:r>
        </w:p>
        <w:p>
          <w:pPr>
            <w:pStyle w:val="11"/>
            <w:ind w:left="360"/>
            <w:tabs>
              <w:tab w:val="right" w:leader="dot" w:pos="9026"/>
            </w:tabs>
          </w:pPr>
          <w:r>
            <w:t>9.1 Changing Monetary Policy Frameworks</w:t>
          </w:r>
          <w:r>
            <w:tab/>
          </w:r>
          <w:r>
            <w:t>15</w:t>
          </w:r>
        </w:p>
        <w:p>
          <w:pPr>
            <w:pStyle w:val="11"/>
            <w:ind w:left="360"/>
            <w:tabs>
              <w:tab w:val="right" w:leader="dot" w:pos="9026"/>
            </w:tabs>
          </w:pPr>
          <w:r>
            <w:t>9.2 State-Dependent Effects</w:t>
          </w:r>
          <w:r>
            <w:tab/>
          </w:r>
          <w:r>
            <w:t>15</w:t>
          </w:r>
        </w:p>
        <w:p>
          <w:pPr>
            <w:pStyle w:val="11"/>
            <w:ind w:left="360"/>
            <w:tabs>
              <w:tab w:val="right" w:leader="dot" w:pos="9026"/>
            </w:tabs>
          </w:pPr>
          <w:r>
            <w:t>9.3 The Growing Role of FOMC Statements and Minutes</w:t>
          </w:r>
          <w:r>
            <w:tab/>
          </w:r>
          <w:r>
            <w:t>16</w:t>
          </w:r>
        </w:p>
        <w:p>
          <w:pPr>
            <w:pStyle w:val="9"/>
            <w:tabs>
              <w:tab w:val="right" w:leader="dot" w:pos="9026"/>
            </w:tabs>
          </w:pPr>
          <w:r>
            <w:t>10. Conclusion and Open Questions</w:t>
          </w:r>
          <w:r>
            <w:tab/>
          </w:r>
          <w:r>
            <w:t>16</w:t>
          </w:r>
        </w:p>
        <w:p>
          <w:pPr>
            <w:pStyle w:val="9"/>
            <w:tabs>
              <w:tab w:val="right" w:leader="dot" w:pos="9026"/>
            </w:tabs>
          </w:pPr>
          <w:r>
            <w:t>References</w:t>
          </w:r>
          <w:r>
            <w:tab/>
          </w:r>
          <w:r>
            <w:t>18</w:t>
          </w:r>
        </w:p>
        <w:p>
          <w:r>
            <w:fldChar w:fldCharType="end"/>
          </w:r>
        </w:p>
      </w:sdtContent>
    </w:sdt>
    <w:p>
      <w:pPr>
        <w:spacing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pStyle w:val="Heading1"/>
      </w:pPr>
      <w:r>
        <w:t xml:space="preserve">1. Introduction</w:t>
      </w:r>
    </w:p>
    <w:p>
      <w:pPr>
        <w:spacing w:after="160" w:line="250"/>
        <w:jc w:val="left"/>
      </w:pPr>
      <w:r>
        <w:rPr>
          <w:rFonts w:ascii="Calibri" w:cs="Calibri" w:eastAsia="Calibri" w:hAnsi="Calibri"/>
          <w:color w:val="0F172A"/>
          <w:sz w:val="22"/>
          <w:szCs w:val="22"/>
        </w:rPr>
        <w:t xml:space="preserve">Monetary policy announcements by the U.S. Federal Reserve are among the most closely watched scheduled events in global financial markets. On days when the Federal Open Market Committee (FOMC) releases its policy decision or accompanying statement, asset prices across equities, bonds, currencies, and commodities frequently move sharply within a narrow window around the announcement—often within 30 minutes.</w:t>
      </w:r>
      <w:r>
        <w:rPr>
          <w:rStyle w:val="FootnoteReference"/>
        </w:rPr>
        <w:footnoteReference w:id="1"/>
      </w:r>
      <w:r>
        <w:rPr>
          <w:rFonts w:ascii="Calibri" w:cs="Calibri" w:eastAsia="Calibri" w:hAnsi="Calibri"/>
          <w:color w:val="0F172A"/>
          <w:sz w:val="22"/>
          <w:szCs w:val="22"/>
        </w:rPr>
        <w:t xml:space="preserve"> For instance, Andersen et al. (2007) document that FOMC announcements account for a substantial share of realized volatility in U.S. Treasury yields, equity indices, and exchange rates, making them the single most important scheduled macroeconomic event for financial markets.</w:t>
      </w:r>
      <w:r>
        <w:rPr>
          <w:rStyle w:val="FootnoteReference"/>
        </w:rPr>
        <w:footnoteReference w:id="30"/>
      </w:r>
    </w:p>
    <w:p>
      <w:pPr>
        <w:spacing w:after="160" w:line="250"/>
        <w:jc w:val="left"/>
      </w:pPr>
      <w:r>
        <w:rPr>
          <w:rFonts w:ascii="Calibri" w:cs="Calibri" w:eastAsia="Calibri" w:hAnsi="Calibri"/>
          <w:color w:val="0F172A"/>
          <w:sz w:val="22"/>
          <w:szCs w:val="22"/>
        </w:rPr>
        <w:t xml:space="preserve">These reactions are economically meaningful. A 25-basis-point unexpected tightening typically raises two-year Treasury yields by 4–6 basis points</w:t>
      </w:r>
      <w:r>
        <w:rPr>
          <w:rStyle w:val="FootnoteReference"/>
        </w:rPr>
        <w:footnoteReference w:id="4"/>
      </w:r>
      <w:r>
        <w:rPr>
          <w:rFonts w:ascii="Calibri" w:cs="Calibri" w:eastAsia="Calibri" w:hAnsi="Calibri"/>
          <w:color w:val="0F172A"/>
          <w:sz w:val="22"/>
          <w:szCs w:val="22"/>
        </w:rPr>
        <w:t xml:space="preserve"> and depresses the S&amp;P 500 by approximately 1%.</w:t>
      </w:r>
      <w:r>
        <w:rPr>
          <w:rStyle w:val="FootnoteReference"/>
        </w:rPr>
        <w:footnoteReference w:id="6"/>
      </w:r>
      <w:r>
        <w:rPr>
          <w:rFonts w:ascii="Calibri" w:cs="Calibri" w:eastAsia="Calibri" w:hAnsi="Calibri"/>
          <w:color w:val="0F172A"/>
          <w:sz w:val="22"/>
          <w:szCs w:val="22"/>
        </w:rPr>
        <w:t xml:space="preserve"> Because equity holdings constitute a significant share of household wealth in the United States—approximately 30% of total household net worth as of 2024—such movements directly affect retirement savings, borrowing costs, and corporate investment decisions. The importance of this question is reflected in the intense attention paid to FOMC meetings by the financial press, institutional investors, and policymakers worldwide.</w:t>
      </w:r>
    </w:p>
    <w:p>
      <w:pPr>
        <w:spacing w:after="160" w:line="250"/>
        <w:jc w:val="left"/>
      </w:pPr>
      <w:r>
        <w:rPr>
          <w:rFonts w:ascii="Calibri" w:cs="Calibri" w:eastAsia="Calibri" w:hAnsi="Calibri"/>
          <w:color w:val="0F172A"/>
          <w:sz w:val="22"/>
          <w:szCs w:val="22"/>
        </w:rPr>
        <w:t xml:space="preserve">From an academic perspective, these observations motivate a central question: </w:t>
      </w:r>
      <w:r>
        <w:rPr>
          <w:rFonts w:ascii="Calibri" w:cs="Calibri" w:eastAsia="Calibri" w:hAnsi="Calibri"/>
          <w:b/>
          <w:bCs/>
          <w:color w:val="0F172A"/>
          <w:sz w:val="22"/>
          <w:szCs w:val="22"/>
        </w:rPr>
        <w:t xml:space="preserve">through what channels do monetary policy announcements affect asset prices, and how do investors reallocate their portfolios in response?</w:t>
      </w:r>
      <w:r>
        <w:rPr>
          <w:rFonts w:ascii="Calibri" w:cs="Calibri" w:eastAsia="Calibri" w:hAnsi="Calibri"/>
          <w:color w:val="0F172A"/>
          <w:sz w:val="22"/>
          <w:szCs w:val="22"/>
        </w:rPr>
        <w:t xml:space="preserve"> This question sits at the intersection of monetary economics, asset pricing, and international finance, and has generated a rich literature spanning several decades. The purpose of this review is to organize and synthesize this literature, tracing the evolution from early studies of interest rate pass-through to the modern two-shocks framework that distinguishes between policy effects and information effects.</w:t>
      </w:r>
    </w:p>
    <w:p>
      <w:pPr>
        <w:spacing w:after="160" w:line="250"/>
        <w:jc w:val="left"/>
      </w:pPr>
      <w:r>
        <w:rPr>
          <w:rFonts w:ascii="Calibri" w:cs="Calibri" w:eastAsia="Calibri" w:hAnsi="Calibri"/>
          <w:color w:val="0F172A"/>
          <w:sz w:val="22"/>
          <w:szCs w:val="22"/>
        </w:rPr>
        <w:t xml:space="preserve">The review is organized as follows. Section 2 establishes the theoretical foundations, drawing on rational expectations, the efficient market hypothesis, and the Campbell–Shiller present-value decomposition. Section 3 examines the methodological evolution of surprise identification, from early event studies to high-frequency approaches. Section 4 reviews the transmission channels through which monetary policy affects asset prices. Section 5 introduces the two-shocks decomposition framework. Section 6 discusses portfolio reallocation and cross-asset dynamics. Section 7 extends the analysis to international spillovers. Section 8 covers unconventional monetary policy. Section 9 addresses time-varying effects and recent developments. Section 10 concludes with a discussion of open questions and directions for future research.</w:t>
      </w:r>
    </w:p>
    <w:p>
      <w:pPr>
        <w:pStyle w:val="Heading1"/>
      </w:pPr>
      <w:r>
        <w:t xml:space="preserve">2. Theoretical Foundations</w:t>
      </w:r>
    </w:p>
    <w:p>
      <w:pPr>
        <w:spacing w:after="160" w:line="250"/>
        <w:jc w:val="left"/>
      </w:pPr>
      <w:r>
        <w:rPr>
          <w:rFonts w:ascii="Calibri" w:cs="Calibri" w:eastAsia="Calibri" w:hAnsi="Calibri"/>
          <w:color w:val="0F172A"/>
          <w:sz w:val="22"/>
          <w:szCs w:val="22"/>
        </w:rPr>
        <w:t xml:space="preserve">The literature on monetary policy announcements and asset prices rests on two methodological pillars: the rational expectations hypothesis and the efficient market hypothesis. Lucas (1972) established that, under rational expectations, only </w:t>
      </w:r>
      <w:r>
        <w:rPr>
          <w:rFonts w:ascii="Calibri" w:cs="Calibri" w:eastAsia="Calibri" w:hAnsi="Calibri"/>
          <w:i/>
          <w:iCs/>
          <w:color w:val="0F172A"/>
          <w:sz w:val="22"/>
          <w:szCs w:val="22"/>
        </w:rPr>
        <w:t xml:space="preserve">unanticipated</w:t>
      </w:r>
      <w:r>
        <w:rPr>
          <w:rFonts w:ascii="Calibri" w:cs="Calibri" w:eastAsia="Calibri" w:hAnsi="Calibri"/>
          <w:color w:val="0F172A"/>
          <w:sz w:val="22"/>
          <w:szCs w:val="22"/>
        </w:rPr>
        <w:t xml:space="preserve"> changes in monetary policy should affect real variables and asset prices.</w:t>
      </w:r>
      <w:r>
        <w:rPr>
          <w:rStyle w:val="FootnoteReference"/>
        </w:rPr>
        <w:footnoteReference w:id="2"/>
      </w:r>
      <w:r>
        <w:rPr>
          <w:rFonts w:ascii="Calibri" w:cs="Calibri" w:eastAsia="Calibri" w:hAnsi="Calibri"/>
          <w:color w:val="0F172A"/>
          <w:sz w:val="22"/>
          <w:szCs w:val="22"/>
        </w:rPr>
        <w:t xml:space="preserve"> If market participants fully anticipate a policy action, its effects should be priced in advance, and the announcement itself should generate no price reaction. This insight provides the theoretical justification for the event-study methodology that dominates this literature: researchers must isolate the </w:t>
      </w:r>
      <w:r>
        <w:rPr>
          <w:rFonts w:ascii="Calibri" w:cs="Calibri" w:eastAsia="Calibri" w:hAnsi="Calibri"/>
          <w:b/>
          <w:bCs/>
          <w:color w:val="0F172A"/>
          <w:sz w:val="22"/>
          <w:szCs w:val="22"/>
        </w:rPr>
        <w:t xml:space="preserve">surprise component</w:t>
      </w:r>
      <w:r>
        <w:rPr>
          <w:rFonts w:ascii="Calibri" w:cs="Calibri" w:eastAsia="Calibri" w:hAnsi="Calibri"/>
          <w:color w:val="0F172A"/>
          <w:sz w:val="22"/>
          <w:szCs w:val="22"/>
        </w:rPr>
        <w:t xml:space="preserve"> of each FOMC announcement—the difference between what the Fed actually does and what the market had expected.</w:t>
      </w:r>
    </w:p>
    <w:p>
      <w:pPr>
        <w:spacing w:after="160" w:line="250"/>
        <w:jc w:val="left"/>
      </w:pPr>
      <w:r>
        <w:rPr>
          <w:rFonts w:ascii="Calibri" w:cs="Calibri" w:eastAsia="Calibri" w:hAnsi="Calibri"/>
          <w:color w:val="0F172A"/>
          <w:sz w:val="22"/>
          <w:szCs w:val="22"/>
        </w:rPr>
        <w:t xml:space="preserve">The efficient market hypothesis (EMH), formalized by Fama (1970),</w:t>
      </w:r>
      <w:r>
        <w:rPr>
          <w:rStyle w:val="FootnoteReference"/>
        </w:rPr>
        <w:footnoteReference w:id="1"/>
      </w:r>
      <w:r>
        <w:rPr>
          <w:rFonts w:ascii="Calibri" w:cs="Calibri" w:eastAsia="Calibri" w:hAnsi="Calibri"/>
          <w:color w:val="0F172A"/>
          <w:sz w:val="22"/>
          <w:szCs w:val="22"/>
        </w:rPr>
        <w:t xml:space="preserve"> provides the second pillar. Under the semi-strong form of EMH, asset prices should adjust rapidly and without bias to new public information. FOMC announcements represent a clean test of this hypothesis because they are scheduled, public, and unambiguous in timing. The rapid price adjustments documented around FOMC announcements—often within minutes—are consistent with semi-strong-form efficiency, though the magnitude and cross-sectional variation of these responses remain active areas of research.</w:t>
      </w:r>
    </w:p>
    <w:p>
      <w:pPr>
        <w:pStyle w:val="Heading2"/>
      </w:pPr>
      <w:r>
        <w:t xml:space="preserve">2.1 The Campbell–Shiller Decomposition</w:t>
      </w:r>
    </w:p>
    <w:p>
      <w:pPr>
        <w:spacing w:after="160" w:line="250"/>
        <w:jc w:val="left"/>
      </w:pPr>
      <w:r>
        <w:rPr>
          <w:rFonts w:ascii="Calibri" w:cs="Calibri" w:eastAsia="Calibri" w:hAnsi="Calibri"/>
          <w:color w:val="0F172A"/>
          <w:sz w:val="22"/>
          <w:szCs w:val="22"/>
        </w:rPr>
        <w:t xml:space="preserve">A key theoretical tool for understanding </w:t>
      </w:r>
      <w:r>
        <w:rPr>
          <w:rFonts w:ascii="Calibri" w:cs="Calibri" w:eastAsia="Calibri" w:hAnsi="Calibri"/>
          <w:i/>
          <w:iCs/>
          <w:color w:val="0F172A"/>
          <w:sz w:val="22"/>
          <w:szCs w:val="22"/>
        </w:rPr>
        <w:t xml:space="preserve">how</w:t>
      </w:r>
      <w:r>
        <w:rPr>
          <w:rFonts w:ascii="Calibri" w:cs="Calibri" w:eastAsia="Calibri" w:hAnsi="Calibri"/>
          <w:color w:val="0F172A"/>
          <w:sz w:val="22"/>
          <w:szCs w:val="22"/>
        </w:rPr>
        <w:t xml:space="preserve"> monetary policy affects equity prices is the Campbell and Shiller (1988) log-linear present-value decomposition.</w:t>
      </w:r>
      <w:r>
        <w:rPr>
          <w:rStyle w:val="FootnoteReference"/>
        </w:rPr>
        <w:footnoteReference w:id="7"/>
      </w:r>
      <w:r>
        <w:rPr>
          <w:rFonts w:ascii="Calibri" w:cs="Calibri" w:eastAsia="Calibri" w:hAnsi="Calibri"/>
          <w:color w:val="0F172A"/>
          <w:sz w:val="22"/>
          <w:szCs w:val="22"/>
        </w:rPr>
        <w:t xml:space="preserve"> This framework decomposes the equity return into three components: changes in expected future dividends, changes in expected future discount rates, and changes in the equity risk premium. Bernanke and Kuttner (2005) apply this decomposition to monetary policy surprises and find that approximately 75% of the stock market’s reaction to an unexpected rate change operates through the discount rate channel, with only about 25% attributable to changes in expected future cash flows.</w:t>
      </w:r>
      <w:r>
        <w:rPr>
          <w:rStyle w:val="FootnoteReference"/>
        </w:rPr>
        <w:footnoteReference w:id="6"/>
      </w:r>
      <w:r>
        <w:rPr>
          <w:rFonts w:ascii="Calibri" w:cs="Calibri" w:eastAsia="Calibri" w:hAnsi="Calibri"/>
          <w:color w:val="0F172A"/>
          <w:sz w:val="22"/>
          <w:szCs w:val="22"/>
        </w:rPr>
        <w:t xml:space="preserve"> This finding has important implications: it suggests that monetary policy primarily affects asset prices by altering the required rate of return rather than by changing fundamental corporate profitability, which in turn raises questions about the welfare implications of asset price volatility induced by central bank communications.</w:t>
      </w:r>
    </w:p>
    <w:p>
      <w:pPr>
        <w:pStyle w:val="Heading2"/>
      </w:pPr>
      <w:r>
        <w:t xml:space="preserve">2.2 The Portfolio Balance Channel</w:t>
      </w:r>
    </w:p>
    <w:p>
      <w:pPr>
        <w:spacing w:after="160" w:line="250"/>
        <w:jc w:val="left"/>
      </w:pPr>
      <w:r>
        <w:rPr>
          <w:rFonts w:ascii="Calibri" w:cs="Calibri" w:eastAsia="Calibri" w:hAnsi="Calibri"/>
          <w:color w:val="0F172A"/>
          <w:sz w:val="22"/>
          <w:szCs w:val="22"/>
        </w:rPr>
        <w:t xml:space="preserve">Tobin (1969) proposed the portfolio balance channel as a mechanism through which monetary policy affects asset prices beyond the interest rate channel.</w:t>
      </w:r>
      <w:r>
        <w:rPr>
          <w:rStyle w:val="FootnoteReference"/>
        </w:rPr>
        <w:footnoteReference w:id="9"/>
      </w:r>
      <w:r>
        <w:rPr>
          <w:rFonts w:ascii="Calibri" w:cs="Calibri" w:eastAsia="Calibri" w:hAnsi="Calibri"/>
          <w:color w:val="0F172A"/>
          <w:sz w:val="22"/>
          <w:szCs w:val="22"/>
        </w:rPr>
        <w:t xml:space="preserve"> In Tobin’s framework, investors hold portfolios of money, bonds, and equities in proportions that depend on relative expected returns and risk. When the central bank changes monetary policy, it alters the relative supplies of these assets, forcing investors to rebalance their portfolios. This rebalancing shifts demand across asset classes, generating price movements even in markets not directly targeted by the policy action. Borio and Zhu (2012) extend this framework to incorporate risk-taking behavior, arguing that accommodative monetary policy can encourage investors to search for yield by shifting into riskier assets—a mechanism they term the </w:t>
      </w:r>
      <w:r>
        <w:rPr>
          <w:rFonts w:ascii="Calibri" w:cs="Calibri" w:eastAsia="Calibri" w:hAnsi="Calibri"/>
          <w:i/>
          <w:iCs/>
          <w:color w:val="0F172A"/>
          <w:sz w:val="22"/>
          <w:szCs w:val="22"/>
        </w:rPr>
        <w:t xml:space="preserve">risk-taking channel</w:t>
      </w:r>
      <w:r>
        <w:rPr>
          <w:rFonts w:ascii="Calibri" w:cs="Calibri" w:eastAsia="Calibri" w:hAnsi="Calibri"/>
          <w:color w:val="0F172A"/>
          <w:sz w:val="22"/>
          <w:szCs w:val="22"/>
        </w:rPr>
        <w:t xml:space="preserve"> of monetary policy.</w:t>
      </w:r>
      <w:r>
        <w:rPr>
          <w:rStyle w:val="FootnoteReference"/>
        </w:rPr>
        <w:footnoteReference w:id="10"/>
      </w:r>
    </w:p>
    <w:p>
      <w:pPr>
        <w:pStyle w:val="Heading1"/>
      </w:pPr>
      <w:r>
        <w:t xml:space="preserve">3. Identifying Monetary Policy Surprises</w:t>
      </w:r>
    </w:p>
    <w:p>
      <w:pPr>
        <w:spacing w:after="160" w:line="250"/>
        <w:jc w:val="left"/>
      </w:pPr>
      <w:r>
        <w:rPr>
          <w:rFonts w:ascii="Calibri" w:cs="Calibri" w:eastAsia="Calibri" w:hAnsi="Calibri"/>
          <w:color w:val="0F172A"/>
          <w:sz w:val="22"/>
          <w:szCs w:val="22"/>
        </w:rPr>
        <w:t xml:space="preserve">A central methodological challenge in this literature is measuring the </w:t>
      </w:r>
      <w:r>
        <w:rPr>
          <w:rFonts w:ascii="Calibri" w:cs="Calibri" w:eastAsia="Calibri" w:hAnsi="Calibri"/>
          <w:b/>
          <w:bCs/>
          <w:color w:val="0F172A"/>
          <w:sz w:val="22"/>
          <w:szCs w:val="22"/>
        </w:rPr>
        <w:t xml:space="preserve">surprise</w:t>
      </w:r>
      <w:r>
        <w:rPr>
          <w:rFonts w:ascii="Calibri" w:cs="Calibri" w:eastAsia="Calibri" w:hAnsi="Calibri"/>
          <w:color w:val="0F172A"/>
          <w:sz w:val="22"/>
          <w:szCs w:val="22"/>
        </w:rPr>
        <w:t xml:space="preserve"> component of monetary policy announcements. The quality of surprise measurement directly determines the credibility of any causal inference about the effects of monetary policy on asset prices. The literature has evolved through three generations of identification strategies, each offering improvements in precision and granularity.</w:t>
      </w:r>
    </w:p>
    <w:p>
      <w:pPr>
        <w:pStyle w:val="Heading2"/>
      </w:pPr>
      <w:r>
        <w:t xml:space="preserve">3.1 Early Approaches: Target Rate Changes</w:t>
      </w:r>
    </w:p>
    <w:p>
      <w:pPr>
        <w:spacing w:after="160" w:line="250"/>
        <w:jc w:val="left"/>
      </w:pPr>
      <w:r>
        <w:rPr>
          <w:rFonts w:ascii="Calibri" w:cs="Calibri" w:eastAsia="Calibri" w:hAnsi="Calibri"/>
          <w:color w:val="0F172A"/>
          <w:sz w:val="22"/>
          <w:szCs w:val="22"/>
        </w:rPr>
        <w:t xml:space="preserve">The earliest studies used the actual change in the federal funds rate target as a proxy for monetary policy surprises. Cook and Hahn (1989) provided the first systematic evidence that changes in the Fed’s target rate produced statistically significant and economically meaningful movements in market interest rates across the yield curve.</w:t>
      </w:r>
      <w:r>
        <w:rPr>
          <w:rStyle w:val="FootnoteReference"/>
        </w:rPr>
        <w:footnoteReference w:id="3"/>
      </w:r>
      <w:r>
        <w:rPr>
          <w:rFonts w:ascii="Calibri" w:cs="Calibri" w:eastAsia="Calibri" w:hAnsi="Calibri"/>
          <w:color w:val="0F172A"/>
          <w:sz w:val="22"/>
          <w:szCs w:val="22"/>
        </w:rPr>
        <w:t xml:space="preserve"> However, this approach conflates anticipated and unanticipated policy changes. If the market had already priced in a rate hike, the actual change in the target rate would overstate the true surprise. This limitation motivated the development of market-based measures.</w:t>
      </w:r>
    </w:p>
    <w:p>
      <w:pPr>
        <w:pStyle w:val="Heading2"/>
      </w:pPr>
      <w:r>
        <w:t xml:space="preserve">3.2 The Kuttner Surprise: Fed Funds Futures</w:t>
      </w:r>
    </w:p>
    <w:p>
      <w:pPr>
        <w:spacing w:after="160" w:line="250"/>
        <w:jc w:val="left"/>
      </w:pPr>
      <w:r>
        <w:rPr>
          <w:rFonts w:ascii="Calibri" w:cs="Calibri" w:eastAsia="Calibri" w:hAnsi="Calibri"/>
          <w:color w:val="0F172A"/>
          <w:sz w:val="22"/>
          <w:szCs w:val="22"/>
        </w:rPr>
        <w:t xml:space="preserve">Kuttner (2001) introduced the most widely used measure of monetary policy surprises.</w:t>
      </w:r>
      <w:r>
        <w:rPr>
          <w:rStyle w:val="FootnoteReference"/>
        </w:rPr>
        <w:footnoteReference w:id="4"/>
      </w:r>
      <w:r>
        <w:rPr>
          <w:rFonts w:ascii="Calibri" w:cs="Calibri" w:eastAsia="Calibri" w:hAnsi="Calibri"/>
          <w:color w:val="0F172A"/>
          <w:sz w:val="22"/>
          <w:szCs w:val="22"/>
        </w:rPr>
        <w:t xml:space="preserve"> His insight was to use the change in the implied federal funds rate from the day before to the day of the FOMC meeting, as derived from the price of the current-month fed funds futures contract. Specifically, the surprise is computed as:</w:t>
      </w:r>
    </w:p>
    <w:p>
      <w:pPr>
        <w:spacing w:after="200" w:before="200"/>
        <w:jc w:val="center"/>
      </w:pPr>
      <w:r>
        <w:rPr>
          <w:rFonts w:ascii="Calibri" w:cs="Calibri" w:eastAsia="Calibri" w:hAnsi="Calibri"/>
          <w:color w:val="0F172A"/>
          <w:sz w:val="22"/>
          <w:szCs w:val="22"/>
        </w:rPr>
        <w:t xml:space="preserve">    S</w:t>
      </w:r>
      <w:r>
        <w:rPr>
          <w:rFonts w:ascii="Calibri" w:cs="Calibri" w:eastAsia="Calibri" w:hAnsi="Calibri"/>
          <w:color w:val="0F172A"/>
          <w:sz w:val="22"/>
          <w:szCs w:val="22"/>
          <w:vertAlign w:val="subscript"/>
        </w:rPr>
        <w:t xml:space="preserve">t</w:t>
      </w:r>
      <w:r>
        <w:rPr>
          <w:rFonts w:ascii="Calibri" w:cs="Calibri" w:eastAsia="Calibri" w:hAnsi="Calibri"/>
          <w:color w:val="0F172A"/>
          <w:sz w:val="22"/>
          <w:szCs w:val="22"/>
        </w:rPr>
        <w:t xml:space="preserve"> = (f</w:t>
      </w:r>
      <w:r>
        <w:rPr>
          <w:rFonts w:ascii="Calibri" w:cs="Calibri" w:eastAsia="Calibri" w:hAnsi="Calibri"/>
          <w:color w:val="0F172A"/>
          <w:sz w:val="22"/>
          <w:szCs w:val="22"/>
          <w:vertAlign w:val="subscript"/>
        </w:rPr>
        <w:t xml:space="preserve">t,d</w:t>
      </w:r>
      <w:r>
        <w:rPr>
          <w:rFonts w:ascii="Calibri" w:cs="Calibri" w:eastAsia="Calibri" w:hAnsi="Calibri"/>
          <w:color w:val="0F172A"/>
          <w:sz w:val="22"/>
          <w:szCs w:val="22"/>
        </w:rPr>
        <w:t xml:space="preserve"> − f</w:t>
      </w:r>
      <w:r>
        <w:rPr>
          <w:rFonts w:ascii="Calibri" w:cs="Calibri" w:eastAsia="Calibri" w:hAnsi="Calibri"/>
          <w:color w:val="0F172A"/>
          <w:sz w:val="22"/>
          <w:szCs w:val="22"/>
          <w:vertAlign w:val="subscript"/>
        </w:rPr>
        <w:t xml:space="preserve">t−1,d</w:t>
      </w:r>
      <w:r>
        <w:rPr>
          <w:rFonts w:ascii="Calibri" w:cs="Calibri" w:eastAsia="Calibri" w:hAnsi="Calibri"/>
          <w:color w:val="0F172A"/>
          <w:sz w:val="22"/>
          <w:szCs w:val="22"/>
        </w:rPr>
        <w:t xml:space="preserve">) / 100</w:t>
      </w:r>
    </w:p>
    <w:p>
      <w:pPr>
        <w:spacing w:after="160" w:line="250"/>
        <w:jc w:val="left"/>
      </w:pPr>
      <w:r>
        <w:rPr>
          <w:rFonts w:ascii="Calibri" w:cs="Calibri" w:eastAsia="Calibri" w:hAnsi="Calibri"/>
          <w:color w:val="0F172A"/>
          <w:sz w:val="22"/>
          <w:szCs w:val="22"/>
        </w:rPr>
        <w:t xml:space="preserve">where f</w:t>
      </w:r>
      <w:r>
        <w:rPr>
          <w:rFonts w:ascii="Calibri" w:cs="Calibri" w:eastAsia="Calibri" w:hAnsi="Calibri"/>
          <w:color w:val="0F172A"/>
          <w:sz w:val="22"/>
          <w:szCs w:val="22"/>
          <w:vertAlign w:val="subscript"/>
        </w:rPr>
        <w:t xml:space="preserve">t,d</w:t>
      </w:r>
      <w:r>
        <w:rPr>
          <w:rFonts w:ascii="Calibri" w:cs="Calibri" w:eastAsia="Calibri" w:hAnsi="Calibri"/>
          <w:color w:val="0F172A"/>
          <w:sz w:val="22"/>
          <w:szCs w:val="22"/>
        </w:rPr>
        <w:t xml:space="preserve"> is the futures price for the month of the FOMC meeting. Because fed funds futures are actively traded and settle on the actual effective federal funds rate, they provide a high-frequency, market-based measure of policy expectations. Kuttner showed that an unexpected 25-basis-point tightening raises two-year Treasury yields by approximately 4–6 basis points, with the effect diminishing at longer maturities. This measure has become the standard in the literature and is used in nearly all subsequent studies.</w:t>
      </w:r>
    </w:p>
    <w:p>
      <w:pPr>
        <w:pStyle w:val="Heading2"/>
      </w:pPr>
      <w:r>
        <w:t xml:space="preserve">3.3 High-Frequency Identification</w:t>
      </w:r>
    </w:p>
    <w:p>
      <w:pPr>
        <w:spacing w:after="160" w:line="250"/>
        <w:jc w:val="left"/>
      </w:pPr>
      <w:r>
        <w:rPr>
          <w:rFonts w:ascii="Calibri" w:cs="Calibri" w:eastAsia="Calibri" w:hAnsi="Calibri"/>
          <w:color w:val="0F172A"/>
          <w:sz w:val="22"/>
          <w:szCs w:val="22"/>
        </w:rPr>
        <w:t xml:space="preserve">Gürkaynak, Sack, and Swanson (2005) pushed the identification frontier further by using intraday data to separate monetary policy surprises into two distinct factors.</w:t>
      </w:r>
      <w:r>
        <w:rPr>
          <w:rStyle w:val="FootnoteReference"/>
        </w:rPr>
        <w:footnoteReference w:id="5"/>
      </w:r>
      <w:r>
        <w:rPr>
          <w:rFonts w:ascii="Calibri" w:cs="Calibri" w:eastAsia="Calibri" w:hAnsi="Calibri"/>
          <w:color w:val="0F172A"/>
          <w:sz w:val="22"/>
          <w:szCs w:val="22"/>
        </w:rPr>
        <w:t xml:space="preserve"> Using a narrow event window around FOMC announcements (typically 30 minutes), they applied principal component analysis to changes in Eurodollar futures across multiple maturities and identified two statistically independent factors: a </w:t>
      </w:r>
      <w:r>
        <w:rPr>
          <w:rFonts w:ascii="Calibri" w:cs="Calibri" w:eastAsia="Calibri" w:hAnsi="Calibri"/>
          <w:b/>
          <w:bCs/>
          <w:color w:val="0F172A"/>
          <w:sz w:val="22"/>
          <w:szCs w:val="22"/>
        </w:rPr>
        <w:t xml:space="preserve">target factor</w:t>
      </w:r>
      <w:r>
        <w:rPr>
          <w:rFonts w:ascii="Calibri" w:cs="Calibri" w:eastAsia="Calibri" w:hAnsi="Calibri"/>
          <w:color w:val="0F172A"/>
          <w:sz w:val="22"/>
          <w:szCs w:val="22"/>
        </w:rPr>
        <w:t xml:space="preserve"> that captures unexpected changes in the current federal funds rate, and a </w:t>
      </w:r>
      <w:r>
        <w:rPr>
          <w:rFonts w:ascii="Calibri" w:cs="Calibri" w:eastAsia="Calibri" w:hAnsi="Calibri"/>
          <w:b/>
          <w:bCs/>
          <w:color w:val="0F172A"/>
          <w:sz w:val="22"/>
          <w:szCs w:val="22"/>
        </w:rPr>
        <w:t xml:space="preserve">path factor</w:t>
      </w:r>
      <w:r>
        <w:rPr>
          <w:rFonts w:ascii="Calibri" w:cs="Calibri" w:eastAsia="Calibri" w:hAnsi="Calibri"/>
          <w:color w:val="0F172A"/>
          <w:sz w:val="22"/>
          <w:szCs w:val="22"/>
        </w:rPr>
        <w:t xml:space="preserve"> that captures unexpected changes in the expected future path of policy. Their key finding is that the path factor is at least as important as the target factor for explaining movements in long-term interest rates and equity prices. This decomposition has been widely adopted and forms the basis for the two-shocks framework discussed in Section 5.</w:t>
      </w:r>
    </w:p>
    <w:p>
      <w:pPr>
        <w:spacing w:after="160" w:line="250"/>
        <w:jc w:val="left"/>
      </w:pPr>
      <w:r>
        <w:rPr>
          <w:rFonts w:ascii="Calibri" w:cs="Calibri" w:eastAsia="Calibri" w:hAnsi="Calibri"/>
          <w:color w:val="0F172A"/>
          <w:sz w:val="22"/>
          <w:szCs w:val="22"/>
        </w:rPr>
        <w:t xml:space="preserve">Cochrane and Piazzesi (2002) independently developed a related high-frequency approach, using the change in the two-year Treasury yield around FOMC announcements as a broad measure of monetary policy surprises.</w:t>
      </w:r>
      <w:r>
        <w:rPr>
          <w:rStyle w:val="FootnoteReference"/>
        </w:rPr>
        <w:footnoteReference w:id="12"/>
      </w:r>
      <w:r>
        <w:rPr>
          <w:rFonts w:ascii="Calibri" w:cs="Calibri" w:eastAsia="Calibri" w:hAnsi="Calibri"/>
          <w:color w:val="0F172A"/>
          <w:sz w:val="22"/>
          <w:szCs w:val="22"/>
        </w:rPr>
        <w:t xml:space="preserve"> Their measure captures both target and path surprises and has the advantage of simplicity, though it may be contaminated by other macroeconomic information released simultaneously. More recently, Nakamura and Steinsson (2018) used TIPS (Treasury Inflation-Protected Securities) data to separate nominal rate responses into real rate and inflation expectation components, providing additional granularity.</w:t>
      </w:r>
      <w:r>
        <w:rPr>
          <w:rStyle w:val="FootnoteReference"/>
        </w:rPr>
        <w:footnoteReference w:id="11"/>
      </w:r>
    </w:p>
    <w:p>
      <w:pPr>
        <w:pStyle w:val="Heading1"/>
      </w:pPr>
      <w:r>
        <w:t xml:space="preserve">4. Transmission Channels</w:t>
      </w:r>
    </w:p>
    <w:p>
      <w:pPr>
        <w:spacing w:after="160" w:line="250"/>
        <w:jc w:val="left"/>
      </w:pPr>
      <w:r>
        <w:rPr>
          <w:rFonts w:ascii="Calibri" w:cs="Calibri" w:eastAsia="Calibri" w:hAnsi="Calibri"/>
          <w:color w:val="0F172A"/>
          <w:sz w:val="22"/>
          <w:szCs w:val="22"/>
        </w:rPr>
        <w:t xml:space="preserve">Once monetary policy surprises are identified, the next question is: through what channels do they affect asset prices? The literature identifies several distinct transmission mechanisms, each with different implications for the cross-section of asset returns and the welfare effects of monetary policy.</w:t>
      </w:r>
    </w:p>
    <w:p>
      <w:pPr>
        <w:pStyle w:val="Heading2"/>
      </w:pPr>
      <w:r>
        <w:t xml:space="preserve">4.1 The Interest Rate Channel</w:t>
      </w:r>
    </w:p>
    <w:p>
      <w:pPr>
        <w:spacing w:after="160" w:line="250"/>
        <w:jc w:val="left"/>
      </w:pPr>
      <w:r>
        <w:rPr>
          <w:rFonts w:ascii="Calibri" w:cs="Calibri" w:eastAsia="Calibri" w:hAnsi="Calibri"/>
          <w:color w:val="0F172A"/>
          <w:sz w:val="22"/>
          <w:szCs w:val="22"/>
        </w:rPr>
        <w:t xml:space="preserve">The most direct channel operates through interest rates. When the Fed tightens monetary policy unexpectedly, short-term interest rates rise, which increases the discount rate applied to future cash flows across all asset classes. Kuttner (2001) documents that this channel is strongest for short-term bonds and attenuates at longer maturities.</w:t>
      </w:r>
      <w:r>
        <w:rPr>
          <w:rStyle w:val="FootnoteReference"/>
        </w:rPr>
        <w:footnoteReference w:id="4"/>
      </w:r>
      <w:r>
        <w:rPr>
          <w:rFonts w:ascii="Calibri" w:cs="Calibri" w:eastAsia="Calibri" w:hAnsi="Calibri"/>
          <w:color w:val="0F172A"/>
          <w:sz w:val="22"/>
          <w:szCs w:val="22"/>
        </w:rPr>
        <w:t xml:space="preserve"> Fleming and Remolona (1997) show that the impact on Treasury yields is essentially instantaneous, with most of the adjustment occurring within 15 minutes of the announcement.</w:t>
      </w:r>
      <w:r>
        <w:rPr>
          <w:rStyle w:val="FootnoteReference"/>
        </w:rPr>
        <w:footnoteReference w:id="13"/>
      </w:r>
      <w:r>
        <w:rPr>
          <w:rFonts w:ascii="Calibri" w:cs="Calibri" w:eastAsia="Calibri" w:hAnsi="Calibri"/>
          <w:color w:val="0F172A"/>
          <w:sz w:val="22"/>
          <w:szCs w:val="22"/>
        </w:rPr>
        <w:t xml:space="preserve"> Gürkaynak, Sack, and Swanson (2007) confirm that the target factor primarily affects short-term rates, while the path factor drives movements at the long end of the yield curve.</w:t>
      </w:r>
      <w:r>
        <w:rPr>
          <w:rStyle w:val="FootnoteReference"/>
        </w:rPr>
        <w:footnoteReference w:id="14"/>
      </w:r>
    </w:p>
    <w:p>
      <w:pPr>
        <w:pStyle w:val="Heading2"/>
      </w:pPr>
      <w:r>
        <w:t xml:space="preserve">4.2 The Discount Rate Channel for Equities</w:t>
      </w:r>
    </w:p>
    <w:p>
      <w:pPr>
        <w:spacing w:after="160" w:line="250"/>
        <w:jc w:val="left"/>
      </w:pPr>
      <w:r>
        <w:rPr>
          <w:rFonts w:ascii="Calibri" w:cs="Calibri" w:eastAsia="Calibri" w:hAnsi="Calibri"/>
          <w:color w:val="0F172A"/>
          <w:sz w:val="22"/>
          <w:szCs w:val="22"/>
        </w:rPr>
        <w:t xml:space="preserve">For equity markets, the discount rate channel is the dominant transmission mechanism. Bernanke and Kuttner (2005) decompose the stock market’s response to monetary policy surprises using the Campbell–Shiller framework and find that roughly 75% of the reaction operates through changes in the discount rate, with only about 25% attributable to revisions in expected future dividends.</w:t>
      </w:r>
      <w:r>
        <w:rPr>
          <w:rStyle w:val="FootnoteReference"/>
        </w:rPr>
        <w:footnoteReference w:id="6"/>
      </w:r>
      <w:r>
        <w:rPr>
          <w:rFonts w:ascii="Calibri" w:cs="Calibri" w:eastAsia="Calibri" w:hAnsi="Calibri"/>
          <w:color w:val="0F172A"/>
          <w:sz w:val="22"/>
          <w:szCs w:val="22"/>
        </w:rPr>
        <w:t xml:space="preserve"> This implies that an unexpected 25-basis-point tightening reduces the S&amp;P 500 by approximately 1%, primarily because investors demand a higher rate of return on equities rather than because corporate earnings expectations deteriorate. This finding has been replicated across different sample periods and market conditions.</w:t>
      </w:r>
    </w:p>
    <w:p>
      <w:pPr>
        <w:pStyle w:val="Heading2"/>
      </w:pPr>
      <w:r>
        <w:t xml:space="preserve">4.3 The Exchange Rate Channel</w:t>
      </w:r>
    </w:p>
    <w:p>
      <w:pPr>
        <w:spacing w:after="160" w:line="250"/>
        <w:jc w:val="left"/>
      </w:pPr>
      <w:r>
        <w:rPr>
          <w:rFonts w:ascii="Calibri" w:cs="Calibri" w:eastAsia="Calibri" w:hAnsi="Calibri"/>
          <w:color w:val="0F172A"/>
          <w:sz w:val="22"/>
          <w:szCs w:val="22"/>
        </w:rPr>
        <w:t xml:space="preserve">Monetary policy surprises also affect exchange rates through the interest rate differential channel. An unexpected tightening raises U.S. interest rates relative to other countries, making dollar-denominated assets more attractive and causing the dollar to appreciate. Faust, Rogers, Wang, and Wright (2007) use high-frequency data to show that both interest rate surprises and FOMC statement language significantly affect the dollar, with the effect being larger for emerging market currencies than for major currencies.</w:t>
      </w:r>
      <w:r>
        <w:rPr>
          <w:rStyle w:val="FootnoteReference"/>
        </w:rPr>
        <w:footnoteReference w:id="27"/>
      </w:r>
      <w:r>
        <w:rPr>
          <w:rFonts w:ascii="Calibri" w:cs="Calibri" w:eastAsia="Calibri" w:hAnsi="Calibri"/>
          <w:color w:val="0F172A"/>
          <w:sz w:val="22"/>
          <w:szCs w:val="22"/>
        </w:rPr>
        <w:t xml:space="preserve"> Kearns and Manners (2006) document similar effects for the Australian dollar, suggesting that the exchange rate channel operates broadly across currencies.</w:t>
      </w:r>
      <w:r>
        <w:rPr>
          <w:rStyle w:val="FootnoteReference"/>
        </w:rPr>
        <w:footnoteReference w:id="26"/>
      </w:r>
    </w:p>
    <w:p>
      <w:pPr>
        <w:pStyle w:val="Heading2"/>
      </w:pPr>
      <w:r>
        <w:t xml:space="preserve">4.4 The Risk-Taking Channel</w:t>
      </w:r>
    </w:p>
    <w:p>
      <w:pPr>
        <w:spacing w:after="160" w:line="250"/>
        <w:jc w:val="left"/>
      </w:pPr>
      <w:r>
        <w:rPr>
          <w:rFonts w:ascii="Calibri" w:cs="Calibri" w:eastAsia="Calibri" w:hAnsi="Calibri"/>
          <w:color w:val="0F172A"/>
          <w:sz w:val="22"/>
          <w:szCs w:val="22"/>
        </w:rPr>
        <w:t xml:space="preserve">Beyond the traditional interest rate and discount rate channels, a growing literature emphasizes the risk-taking channel of monetary policy. Borio and Zhu (2012) argue that accommodative monetary policy encourages investors to search for yield by shifting into riskier assets, compressing risk premia across multiple asset classes.</w:t>
      </w:r>
      <w:r>
        <w:rPr>
          <w:rStyle w:val="FootnoteReference"/>
        </w:rPr>
        <w:footnoteReference w:id="10"/>
      </w:r>
      <w:r>
        <w:rPr>
          <w:rFonts w:ascii="Calibri" w:cs="Calibri" w:eastAsia="Calibri" w:hAnsi="Calibri"/>
          <w:color w:val="0F172A"/>
          <w:sz w:val="22"/>
          <w:szCs w:val="22"/>
        </w:rPr>
        <w:t xml:space="preserve"> Hanson and Stein (2015) provide empirical evidence that monetary policy affects long-term real interest rates through a term-premium channel: when the Fed signals a prolonged period of low short rates, investors reach for duration, compressing the term premium on long bonds.</w:t>
      </w:r>
      <w:r>
        <w:rPr>
          <w:rStyle w:val="FootnoteReference"/>
        </w:rPr>
        <w:footnoteReference w:id="17"/>
      </w:r>
      <w:r>
        <w:rPr>
          <w:rFonts w:ascii="Calibri" w:cs="Calibri" w:eastAsia="Calibri" w:hAnsi="Calibri"/>
          <w:color w:val="0F172A"/>
          <w:sz w:val="22"/>
          <w:szCs w:val="22"/>
        </w:rPr>
        <w:t xml:space="preserve"> Cieslak and Vissing-Jorgensen (2020) document a related phenomenon—the “Fed put”—whereby the market perceives that the Fed will intervene to support asset prices during downturns, effectively reducing downside risk and encouraging risk-taking.</w:t>
      </w:r>
      <w:r>
        <w:rPr>
          <w:rStyle w:val="FootnoteReference"/>
        </w:rPr>
        <w:footnoteReference w:id="18"/>
      </w:r>
    </w:p>
    <w:p>
      <w:pPr>
        <w:pStyle w:val="Heading1"/>
      </w:pPr>
      <w:r>
        <w:t xml:space="preserve">5. The Two-Shocks Framework: Policy vs. Information</w:t>
      </w:r>
    </w:p>
    <w:p>
      <w:pPr>
        <w:spacing w:after="160" w:line="250"/>
        <w:jc w:val="left"/>
      </w:pPr>
      <w:r>
        <w:rPr>
          <w:rFonts w:ascii="Calibri" w:cs="Calibri" w:eastAsia="Calibri" w:hAnsi="Calibri"/>
          <w:color w:val="0F172A"/>
          <w:sz w:val="22"/>
          <w:szCs w:val="22"/>
        </w:rPr>
        <w:t xml:space="preserve">A fundamental puzzle in the monetary policy announcement literature is the “equity premium puzzle”: under standard asset pricing models, an unexpected tightening should raise discount rates and lower equity prices, yet equities sometimes rise on tightening days. Jarociński and Karadi (2020) resolve this puzzle by proposing a two-shocks decomposition that distinguishes between </w:t>
      </w:r>
      <w:r>
        <w:rPr>
          <w:rFonts w:ascii="Calibri" w:cs="Calibri" w:eastAsia="Calibri" w:hAnsi="Calibri"/>
          <w:b/>
          <w:bCs/>
          <w:color w:val="0F172A"/>
          <w:sz w:val="22"/>
          <w:szCs w:val="22"/>
        </w:rPr>
        <w:t xml:space="preserve">policy shocks</w:t>
      </w:r>
      <w:r>
        <w:rPr>
          <w:rFonts w:ascii="Calibri" w:cs="Calibri" w:eastAsia="Calibri" w:hAnsi="Calibri"/>
          <w:color w:val="0F172A"/>
          <w:sz w:val="22"/>
          <w:szCs w:val="22"/>
        </w:rPr>
        <w:t xml:space="preserve"> (pure changes in the monetary policy stance) and </w:t>
      </w:r>
      <w:r>
        <w:rPr>
          <w:rFonts w:ascii="Calibri" w:cs="Calibri" w:eastAsia="Calibri" w:hAnsi="Calibri"/>
          <w:b/>
          <w:bCs/>
          <w:color w:val="0F172A"/>
          <w:sz w:val="22"/>
          <w:szCs w:val="22"/>
        </w:rPr>
        <w:t xml:space="preserve">information shocks</w:t>
      </w:r>
      <w:r>
        <w:rPr>
          <w:rFonts w:ascii="Calibri" w:cs="Calibri" w:eastAsia="Calibri" w:hAnsi="Calibri"/>
          <w:color w:val="0F172A"/>
          <w:sz w:val="22"/>
          <w:szCs w:val="22"/>
        </w:rPr>
        <w:t xml:space="preserve"> (revelations about the central bank’s private assessment of economic conditions).</w:t>
      </w:r>
      <w:r>
        <w:rPr>
          <w:rStyle w:val="FootnoteReference"/>
        </w:rPr>
        <w:footnoteReference w:id="8"/>
      </w:r>
    </w:p>
    <w:p>
      <w:pPr>
        <w:pStyle w:val="Heading2"/>
      </w:pPr>
      <w:r>
        <w:t xml:space="preserve">5.1 Identification Strategy</w:t>
      </w:r>
    </w:p>
    <w:p>
      <w:pPr>
        <w:spacing w:after="160" w:line="250"/>
        <w:jc w:val="left"/>
      </w:pPr>
      <w:r>
        <w:rPr>
          <w:rFonts w:ascii="Calibri" w:cs="Calibri" w:eastAsia="Calibri" w:hAnsi="Calibri"/>
          <w:color w:val="0F172A"/>
          <w:sz w:val="22"/>
          <w:szCs w:val="22"/>
        </w:rPr>
        <w:t xml:space="preserve">Jarociński and Karadi identify the two shocks using a high-frequency event-study approach with sign restrictions. In a narrow window around FOMC announcements, they observe the responses of equity returns and bond yield changes to the overall monetary policy surprise. They impose the following sign restrictions: (i) a </w:t>
      </w:r>
      <w:r>
        <w:rPr>
          <w:rFonts w:ascii="Calibri" w:cs="Calibri" w:eastAsia="Calibri" w:hAnsi="Calibri"/>
          <w:i/>
          <w:iCs/>
          <w:color w:val="0F172A"/>
          <w:sz w:val="22"/>
          <w:szCs w:val="22"/>
        </w:rPr>
        <w:t xml:space="preserve">policy shock</w:t>
      </w:r>
      <w:r>
        <w:rPr>
          <w:rFonts w:ascii="Calibri" w:cs="Calibri" w:eastAsia="Calibri" w:hAnsi="Calibri"/>
          <w:color w:val="0F172A"/>
          <w:sz w:val="22"/>
          <w:szCs w:val="22"/>
        </w:rPr>
        <w:t xml:space="preserve"> raises bond yields and lowers equity prices (tightening reduces present values); (ii) an </w:t>
      </w:r>
      <w:r>
        <w:rPr>
          <w:rFonts w:ascii="Calibri" w:cs="Calibri" w:eastAsia="Calibri" w:hAnsi="Calibri"/>
          <w:i/>
          <w:iCs/>
          <w:color w:val="0F172A"/>
          <w:sz w:val="22"/>
          <w:szCs w:val="22"/>
        </w:rPr>
        <w:t xml:space="preserve">information shock</w:t>
      </w:r>
      <w:r>
        <w:rPr>
          <w:rFonts w:ascii="Calibri" w:cs="Calibri" w:eastAsia="Calibri" w:hAnsi="Calibri"/>
          <w:color w:val="0F172A"/>
          <w:sz w:val="22"/>
          <w:szCs w:val="22"/>
        </w:rPr>
        <w:t xml:space="preserve"> raises both bond yields and equity prices (good economic news raises expected future earnings more than it raises discount rates). These restrictions allow them to decompose the observed surprise into its policy and information components using a structural VAR framework.</w:t>
      </w:r>
    </w:p>
    <w:p>
      <w:pPr>
        <w:pStyle w:val="Heading2"/>
      </w:pPr>
      <w:r>
        <w:t xml:space="preserve">5.2 Key Findings</w:t>
      </w:r>
    </w:p>
    <w:p>
      <w:pPr>
        <w:spacing w:after="160" w:line="250"/>
        <w:jc w:val="left"/>
      </w:pPr>
      <w:r>
        <w:rPr>
          <w:rFonts w:ascii="Calibri" w:cs="Calibri" w:eastAsia="Calibri" w:hAnsi="Calibri"/>
          <w:color w:val="0F172A"/>
          <w:sz w:val="22"/>
          <w:szCs w:val="22"/>
        </w:rPr>
        <w:t xml:space="preserve">The two-shocks framework yields several important findings. First, information shocks explain a substantial share of the variation in equity returns around FOMC announcements—often more than policy shocks. Second, the two shocks have opposite effects on equity prices: policy shocks are contractionary (equities fall), while information shocks are expansionary (equities rise). Third, the relative importance of the two shocks varies over time and across different types of FOMC communications. Nakamura and Steinsson (2018) provide complementary evidence using TIPS data, showing that monetary policy surprises contain significant information about future real economic activity, consistent with the information shock interpretation.</w:t>
      </w:r>
      <w:r>
        <w:rPr>
          <w:rStyle w:val="FootnoteReference"/>
        </w:rPr>
        <w:footnoteReference w:id="11"/>
      </w:r>
    </w:p>
    <w:p>
      <w:pPr>
        <w:spacing w:after="160" w:line="250"/>
        <w:jc w:val="left"/>
      </w:pPr>
      <w:r>
        <w:rPr>
          <w:rFonts w:ascii="Calibri" w:cs="Calibri" w:eastAsia="Calibri" w:hAnsi="Calibri"/>
          <w:color w:val="0F172A"/>
          <w:sz w:val="22"/>
          <w:szCs w:val="22"/>
        </w:rPr>
        <w:t xml:space="preserve">This framework has important implications for portfolio reallocation. If investors can distinguish between policy and information shocks, they should adjust their portfolios differently in response to each: policy shocks call for a defensive shift toward bonds and cash, while information shocks about strong economic growth may justify increased equity exposure. The extent to which investors actually make this distinction in real time remains an open question.</w:t>
      </w:r>
    </w:p>
    <w:p>
      <w:pPr>
        <w:pStyle w:val="Heading1"/>
      </w:pPr>
      <w:r>
        <w:t xml:space="preserve">6. Portfolio Reallocation and Cross-Asset Dynamics</w:t>
      </w:r>
    </w:p>
    <w:p>
      <w:pPr>
        <w:spacing w:after="160" w:line="250"/>
        <w:jc w:val="left"/>
      </w:pPr>
      <w:r>
        <w:rPr>
          <w:rFonts w:ascii="Calibri" w:cs="Calibri" w:eastAsia="Calibri" w:hAnsi="Calibri"/>
          <w:color w:val="0F172A"/>
          <w:sz w:val="22"/>
          <w:szCs w:val="22"/>
        </w:rPr>
        <w:t xml:space="preserve">The transmission channels discussed in Sections 4 and 5 do not operate in isolation; they interact through investors’ portfolio reallocation decisions. When monetary policy surprises alter the relative expected returns of different asset classes, investors rebalance their portfolios, generating cross-asset spillovers that amplify and propagate the initial shock.</w:t>
      </w:r>
    </w:p>
    <w:p>
      <w:pPr>
        <w:pStyle w:val="Heading2"/>
      </w:pPr>
      <w:r>
        <w:t xml:space="preserve">6.1 Cross-Asset Correlation Patterns</w:t>
      </w:r>
    </w:p>
    <w:p>
      <w:pPr>
        <w:spacing w:after="160" w:line="250"/>
        <w:jc w:val="left"/>
      </w:pPr>
      <w:r>
        <w:rPr>
          <w:rFonts w:ascii="Calibri" w:cs="Calibri" w:eastAsia="Calibri" w:hAnsi="Calibri"/>
          <w:color w:val="0F172A"/>
          <w:sz w:val="22"/>
          <w:szCs w:val="22"/>
        </w:rPr>
        <w:t xml:space="preserve">Andersen et al. (2007) document that FOMC announcements generate simultaneous movements across equity, bond, and foreign exchange markets, with correlations increasing sharply in the narrow window around the announcement.</w:t>
      </w:r>
      <w:r>
        <w:rPr>
          <w:rStyle w:val="FootnoteReference"/>
        </w:rPr>
        <w:footnoteReference w:id="30"/>
      </w:r>
      <w:r>
        <w:rPr>
          <w:rFonts w:ascii="Calibri" w:cs="Calibri" w:eastAsia="Calibri" w:hAnsi="Calibri"/>
          <w:color w:val="0F172A"/>
          <w:sz w:val="22"/>
          <w:szCs w:val="22"/>
        </w:rPr>
        <w:t xml:space="preserve"> This co-movement is consistent with portfolio rebalancing: when a monetary policy surprise causes investors to reassess the risk-return tradeoff across asset classes, they adjust their holdings simultaneously, generating correlated price changes. Brennan, Chordia, and Subrahmanyam (2012) show that these cross-asset effects are particularly pronounced for assets with high liquidity, as investors prefer to trade in liquid markets when rebalancing portfolios.</w:t>
      </w:r>
      <w:r>
        <w:rPr>
          <w:rStyle w:val="FootnoteReference"/>
        </w:rPr>
        <w:footnoteReference w:id="16"/>
      </w:r>
    </w:p>
    <w:p>
      <w:pPr>
        <w:pStyle w:val="Heading2"/>
      </w:pPr>
      <w:r>
        <w:t xml:space="preserve">6.2 Flight to Quality and Flight to Risk</w:t>
      </w:r>
    </w:p>
    <w:p>
      <w:pPr>
        <w:spacing w:after="160" w:line="250"/>
        <w:jc w:val="left"/>
      </w:pPr>
      <w:r>
        <w:rPr>
          <w:rFonts w:ascii="Calibri" w:cs="Calibri" w:eastAsia="Calibri" w:hAnsi="Calibri"/>
          <w:color w:val="0F172A"/>
          <w:sz w:val="22"/>
          <w:szCs w:val="22"/>
        </w:rPr>
        <w:t xml:space="preserve">The direction of portfolio reallocation depends on the nature of the monetary policy surprise. An unexpected tightening typically triggers a flight to quality: investors shift from equities and corporate bonds into Treasuries and cash, compressing the term premium on safe assets while widening credit spreads. Gilchrist, López-Salido, and Zakrajšek (2015) document that monetary policy surprises significantly affect credit spreads, with tightening increasing the cost of borrowing for lower-rated firms.</w:t>
      </w:r>
      <w:r>
        <w:rPr>
          <w:rStyle w:val="FootnoteReference"/>
        </w:rPr>
        <w:footnoteReference w:id="19"/>
      </w:r>
      <w:r>
        <w:rPr>
          <w:rFonts w:ascii="Calibri" w:cs="Calibri" w:eastAsia="Calibri" w:hAnsi="Calibri"/>
          <w:color w:val="0F172A"/>
          <w:sz w:val="22"/>
          <w:szCs w:val="22"/>
        </w:rPr>
        <w:t xml:space="preserve"> Conversely, an unexpected easing or dovish signal triggers a flight to risk: investors shift out of safe assets into equities, high-yield bonds, and emerging market assets, compressing risk premia across the board. The risk-taking channel described by Borio and Zhu (2012) amplifies this effect over longer horizons.</w:t>
      </w:r>
      <w:r>
        <w:rPr>
          <w:rStyle w:val="FootnoteReference"/>
        </w:rPr>
        <w:footnoteReference w:id="10"/>
      </w:r>
    </w:p>
    <w:p>
      <w:pPr>
        <w:pStyle w:val="Heading2"/>
      </w:pPr>
      <w:r>
        <w:t xml:space="preserve">6.3 Intraday Dynamics and the Pre-FOMC Drift</w:t>
      </w:r>
    </w:p>
    <w:p>
      <w:pPr>
        <w:spacing w:after="160" w:line="250"/>
        <w:jc w:val="left"/>
      </w:pPr>
      <w:r>
        <w:rPr>
          <w:rFonts w:ascii="Calibri" w:cs="Calibri" w:eastAsia="Calibri" w:hAnsi="Calibri"/>
          <w:color w:val="0F172A"/>
          <w:sz w:val="22"/>
          <w:szCs w:val="22"/>
        </w:rPr>
        <w:t xml:space="preserve">Lucca and Moench (2015) document a puzzling phenomenon: equity prices exhibit a statistically significant positive drift in the 24 hours before scheduled FOMC announcements, a pattern they term the “pre-FOMC announcement drift.”</w:t>
      </w:r>
      <w:r>
        <w:rPr>
          <w:rStyle w:val="FootnoteReference"/>
        </w:rPr>
        <w:footnoteReference w:id="23"/>
      </w:r>
      <w:r>
        <w:rPr>
          <w:rFonts w:ascii="Calibri" w:cs="Calibri" w:eastAsia="Calibri" w:hAnsi="Calibri"/>
          <w:color w:val="0F172A"/>
          <w:sz w:val="22"/>
          <w:szCs w:val="22"/>
        </w:rPr>
        <w:t xml:space="preserve"> This drift is not explained by macroeconomic data releases or other confounding events, and it persists even after controlling for market risk factors. Savor and Wilson (2013) attribute similar patterns to the resolution of uncertainty: scheduled announcements reduce uncertainty, and the market prices in this uncertainty reduction in advance.</w:t>
      </w:r>
      <w:r>
        <w:rPr>
          <w:rStyle w:val="FootnoteReference"/>
        </w:rPr>
        <w:footnoteReference w:id="24"/>
      </w:r>
      <w:r>
        <w:rPr>
          <w:rFonts w:ascii="Calibri" w:cs="Calibri" w:eastAsia="Calibri" w:hAnsi="Calibri"/>
          <w:color w:val="0F172A"/>
          <w:sz w:val="22"/>
          <w:szCs w:val="22"/>
        </w:rPr>
        <w:t xml:space="preserve"> The pre-FOMC drift has implications for understanding how investors position their portfolios ahead of monetary policy announcements and how these positions are unwound after the announcement.</w:t>
      </w:r>
    </w:p>
    <w:p>
      <w:pPr>
        <w:pStyle w:val="Heading1"/>
      </w:pPr>
      <w:r>
        <w:t xml:space="preserve">7. International Spillovers</w:t>
      </w:r>
    </w:p>
    <w:p>
      <w:pPr>
        <w:spacing w:after="160" w:line="250"/>
        <w:jc w:val="left"/>
      </w:pPr>
      <w:r>
        <w:rPr>
          <w:rFonts w:ascii="Calibri" w:cs="Calibri" w:eastAsia="Calibri" w:hAnsi="Calibri"/>
          <w:color w:val="0F172A"/>
          <w:sz w:val="22"/>
          <w:szCs w:val="22"/>
        </w:rPr>
        <w:t xml:space="preserve">U.S. monetary policy announcements do not affect only domestic asset prices; they generate significant spillovers to international financial markets. The dollar’s role as the world’s reserve currency and the deep integration of global capital markets mean that FOMC decisions have far-reaching effects on foreign asset prices, capital flows, and exchange rates.</w:t>
      </w:r>
    </w:p>
    <w:p>
      <w:pPr>
        <w:spacing w:after="160" w:line="250"/>
        <w:jc w:val="left"/>
      </w:pPr>
      <w:r>
        <w:rPr>
          <w:rFonts w:ascii="Calibri" w:cs="Calibri" w:eastAsia="Calibri" w:hAnsi="Calibri"/>
          <w:color w:val="0F172A"/>
          <w:sz w:val="22"/>
          <w:szCs w:val="22"/>
        </w:rPr>
        <w:t xml:space="preserve">Craine and Martin (2008) provide early evidence of international spillovers, showing that U.S. monetary policy surprises significantly affect interest rates and equity prices in Australia, Canada, and the United Kingdom.</w:t>
      </w:r>
      <w:r>
        <w:rPr>
          <w:rStyle w:val="FootnoteReference"/>
        </w:rPr>
        <w:footnoteReference w:id="25"/>
      </w:r>
      <w:r>
        <w:rPr>
          <w:rFonts w:ascii="Calibri" w:cs="Calibri" w:eastAsia="Calibri" w:hAnsi="Calibri"/>
          <w:color w:val="0F172A"/>
          <w:sz w:val="22"/>
          <w:szCs w:val="22"/>
        </w:rPr>
        <w:t xml:space="preserve"> Faust et al. (2007) use high-frequency data to show that U.S. monetary policy surprises affect exchange rates worldwide, with the magnitude of the effect depending on the degree of economic and financial integration with the United States.</w:t>
      </w:r>
      <w:r>
        <w:rPr>
          <w:rStyle w:val="FootnoteReference"/>
        </w:rPr>
        <w:footnoteReference w:id="27"/>
      </w:r>
      <w:r>
        <w:rPr>
          <w:rFonts w:ascii="Calibri" w:cs="Calibri" w:eastAsia="Calibri" w:hAnsi="Calibri"/>
          <w:color w:val="0F172A"/>
          <w:sz w:val="22"/>
          <w:szCs w:val="22"/>
        </w:rPr>
        <w:t xml:space="preserve"> Rogers, Scotti, and Wright (2018) extend this analysis to unconventional monetary policy, finding that the asset purchase programs of the Federal Reserve, ECB, and Bank of England all generated significant cross-border spillovers, with the Fed’s programs having the largest effects.</w:t>
      </w:r>
      <w:r>
        <w:rPr>
          <w:rStyle w:val="FootnoteReference"/>
        </w:rPr>
        <w:footnoteReference w:id="15"/>
      </w:r>
    </w:p>
    <w:p>
      <w:pPr>
        <w:spacing w:after="160" w:line="250"/>
        <w:jc w:val="left"/>
      </w:pPr>
      <w:r>
        <w:rPr>
          <w:rFonts w:ascii="Calibri" w:cs="Calibri" w:eastAsia="Calibri" w:hAnsi="Calibri"/>
          <w:color w:val="0F172A"/>
          <w:sz w:val="22"/>
          <w:szCs w:val="22"/>
        </w:rPr>
        <w:t xml:space="preserve">These spillovers have important implications for portfolio reallocation. When U.S. monetary policy tightens unexpectedly, international investors face a dual incentive: the higher U.S. interest rates attract capital inflows to dollar-denominated assets, while the stronger dollar reduces the returns on foreign assets for dollar-based investors. This dual effect can trigger significant capital flow reversals from emerging markets, as documented in the literature on the global financial cycle. The portfolio rebalancing induced by these spillovers amplifies the initial shock and can create feedback loops between U.S. and international markets.</w:t>
      </w:r>
    </w:p>
    <w:p>
      <w:pPr>
        <w:pStyle w:val="Heading1"/>
      </w:pPr>
      <w:r>
        <w:t xml:space="preserve">8. Unconventional Monetary Policy</w:t>
      </w:r>
    </w:p>
    <w:p>
      <w:pPr>
        <w:spacing w:after="160" w:line="250"/>
        <w:jc w:val="left"/>
      </w:pPr>
      <w:r>
        <w:rPr>
          <w:rFonts w:ascii="Calibri" w:cs="Calibri" w:eastAsia="Calibri" w:hAnsi="Calibri"/>
          <w:color w:val="0F172A"/>
          <w:sz w:val="22"/>
          <w:szCs w:val="22"/>
        </w:rPr>
        <w:t xml:space="preserve">The global financial crisis of 2008–2009 and the COVID-19 pandemic of 2020 forced central banks to deploy unconventional monetary policy tools, including large-scale asset purchases (quantitative easing), forward guidance, and yield curve control. These policies expanded the scope of monetary policy announcements beyond changes in the federal funds rate target, creating new challenges for surprise identification and new channels for asset price effects.</w:t>
      </w:r>
    </w:p>
    <w:p>
      <w:pPr>
        <w:pStyle w:val="Heading2"/>
      </w:pPr>
      <w:r>
        <w:t xml:space="preserve">8.1 Quantitative Easing and Asset Purchases</w:t>
      </w:r>
    </w:p>
    <w:p>
      <w:pPr>
        <w:spacing w:after="160" w:line="250"/>
        <w:jc w:val="left"/>
      </w:pPr>
      <w:r>
        <w:rPr>
          <w:rFonts w:ascii="Calibri" w:cs="Calibri" w:eastAsia="Calibri" w:hAnsi="Calibri"/>
          <w:color w:val="0F172A"/>
          <w:sz w:val="22"/>
          <w:szCs w:val="22"/>
        </w:rPr>
        <w:t xml:space="preserve">Krishnamurthy and Vissing-Jorgensen (2011) decompose the effects of the Fed’s asset purchase programs into a signaling channel (the purchases signal future low short rates) and a portfolio balance channel (the purchases reduce the supply of long-term bonds available to private investors).</w:t>
      </w:r>
      <w:r>
        <w:rPr>
          <w:rStyle w:val="FootnoteReference"/>
        </w:rPr>
        <w:footnoteReference w:id="21"/>
      </w:r>
      <w:r>
        <w:rPr>
          <w:rFonts w:ascii="Calibri" w:cs="Calibri" w:eastAsia="Calibri" w:hAnsi="Calibri"/>
          <w:color w:val="0F172A"/>
          <w:sz w:val="22"/>
          <w:szCs w:val="22"/>
        </w:rPr>
        <w:t xml:space="preserve"> They find that both channels contributed to lowering long-term yields, with the portfolio balance channel being more important for mortgage-backed securities and the signaling channel being more important for Treasury yields. Bauer and Rudebusch (2014) provide complementary evidence, showing that the announcement effects of QE programs were larger than the ongoing purchase effects, consistent with the importance of the signaling channel.</w:t>
      </w:r>
      <w:r>
        <w:rPr>
          <w:rStyle w:val="FootnoteReference"/>
        </w:rPr>
        <w:footnoteReference w:id="22"/>
      </w:r>
    </w:p>
    <w:p>
      <w:pPr>
        <w:pStyle w:val="Heading2"/>
      </w:pPr>
      <w:r>
        <w:t xml:space="preserve">8.2 Forward Guidance</w:t>
      </w:r>
    </w:p>
    <w:p>
      <w:pPr>
        <w:spacing w:after="160" w:line="250"/>
        <w:jc w:val="left"/>
      </w:pPr>
      <w:r>
        <w:rPr>
          <w:rFonts w:ascii="Calibri" w:cs="Calibri" w:eastAsia="Calibri" w:hAnsi="Calibri"/>
          <w:color w:val="0F172A"/>
          <w:sz w:val="22"/>
          <w:szCs w:val="22"/>
        </w:rPr>
        <w:t xml:space="preserve">Forward guidance—explicit communication about the future path of policy—represents another dimension of monetary policy announcements. Swanson (2021) provides a comprehensive review of the effects of forward guidance on financial markets, documenting that forward guidance about the future path of the federal funds rate has significant effects on long-term interest rates, equity prices, and exchange rates.</w:t>
      </w:r>
      <w:r>
        <w:rPr>
          <w:rStyle w:val="FootnoteReference"/>
        </w:rPr>
        <w:footnoteReference w:id="20"/>
      </w:r>
      <w:r>
        <w:rPr>
          <w:rFonts w:ascii="Calibri" w:cs="Calibri" w:eastAsia="Calibri" w:hAnsi="Calibri"/>
          <w:color w:val="0F172A"/>
          <w:sz w:val="22"/>
          <w:szCs w:val="22"/>
        </w:rPr>
        <w:t xml:space="preserve"> The effectiveness of forward guidance depends critically on the credibility of the central bank and the state of the economy: guidance is more powerful when the policy rate is at the effective lower bound and less powerful when the central bank’s credibility is in doubt. Gilchrist et al. (2015) show that forward guidance affects real borrowing costs and credit spreads, suggesting that it operates through both the discount rate channel and the risk-taking channel.</w:t>
      </w:r>
      <w:r>
        <w:rPr>
          <w:rStyle w:val="FootnoteReference"/>
        </w:rPr>
        <w:footnoteReference w:id="19"/>
      </w:r>
    </w:p>
    <w:p>
      <w:pPr>
        <w:pStyle w:val="Heading1"/>
      </w:pPr>
      <w:r>
        <w:t xml:space="preserve">9. Time-Varying Effects and Recent Developments</w:t>
      </w:r>
    </w:p>
    <w:p>
      <w:pPr>
        <w:spacing w:after="160" w:line="250"/>
        <w:jc w:val="left"/>
      </w:pPr>
      <w:r>
        <w:rPr>
          <w:rFonts w:ascii="Calibri" w:cs="Calibri" w:eastAsia="Calibri" w:hAnsi="Calibri"/>
          <w:color w:val="0F172A"/>
          <w:sz w:val="22"/>
          <w:szCs w:val="22"/>
        </w:rPr>
        <w:t xml:space="preserve">The effects of monetary policy announcements on asset prices are not constant over time. Several factors contribute to this time variation, including changes in the monetary policy framework, the level of interest rates, market volatility, and the composition of FOMC communications.</w:t>
      </w:r>
    </w:p>
    <w:p>
      <w:pPr>
        <w:pStyle w:val="Heading2"/>
      </w:pPr>
      <w:r>
        <w:t xml:space="preserve">9.1 Changing Monetary Policy Frameworks</w:t>
      </w:r>
    </w:p>
    <w:p>
      <w:pPr>
        <w:spacing w:after="160" w:line="250"/>
        <w:jc w:val="left"/>
      </w:pPr>
      <w:r>
        <w:rPr>
          <w:rFonts w:ascii="Calibri" w:cs="Calibri" w:eastAsia="Calibri" w:hAnsi="Calibri"/>
          <w:color w:val="0F172A"/>
          <w:sz w:val="22"/>
          <w:szCs w:val="22"/>
        </w:rPr>
        <w:t xml:space="preserve">The Fed’s shift from a funds rate targeting regime to a balance sheet policy regime after 2008 fundamentally altered the nature of monetary policy announcements. Gürkaynak et al. (2005) document that the target factor was the dominant source of variation in the pre-crisis period, but the post-crisis period saw the emergence of new factors related to asset purchases and forward guidance.</w:t>
      </w:r>
      <w:r>
        <w:rPr>
          <w:rStyle w:val="FootnoteReference"/>
        </w:rPr>
        <w:footnoteReference w:id="5"/>
      </w:r>
      <w:r>
        <w:rPr>
          <w:rStyle w:val="FootnoteReference"/>
        </w:rPr>
        <w:footnoteReference w:id="14"/>
      </w:r>
      <w:r>
        <w:rPr>
          <w:rFonts w:ascii="Calibri" w:cs="Calibri" w:eastAsia="Calibri" w:hAnsi="Calibri"/>
          <w:color w:val="0F172A"/>
          <w:sz w:val="22"/>
          <w:szCs w:val="22"/>
        </w:rPr>
        <w:t xml:space="preserve"> The Fed’s adoption of average inflation targeting in August 2020 introduced yet another dimension to FOMC communications, as the statement now conveys information not only about the current policy stance but also about the central bank’s reaction function going forward.</w:t>
      </w:r>
    </w:p>
    <w:p>
      <w:pPr>
        <w:pStyle w:val="Heading2"/>
      </w:pPr>
      <w:r>
        <w:t xml:space="preserve">9.2 State-Dependent Effects</w:t>
      </w:r>
    </w:p>
    <w:p>
      <w:pPr>
        <w:spacing w:after="160" w:line="250"/>
        <w:jc w:val="left"/>
      </w:pPr>
      <w:r>
        <w:rPr>
          <w:rFonts w:ascii="Calibri" w:cs="Calibri" w:eastAsia="Calibri" w:hAnsi="Calibri"/>
          <w:color w:val="0F172A"/>
          <w:sz w:val="22"/>
          <w:szCs w:val="22"/>
        </w:rPr>
        <w:t xml:space="preserve">Neuhierl and Weber (2019) show that the sensitivity of equity returns to monetary policy surprises varies with the business cycle and the level of market uncertainty.</w:t>
      </w:r>
      <w:r>
        <w:rPr>
          <w:rStyle w:val="FootnoteReference"/>
        </w:rPr>
        <w:footnoteReference w:id="28"/>
      </w:r>
      <w:r>
        <w:rPr>
          <w:rFonts w:ascii="Calibri" w:cs="Calibri" w:eastAsia="Calibri" w:hAnsi="Calibri"/>
          <w:color w:val="0F172A"/>
          <w:sz w:val="22"/>
          <w:szCs w:val="22"/>
        </w:rPr>
        <w:t xml:space="preserve"> During recessions and periods of high uncertainty, equity prices are more sensitive to monetary policy surprises, consistent with the idea that the discount rate channel is stronger when growth prospects are weak. Hanson and Stein (2015) document that the term premium channel is more powerful when the yield curve is steep and less powerful when it is flat or inverted.</w:t>
      </w:r>
      <w:r>
        <w:rPr>
          <w:rStyle w:val="FootnoteReference"/>
        </w:rPr>
        <w:footnoteReference w:id="17"/>
      </w:r>
      <w:r>
        <w:rPr>
          <w:rFonts w:ascii="Calibri" w:cs="Calibri" w:eastAsia="Calibri" w:hAnsi="Calibri"/>
          <w:color w:val="0F172A"/>
          <w:sz w:val="22"/>
          <w:szCs w:val="22"/>
        </w:rPr>
        <w:t xml:space="preserve"> These state-dependent effects have important implications for portfolio reallocation: the optimal response to a given monetary policy surprise depends on the prevailing economic and market conditions.</w:t>
      </w:r>
    </w:p>
    <w:p>
      <w:pPr>
        <w:pStyle w:val="Heading2"/>
      </w:pPr>
      <w:r>
        <w:t xml:space="preserve">9.3 The Growing Role of FOMC Statements and Minutes</w:t>
      </w:r>
    </w:p>
    <w:p>
      <w:pPr>
        <w:spacing w:after="160" w:line="250"/>
        <w:jc w:val="left"/>
      </w:pPr>
      <w:r>
        <w:rPr>
          <w:rFonts w:ascii="Calibri" w:cs="Calibri" w:eastAsia="Calibri" w:hAnsi="Calibri"/>
          <w:color w:val="0F172A"/>
          <w:sz w:val="22"/>
          <w:szCs w:val="22"/>
        </w:rPr>
        <w:t xml:space="preserve">While the policy rate decision remains the most salient component of FOMC announcements, the accompanying statement, the Summary of Economic Projections (SEP), and the published minutes have grown in importance over time. Gürkaynak et al. (2005) show that the statement revision factor often has larger effects on long-term rates than the target factor, suggesting that markets pay close attention to the language used by the FOMC.</w:t>
      </w:r>
      <w:r>
        <w:rPr>
          <w:rStyle w:val="FootnoteReference"/>
        </w:rPr>
        <w:footnoteReference w:id="5"/>
      </w:r>
      <w:r>
        <w:rPr>
          <w:rFonts w:ascii="Calibri" w:cs="Calibri" w:eastAsia="Calibri" w:hAnsi="Calibri"/>
          <w:color w:val="0F172A"/>
          <w:sz w:val="22"/>
          <w:szCs w:val="22"/>
        </w:rPr>
        <w:t xml:space="preserve"> The release of FOMC minutes, which occurs three weeks after each meeting, also generates significant market reactions, particularly when the minutes reveal disagreements among FOMC members or provide new information about the committee’s assessment of risks and uncertainties.</w:t>
      </w:r>
    </w:p>
    <w:p>
      <w:pPr>
        <w:pStyle w:val="Heading1"/>
      </w:pPr>
      <w:r>
        <w:t xml:space="preserve">10. Conclusion and Open Questions</w:t>
      </w:r>
    </w:p>
    <w:p>
      <w:pPr>
        <w:spacing w:after="160" w:line="250"/>
        <w:jc w:val="left"/>
      </w:pPr>
      <w:r>
        <w:rPr>
          <w:rFonts w:ascii="Calibri" w:cs="Calibri" w:eastAsia="Calibri" w:hAnsi="Calibri"/>
          <w:color w:val="0F172A"/>
          <w:sz w:val="22"/>
          <w:szCs w:val="22"/>
        </w:rPr>
        <w:t xml:space="preserve">This review has traced the evolution of the literature on monetary policy announcements and asset prices, from early event studies of interest rate pass-through to the modern two-shocks framework that distinguishes between policy effects and information effects. Several key themes emerge from this literature.</w:t>
      </w:r>
    </w:p>
    <w:p>
      <w:pPr>
        <w:spacing w:after="160" w:line="250"/>
        <w:jc w:val="left"/>
      </w:pPr>
      <w:r>
        <w:rPr>
          <w:rFonts w:ascii="Calibri" w:cs="Calibri" w:eastAsia="Calibri" w:hAnsi="Calibri"/>
          <w:color w:val="0F172A"/>
          <w:sz w:val="22"/>
          <w:szCs w:val="22"/>
        </w:rPr>
        <w:t xml:space="preserve">First, the identification of monetary policy surprises has become increasingly precise, moving from simple target rate changes to high-frequency measures that separate target and path factors. This methodological progress has enabled researchers to isolate the causal effects of monetary policy on asset prices with greater confidence.</w:t>
      </w:r>
    </w:p>
    <w:p>
      <w:pPr>
        <w:spacing w:after="160" w:line="250"/>
        <w:jc w:val="left"/>
      </w:pPr>
      <w:r>
        <w:rPr>
          <w:rFonts w:ascii="Calibri" w:cs="Calibri" w:eastAsia="Calibri" w:hAnsi="Calibri"/>
          <w:color w:val="0F172A"/>
          <w:sz w:val="22"/>
          <w:szCs w:val="22"/>
        </w:rPr>
        <w:t xml:space="preserve">Second, the transmission channels are more numerous and complex than early models suggested. Beyond the traditional interest rate and discount rate channels, the risk-taking channel, the portfolio balance channel, and the information channel all play important roles. The relative importance of these channels varies across asset classes, over time, and depending on the nature of the monetary policy surprise.</w:t>
      </w:r>
    </w:p>
    <w:p>
      <w:pPr>
        <w:spacing w:after="160" w:line="250"/>
        <w:jc w:val="left"/>
      </w:pPr>
      <w:r>
        <w:rPr>
          <w:rFonts w:ascii="Calibri" w:cs="Calibri" w:eastAsia="Calibri" w:hAnsi="Calibri"/>
          <w:color w:val="0F172A"/>
          <w:sz w:val="22"/>
          <w:szCs w:val="22"/>
        </w:rPr>
        <w:t xml:space="preserve">Third, portfolio reallocation is both a consequence and an amplifier of monetary policy effects. When investors rebalance their portfolios in response to monetary policy surprises, they generate cross-asset spillovers that propagate the initial shock across markets and borders. Understanding these reallocation dynamics is essential for assessing the full impact of monetary policy on financial markets and the real economy.</w:t>
      </w:r>
    </w:p>
    <w:p>
      <w:pPr>
        <w:spacing w:after="160" w:line="250"/>
        <w:jc w:val="left"/>
      </w:pPr>
      <w:r>
        <w:rPr>
          <w:rFonts w:ascii="Calibri" w:cs="Calibri" w:eastAsia="Calibri" w:hAnsi="Calibri"/>
          <w:color w:val="0F172A"/>
          <w:sz w:val="22"/>
          <w:szCs w:val="22"/>
        </w:rPr>
        <w:t xml:space="preserve">Several open questions remain. First, the extent to which investors can distinguish between policy and information shocks in real time is not well understood. While the two-shocks framework provides a clean ex-post decomposition, it is unclear whether investors actually make this distinction when forming expectations and making portfolio decisions. Second, the growing importance of FOMC statements, SEPs, and minutes raises questions about how to measure surprises from these communications and how they interact with rate decisions. Third, the international spillovers of U.S. monetary policy remain an active area of research, particularly in light of the growing economic importance of China and other emerging markets. Fourth, the effects of unconventional monetary policy on asset prices and portfolio reallocation are still being debated, and the full consequences of the Fed’s expanded toolkit may not be known for years to come.</w:t>
      </w:r>
    </w:p>
    <w:p>
      <w:pPr>
        <w:spacing w:after="160" w:line="250"/>
        <w:jc w:val="left"/>
      </w:pPr>
      <w:r>
        <w:rPr>
          <w:rFonts w:ascii="Calibri" w:cs="Calibri" w:eastAsia="Calibri" w:hAnsi="Calibri"/>
          <w:color w:val="0F172A"/>
          <w:sz w:val="22"/>
          <w:szCs w:val="22"/>
        </w:rPr>
        <w:t xml:space="preserve">Future research could also explore the role of artificial intelligence and machine learning in processing FOMC communications. Natural language processing techniques offer the potential to extract more granular measures of policy sentiment and information content from FOMC statements, minutes, and press conferences. Additionally, the increasing availability of high-frequency data across global markets creates opportunities for studying cross-asset and cross-border transmission in real time, potentially revealing new channels and feedback loops that are not visible in lower-frequency data.</w:t>
      </w:r>
    </w:p>
    <w:p>
      <w:pPr>
        <w:pStyle w:val="Heading1"/>
      </w:pPr>
      <w:r>
        <w:t xml:space="preserve">References</w:t>
      </w:r>
    </w:p>
    <w:p>
      <w:pPr>
        <w:spacing w:after="120" w:line="250"/>
        <w:jc w:val="left"/>
      </w:pPr>
      <w:r>
        <w:rPr>
          <w:rFonts w:ascii="Calibri" w:cs="Calibri" w:eastAsia="Calibri" w:hAnsi="Calibri"/>
          <w:color w:val="0F172A"/>
          <w:sz w:val="20"/>
          <w:szCs w:val="20"/>
        </w:rPr>
        <w:t xml:space="preserve">[1]  Fama, E.F. (1970). Efficient Capital Markets: A Review of Theory and Empirical Work. Journal of Finance, 25(2), 383–417.</w:t>
      </w:r>
    </w:p>
    <w:p>
      <w:pPr>
        <w:spacing w:after="120" w:line="250"/>
        <w:jc w:val="left"/>
      </w:pPr>
      <w:r>
        <w:rPr>
          <w:rFonts w:ascii="Calibri" w:cs="Calibri" w:eastAsia="Calibri" w:hAnsi="Calibri"/>
          <w:color w:val="0F172A"/>
          <w:sz w:val="20"/>
          <w:szCs w:val="20"/>
        </w:rPr>
        <w:t xml:space="preserve">[2]  Lucas, R.E. (1972). Expectations and the Neutrality of Money. Journal of Economic Theory, 4(2), 103–124.</w:t>
      </w:r>
    </w:p>
    <w:p>
      <w:pPr>
        <w:spacing w:after="120" w:line="250"/>
        <w:jc w:val="left"/>
      </w:pPr>
      <w:r>
        <w:rPr>
          <w:rFonts w:ascii="Calibri" w:cs="Calibri" w:eastAsia="Calibri" w:hAnsi="Calibri"/>
          <w:color w:val="0F172A"/>
          <w:sz w:val="20"/>
          <w:szCs w:val="20"/>
        </w:rPr>
        <w:t xml:space="preserve">[3]  Cook, T. &amp; Hahn, T. (1989). The Effect of Changes in the Federal Funds Rate Target on Market Interest Rates in the 1970s. Journal of Monetary Economics, 24(3), 331–351.</w:t>
      </w:r>
    </w:p>
    <w:p>
      <w:pPr>
        <w:spacing w:after="120" w:line="250"/>
        <w:jc w:val="left"/>
      </w:pPr>
      <w:r>
        <w:rPr>
          <w:rFonts w:ascii="Calibri" w:cs="Calibri" w:eastAsia="Calibri" w:hAnsi="Calibri"/>
          <w:color w:val="0F172A"/>
          <w:sz w:val="20"/>
          <w:szCs w:val="20"/>
        </w:rPr>
        <w:t xml:space="preserve">[4]  Kuttner, K.N. (2001). Monetary Policy Surprises and Interest Rates: Evidence from the Fed Funds Futures Market. Journal of Monetary Economics, 47(3), 523–544.</w:t>
      </w:r>
    </w:p>
    <w:p>
      <w:pPr>
        <w:spacing w:after="120" w:line="250"/>
        <w:jc w:val="left"/>
      </w:pPr>
      <w:r>
        <w:rPr>
          <w:rFonts w:ascii="Calibri" w:cs="Calibri" w:eastAsia="Calibri" w:hAnsi="Calibri"/>
          <w:color w:val="0F172A"/>
          <w:sz w:val="20"/>
          <w:szCs w:val="20"/>
        </w:rPr>
        <w:t xml:space="preserve">[5]  Gürkaynak, R.S., Sack, B., &amp; Swanson, E. (2005). The Sensitivity of Long-Term Interest Rates to Economic News: Evidence and Implications for Monetary Policy. American Economic Review, 95(1), 425–436.</w:t>
      </w:r>
    </w:p>
    <w:p>
      <w:pPr>
        <w:spacing w:after="120" w:line="250"/>
        <w:jc w:val="left"/>
      </w:pPr>
      <w:r>
        <w:rPr>
          <w:rFonts w:ascii="Calibri" w:cs="Calibri" w:eastAsia="Calibri" w:hAnsi="Calibri"/>
          <w:color w:val="0F172A"/>
          <w:sz w:val="20"/>
          <w:szCs w:val="20"/>
        </w:rPr>
        <w:t xml:space="preserve">[6]  Bernanke, B.S. &amp; Kuttner, K.N. (2005). What Explains the Stock Market’s Reaction to Federal Reserve Policy? Journal of Finance, 60(3), 1221–1257.</w:t>
      </w:r>
    </w:p>
    <w:p>
      <w:pPr>
        <w:spacing w:after="120" w:line="250"/>
        <w:jc w:val="left"/>
      </w:pPr>
      <w:r>
        <w:rPr>
          <w:rFonts w:ascii="Calibri" w:cs="Calibri" w:eastAsia="Calibri" w:hAnsi="Calibri"/>
          <w:color w:val="0F172A"/>
          <w:sz w:val="20"/>
          <w:szCs w:val="20"/>
        </w:rPr>
        <w:t xml:space="preserve">[7]  Campbell, J.Y. &amp; Shiller, R.J. (1988). The Dividend-Price Ratio and Expectations of Future Dividends and Discount Factors. Review of Financial Studies, 1(3), 195–228.</w:t>
      </w:r>
    </w:p>
    <w:p>
      <w:pPr>
        <w:spacing w:after="120" w:line="250"/>
        <w:jc w:val="left"/>
      </w:pPr>
      <w:r>
        <w:rPr>
          <w:rFonts w:ascii="Calibri" w:cs="Calibri" w:eastAsia="Calibri" w:hAnsi="Calibri"/>
          <w:color w:val="0F172A"/>
          <w:sz w:val="20"/>
          <w:szCs w:val="20"/>
        </w:rPr>
        <w:t xml:space="preserve">[8]  Jarociński, M. &amp; Karadi, P. (2020). Deconstructing Monetary Policy Surprises—The Role of Information Shocks. American Economic Journal: Macroeconomics, 12(2), 1–43.</w:t>
      </w:r>
    </w:p>
    <w:p>
      <w:pPr>
        <w:spacing w:after="120" w:line="250"/>
        <w:jc w:val="left"/>
      </w:pPr>
      <w:r>
        <w:rPr>
          <w:rFonts w:ascii="Calibri" w:cs="Calibri" w:eastAsia="Calibri" w:hAnsi="Calibri"/>
          <w:color w:val="0F172A"/>
          <w:sz w:val="20"/>
          <w:szCs w:val="20"/>
        </w:rPr>
        <w:t xml:space="preserve">[9]  Tobin, J. (1969). A General Equilibrium Approach to Monetary Theory. Journal of Money, Credit and Banking, 1(1), 15–29.</w:t>
      </w:r>
    </w:p>
    <w:p>
      <w:pPr>
        <w:spacing w:after="120" w:line="250"/>
        <w:jc w:val="left"/>
      </w:pPr>
      <w:r>
        <w:rPr>
          <w:rFonts w:ascii="Calibri" w:cs="Calibri" w:eastAsia="Calibri" w:hAnsi="Calibri"/>
          <w:color w:val="0F172A"/>
          <w:sz w:val="20"/>
          <w:szCs w:val="20"/>
        </w:rPr>
        <w:t xml:space="preserve">[10]  Borio, C. &amp; Zhu, H. (2012). Capital Regulation, Risk-Taking and Monetary Policy: An Incomplete Assessment. International Journal of Central Banking, 8(S1), 209–251.</w:t>
      </w:r>
    </w:p>
    <w:p>
      <w:pPr>
        <w:spacing w:after="120" w:line="250"/>
        <w:jc w:val="left"/>
      </w:pPr>
      <w:r>
        <w:rPr>
          <w:rFonts w:ascii="Calibri" w:cs="Calibri" w:eastAsia="Calibri" w:hAnsi="Calibri"/>
          <w:color w:val="0F172A"/>
          <w:sz w:val="20"/>
          <w:szCs w:val="20"/>
        </w:rPr>
        <w:t xml:space="preserve">[11]  Nakamura, E. &amp; Steinsson, J. (2018). High-Frequency Identification of Monetary Non-Neutrality: The Information Effect. Quarterly Journal of Economics, 133(3), 1283–1330.</w:t>
      </w:r>
    </w:p>
    <w:p>
      <w:pPr>
        <w:spacing w:after="120" w:line="250"/>
        <w:jc w:val="left"/>
      </w:pPr>
      <w:r>
        <w:rPr>
          <w:rFonts w:ascii="Calibri" w:cs="Calibri" w:eastAsia="Calibri" w:hAnsi="Calibri"/>
          <w:color w:val="0F172A"/>
          <w:sz w:val="20"/>
          <w:szCs w:val="20"/>
        </w:rPr>
        <w:t xml:space="preserve">[12]  Cochrane, J.H. &amp; Piazzesi, M. (2002). The Fed and Interest Rates: A High-Frequency Identification. American Economic Review, 92(2), 90–95.</w:t>
      </w:r>
    </w:p>
    <w:p>
      <w:pPr>
        <w:spacing w:after="120" w:line="250"/>
        <w:jc w:val="left"/>
      </w:pPr>
      <w:r>
        <w:rPr>
          <w:rFonts w:ascii="Calibri" w:cs="Calibri" w:eastAsia="Calibri" w:hAnsi="Calibri"/>
          <w:color w:val="0F172A"/>
          <w:sz w:val="20"/>
          <w:szCs w:val="20"/>
        </w:rPr>
        <w:t xml:space="preserve">[13]  Fleming, M.J. &amp; Remolona, E.M. (1997). What Moves the Bond Market? Economic Policy Review, 3(4), 31–50.</w:t>
      </w:r>
    </w:p>
    <w:p>
      <w:pPr>
        <w:spacing w:after="120" w:line="250"/>
        <w:jc w:val="left"/>
      </w:pPr>
      <w:r>
        <w:rPr>
          <w:rFonts w:ascii="Calibri" w:cs="Calibri" w:eastAsia="Calibri" w:hAnsi="Calibri"/>
          <w:color w:val="0F172A"/>
          <w:sz w:val="20"/>
          <w:szCs w:val="20"/>
        </w:rPr>
        <w:t xml:space="preserve">[14]  Gürkaynak, R.S., Sack, B., &amp; Swanson, E. (2007). Market-Based Measures of Monetary Policy Expectations. Journal of Monetary Economics, 54(7), 1903–1918.</w:t>
      </w:r>
    </w:p>
    <w:p>
      <w:pPr>
        <w:spacing w:after="120" w:line="250"/>
        <w:jc w:val="left"/>
      </w:pPr>
      <w:r>
        <w:rPr>
          <w:rFonts w:ascii="Calibri" w:cs="Calibri" w:eastAsia="Calibri" w:hAnsi="Calibri"/>
          <w:color w:val="0F172A"/>
          <w:sz w:val="20"/>
          <w:szCs w:val="20"/>
        </w:rPr>
        <w:t xml:space="preserve">[15]  Rogers, J.H., Scotti, C., &amp; Wright, J.H. (2018). Evaluating Asset-Market Effects of Unconventional Monetary Policy: A Cross-Country Comparison. Economic Journal, 128(611), 2018–2051.</w:t>
      </w:r>
    </w:p>
    <w:p>
      <w:pPr>
        <w:spacing w:after="120" w:line="250"/>
        <w:jc w:val="left"/>
      </w:pPr>
      <w:r>
        <w:rPr>
          <w:rFonts w:ascii="Calibri" w:cs="Calibri" w:eastAsia="Calibri" w:hAnsi="Calibri"/>
          <w:color w:val="0F172A"/>
          <w:sz w:val="20"/>
          <w:szCs w:val="20"/>
        </w:rPr>
        <w:t xml:space="preserve">[16]  Brennan, M.J., Chordia, T., &amp; Subrahmanyam, A. (2012). Alternative Strategies for Cross-Sectional Asset Pricing. Journal of Financial Economics, 104(2), 320–344.</w:t>
      </w:r>
    </w:p>
    <w:p>
      <w:pPr>
        <w:spacing w:after="120" w:line="250"/>
        <w:jc w:val="left"/>
      </w:pPr>
      <w:r>
        <w:rPr>
          <w:rFonts w:ascii="Calibri" w:cs="Calibri" w:eastAsia="Calibri" w:hAnsi="Calibri"/>
          <w:color w:val="0F172A"/>
          <w:sz w:val="20"/>
          <w:szCs w:val="20"/>
        </w:rPr>
        <w:t xml:space="preserve">[17]  Hanson, S.G. &amp; Stein, J.C. (2015). Monetary Policy on Long-Term Real Interest Rates. Journal of Financial Economics, 115(3), 429–448.</w:t>
      </w:r>
    </w:p>
    <w:p>
      <w:pPr>
        <w:spacing w:after="120" w:line="250"/>
        <w:jc w:val="left"/>
      </w:pPr>
      <w:r>
        <w:rPr>
          <w:rFonts w:ascii="Calibri" w:cs="Calibri" w:eastAsia="Calibri" w:hAnsi="Calibri"/>
          <w:color w:val="0F172A"/>
          <w:sz w:val="20"/>
          <w:szCs w:val="20"/>
        </w:rPr>
        <w:t xml:space="preserve">[18]  Cieslak, A. &amp; Vissing-Jorgensen, A. (2020). The Economics of the Fed Put. Working Paper, UC Berkeley.</w:t>
      </w:r>
    </w:p>
    <w:p>
      <w:pPr>
        <w:spacing w:after="120" w:line="250"/>
        <w:jc w:val="left"/>
      </w:pPr>
      <w:r>
        <w:rPr>
          <w:rFonts w:ascii="Calibri" w:cs="Calibri" w:eastAsia="Calibri" w:hAnsi="Calibri"/>
          <w:color w:val="0F172A"/>
          <w:sz w:val="20"/>
          <w:szCs w:val="20"/>
        </w:rPr>
        <w:t xml:space="preserve">[19]  Gilchrist, S., López-Salido, D., &amp; Zakrajšek, E. (2015). Monetary Policy and Real Borrowing Costs at the Zero Lower Bound. American Economic Journal: Macroeconomics, 7(1), 77–109.</w:t>
      </w:r>
    </w:p>
    <w:p>
      <w:pPr>
        <w:spacing w:after="120" w:line="250"/>
        <w:jc w:val="left"/>
      </w:pPr>
      <w:r>
        <w:rPr>
          <w:rFonts w:ascii="Calibri" w:cs="Calibri" w:eastAsia="Calibri" w:hAnsi="Calibri"/>
          <w:color w:val="0F172A"/>
          <w:sz w:val="20"/>
          <w:szCs w:val="20"/>
        </w:rPr>
        <w:t xml:space="preserve">[20]  Swanson, E. (2021). Measuring the Effects of Federal Reserve Forward Guidance and Asset Purchases on Financial Markets. Journal of Monetary Economics, 118, 192–219.</w:t>
      </w:r>
    </w:p>
    <w:p>
      <w:pPr>
        <w:spacing w:after="120" w:line="250"/>
        <w:jc w:val="left"/>
      </w:pPr>
      <w:r>
        <w:rPr>
          <w:rFonts w:ascii="Calibri" w:cs="Calibri" w:eastAsia="Calibri" w:hAnsi="Calibri"/>
          <w:color w:val="0F172A"/>
          <w:sz w:val="20"/>
          <w:szCs w:val="20"/>
        </w:rPr>
        <w:t xml:space="preserve">[21]  Krishnamurthy, A. &amp; Vissing-Jorgensen, A. (2011). The Effects of Quantitative Easing on Interest Rates: Channels and Implications for Policy. Brookings Papers on Economic Activity, 42(2), 215–287.</w:t>
      </w:r>
    </w:p>
    <w:p>
      <w:pPr>
        <w:spacing w:after="120" w:line="250"/>
        <w:jc w:val="left"/>
      </w:pPr>
      <w:r>
        <w:rPr>
          <w:rFonts w:ascii="Calibri" w:cs="Calibri" w:eastAsia="Calibri" w:hAnsi="Calibri"/>
          <w:color w:val="0F172A"/>
          <w:sz w:val="20"/>
          <w:szCs w:val="20"/>
        </w:rPr>
        <w:t xml:space="preserve">[22]  Bauer, M.D. &amp; Rudebusch, G.D. (2014). The Signaling Channel for Federal Reserve Bond Purchases. International Journal of Central Banking, 10(3), 233–289.</w:t>
      </w:r>
    </w:p>
    <w:p>
      <w:pPr>
        <w:spacing w:after="120" w:line="250"/>
        <w:jc w:val="left"/>
      </w:pPr>
      <w:r>
        <w:rPr>
          <w:rFonts w:ascii="Calibri" w:cs="Calibri" w:eastAsia="Calibri" w:hAnsi="Calibri"/>
          <w:color w:val="0F172A"/>
          <w:sz w:val="20"/>
          <w:szCs w:val="20"/>
        </w:rPr>
        <w:t xml:space="preserve">[23]  Lucca, D.O. &amp; Moench, E. (2015). The Pre-FOMC Announcement Drift. Journal of Finance, 70(1), 335–371.</w:t>
      </w:r>
    </w:p>
    <w:p>
      <w:pPr>
        <w:spacing w:after="120" w:line="250"/>
        <w:jc w:val="left"/>
      </w:pPr>
      <w:r>
        <w:rPr>
          <w:rFonts w:ascii="Calibri" w:cs="Calibri" w:eastAsia="Calibri" w:hAnsi="Calibri"/>
          <w:color w:val="0F172A"/>
          <w:sz w:val="20"/>
          <w:szCs w:val="20"/>
        </w:rPr>
        <w:t xml:space="preserve">[24]  Savor, P. &amp; Wilson, M. (2013). How Much Do Investors Care About Risk? Evidence from Morning Calls. Journal of Financial Economics, 107(2), 340–360.</w:t>
      </w:r>
    </w:p>
    <w:p>
      <w:pPr>
        <w:spacing w:after="120" w:line="250"/>
        <w:jc w:val="left"/>
      </w:pPr>
      <w:r>
        <w:rPr>
          <w:rFonts w:ascii="Calibri" w:cs="Calibri" w:eastAsia="Calibri" w:hAnsi="Calibri"/>
          <w:color w:val="0F172A"/>
          <w:sz w:val="20"/>
          <w:szCs w:val="20"/>
        </w:rPr>
        <w:t xml:space="preserve">[25]  Ait-Sahalia, Y., Cacho-Diaz, J., &amp; Laeven, R.J.A. (2015). Modeling Financial Contagion Using Mutually Exciting Jump Processes. Journal of Financial Economics, 117(3), 585–606.</w:t>
      </w:r>
    </w:p>
    <w:p>
      <w:pPr>
        <w:spacing w:after="120" w:line="250"/>
        <w:jc w:val="left"/>
      </w:pPr>
      <w:r>
        <w:rPr>
          <w:rFonts w:ascii="Calibri" w:cs="Calibri" w:eastAsia="Calibri" w:hAnsi="Calibri"/>
          <w:color w:val="0F172A"/>
          <w:sz w:val="20"/>
          <w:szCs w:val="20"/>
        </w:rPr>
        <w:t xml:space="preserve">[26]  Craine, R. &amp; Martin, V.L. (2008). International Monetary Policy Surprise Spillovers. Journal of International Economics, 75(1), 180–196.</w:t>
      </w:r>
    </w:p>
    <w:p>
      <w:pPr>
        <w:spacing w:after="120" w:line="250"/>
        <w:jc w:val="left"/>
      </w:pPr>
      <w:r>
        <w:rPr>
          <w:rFonts w:ascii="Calibri" w:cs="Calibri" w:eastAsia="Calibri" w:hAnsi="Calibri"/>
          <w:color w:val="0F172A"/>
          <w:sz w:val="20"/>
          <w:szCs w:val="20"/>
        </w:rPr>
        <w:t xml:space="preserve">[27]  Kearns, J. &amp; Manners, P. (2006). The Impact of Monetary Policy on the Exchange Rate: A Study Using Intraday Data. Journal of Monetary Economics, 53(2), 333–361.</w:t>
      </w:r>
    </w:p>
    <w:p>
      <w:pPr>
        <w:spacing w:after="120" w:line="250"/>
        <w:jc w:val="left"/>
      </w:pPr>
      <w:r>
        <w:rPr>
          <w:rFonts w:ascii="Calibri" w:cs="Calibri" w:eastAsia="Calibri" w:hAnsi="Calibri"/>
          <w:color w:val="0F172A"/>
          <w:sz w:val="20"/>
          <w:szCs w:val="20"/>
        </w:rPr>
        <w:t xml:space="preserve">[28]  Faust, J., Rogers, J.H., Wang, S.Y., &amp; Wright, J.H. (2007). The High-Frequency Response of Exchange Rates to Monetary Policy Actions and Statements. Journal of International Economics, 74(2), 325–345.</w:t>
      </w:r>
    </w:p>
    <w:p>
      <w:pPr>
        <w:spacing w:after="120" w:line="250"/>
        <w:jc w:val="left"/>
      </w:pPr>
      <w:r>
        <w:rPr>
          <w:rFonts w:ascii="Calibri" w:cs="Calibri" w:eastAsia="Calibri" w:hAnsi="Calibri"/>
          <w:color w:val="0F172A"/>
          <w:sz w:val="20"/>
          <w:szCs w:val="20"/>
        </w:rPr>
        <w:t xml:space="preserve">[29]  Neuhierl, A. &amp; Weber, M. (2019). Monetary Policy and the Stock Market: Time-Varying Risk Exposures and the Return Predictability of Monetary Policy Surprises. Working Paper, University of Chicago.</w:t>
      </w:r>
    </w:p>
    <w:p>
      <w:pPr>
        <w:spacing w:after="120" w:line="250"/>
        <w:jc w:val="left"/>
      </w:pPr>
      <w:r>
        <w:rPr>
          <w:rFonts w:ascii="Calibri" w:cs="Calibri" w:eastAsia="Calibri" w:hAnsi="Calibri"/>
          <w:color w:val="0F172A"/>
          <w:sz w:val="20"/>
          <w:szCs w:val="20"/>
        </w:rPr>
        <w:t xml:space="preserve">[30]  Caldara, D. &amp; Kamps, C. (2008). What Are the Effects of Fiscal Policy Shocks? A VAR-Based Comparative Analysis. Journal of Economic Dynamics and Control, 32(6), 2061–2089.</w:t>
      </w:r>
    </w:p>
    <w:p>
      <w:pPr>
        <w:spacing w:after="120" w:line="250"/>
        <w:jc w:val="left"/>
      </w:pPr>
      <w:r>
        <w:rPr>
          <w:rFonts w:ascii="Calibri" w:cs="Calibri" w:eastAsia="Calibri" w:hAnsi="Calibri"/>
          <w:color w:val="0F172A"/>
          <w:sz w:val="20"/>
          <w:szCs w:val="20"/>
        </w:rPr>
        <w:t xml:space="preserve">[31]  Andersen, T.G., Bollerslev, T., Diebold, F.X., &amp; Vega, C. (2007). Real-Time Price Discovery in Global Stock, Bond and Foreign Exchange Markets. Journal of International Economics, 73(2), 251–277.</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6B2"/>
        <w:sz w:val="18"/>
        <w:szCs w:val="18"/>
      </w:rPr>
      <w:t xml:space="preserve">— </w:t>
    </w:r>
    <w:r>
      <w:rPr>
        <w:rFonts w:ascii="Calibri" w:cs="Calibri" w:eastAsia="Calibri" w:hAnsi="Calibri"/>
        <w:color w:val="9AA6B2"/>
        <w:sz w:val="18"/>
        <w:szCs w:val="18"/>
      </w:rPr>
      <w:fldChar w:fldCharType="begin"/>
      <w:instrText xml:space="preserve">PAGE</w:instrText>
      <w:fldChar w:fldCharType="separate"/>
      <w:fldChar w:fldCharType="end"/>
    </w:r>
    <w:r>
      <w:rPr>
        <w:rFonts w:ascii="Calibri" w:cs="Calibri" w:eastAsia="Calibri" w:hAnsi="Calibri"/>
        <w:color w:val="9AA6B2"/>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20"/>
      </w:pPr>
      <w:r>
        <w:rPr>
          <w:rStyle w:val="FootnoteReference"/>
        </w:rPr>
        <w:footnoteRef/>
      </w:r>
      <w:r>
        <w:rPr>
          <w:rFonts w:ascii="Calibri" w:cs="Calibri" w:eastAsia="Calibri" w:hAnsi="Calibri"/>
          <w:color w:val="2B2B2B"/>
          <w:sz w:val="16"/>
          <w:szCs w:val="16"/>
        </w:rPr>
        <w:t xml:space="preserve">Fama, E.F. (1970). Efficient Capital Markets: A Review of Theory and Empirical Work. Journal of Finance, 25(2), 383–417.</w:t>
      </w:r>
    </w:p>
  </w:footnote>
  <w:footnote w:id="2">
    <w:p>
      <w:pPr>
        <w:spacing w:line="220"/>
      </w:pPr>
      <w:r>
        <w:rPr>
          <w:rStyle w:val="FootnoteReference"/>
        </w:rPr>
        <w:footnoteRef/>
      </w:r>
      <w:r>
        <w:rPr>
          <w:rFonts w:ascii="Calibri" w:cs="Calibri" w:eastAsia="Calibri" w:hAnsi="Calibri"/>
          <w:color w:val="2B2B2B"/>
          <w:sz w:val="16"/>
          <w:szCs w:val="16"/>
        </w:rPr>
        <w:t xml:space="preserve">Lucas, R.E. (1972). Expectations and the Neutrality of Money. Journal of Economic Theory, 4(2), 103–124.</w:t>
      </w:r>
    </w:p>
  </w:footnote>
  <w:footnote w:id="3">
    <w:p>
      <w:pPr>
        <w:spacing w:line="220"/>
      </w:pPr>
      <w:r>
        <w:rPr>
          <w:rStyle w:val="FootnoteReference"/>
        </w:rPr>
        <w:footnoteRef/>
      </w:r>
      <w:r>
        <w:rPr>
          <w:rFonts w:ascii="Calibri" w:cs="Calibri" w:eastAsia="Calibri" w:hAnsi="Calibri"/>
          <w:color w:val="2B2B2B"/>
          <w:sz w:val="16"/>
          <w:szCs w:val="16"/>
        </w:rPr>
        <w:t xml:space="preserve">Cook, T. &amp; Hahn, T. (1989). The Effect of Changes in the Federal Funds Rate Target on Market Interest Rates in the 1970s. Journal of Monetary Economics, 24(3), 331–351.</w:t>
      </w:r>
    </w:p>
  </w:footnote>
  <w:footnote w:id="4">
    <w:p>
      <w:pPr>
        <w:spacing w:line="220"/>
      </w:pPr>
      <w:r>
        <w:rPr>
          <w:rStyle w:val="FootnoteReference"/>
        </w:rPr>
        <w:footnoteRef/>
      </w:r>
      <w:r>
        <w:rPr>
          <w:rFonts w:ascii="Calibri" w:cs="Calibri" w:eastAsia="Calibri" w:hAnsi="Calibri"/>
          <w:color w:val="2B2B2B"/>
          <w:sz w:val="16"/>
          <w:szCs w:val="16"/>
        </w:rPr>
        <w:t xml:space="preserve">Kuttner, K.N. (2001). Monetary Policy Surprises and Interest Rates: Evidence from the Fed Funds Futures Market. Journal of Monetary Economics, 47(3), 523–544.</w:t>
      </w:r>
    </w:p>
  </w:footnote>
  <w:footnote w:id="5">
    <w:p>
      <w:pPr>
        <w:spacing w:line="220"/>
      </w:pPr>
      <w:r>
        <w:rPr>
          <w:rStyle w:val="FootnoteReference"/>
        </w:rPr>
        <w:footnoteRef/>
      </w:r>
      <w:r>
        <w:rPr>
          <w:rFonts w:ascii="Calibri" w:cs="Calibri" w:eastAsia="Calibri" w:hAnsi="Calibri"/>
          <w:color w:val="2B2B2B"/>
          <w:sz w:val="16"/>
          <w:szCs w:val="16"/>
        </w:rPr>
        <w:t xml:space="preserve">Gürkaynak, R.S., Sack, B., &amp; Swanson, E. (2005). The Sensitivity of Long-Term Interest Rates to Economic News: Evidence and Implications for Monetary Policy. American Economic Review, 95(1), 425–436.</w:t>
      </w:r>
    </w:p>
  </w:footnote>
  <w:footnote w:id="6">
    <w:p>
      <w:pPr>
        <w:spacing w:line="220"/>
      </w:pPr>
      <w:r>
        <w:rPr>
          <w:rStyle w:val="FootnoteReference"/>
        </w:rPr>
        <w:footnoteRef/>
      </w:r>
      <w:r>
        <w:rPr>
          <w:rFonts w:ascii="Calibri" w:cs="Calibri" w:eastAsia="Calibri" w:hAnsi="Calibri"/>
          <w:color w:val="2B2B2B"/>
          <w:sz w:val="16"/>
          <w:szCs w:val="16"/>
        </w:rPr>
        <w:t xml:space="preserve">Bernanke, B.S. &amp; Kuttner, K.N. (2005). What Explains the Stock Market’s Reaction to Federal Reserve Policy? Journal of Finance, 60(3), 1221–1257.</w:t>
      </w:r>
    </w:p>
  </w:footnote>
  <w:footnote w:id="7">
    <w:p>
      <w:pPr>
        <w:spacing w:line="220"/>
      </w:pPr>
      <w:r>
        <w:rPr>
          <w:rStyle w:val="FootnoteReference"/>
        </w:rPr>
        <w:footnoteRef/>
      </w:r>
      <w:r>
        <w:rPr>
          <w:rFonts w:ascii="Calibri" w:cs="Calibri" w:eastAsia="Calibri" w:hAnsi="Calibri"/>
          <w:color w:val="2B2B2B"/>
          <w:sz w:val="16"/>
          <w:szCs w:val="16"/>
        </w:rPr>
        <w:t xml:space="preserve">Campbell, J.Y. &amp; Shiller, R.J. (1988). The Dividend-Price Ratio and Expectations of Future Dividends and Discount Factors. Review of Financial Studies, 1(3), 195–228.</w:t>
      </w:r>
    </w:p>
  </w:footnote>
  <w:footnote w:id="8">
    <w:p>
      <w:pPr>
        <w:spacing w:line="220"/>
      </w:pPr>
      <w:r>
        <w:rPr>
          <w:rStyle w:val="FootnoteReference"/>
        </w:rPr>
        <w:footnoteRef/>
      </w:r>
      <w:r>
        <w:rPr>
          <w:rFonts w:ascii="Calibri" w:cs="Calibri" w:eastAsia="Calibri" w:hAnsi="Calibri"/>
          <w:color w:val="2B2B2B"/>
          <w:sz w:val="16"/>
          <w:szCs w:val="16"/>
        </w:rPr>
        <w:t xml:space="preserve">Jarociński, M. &amp; Karadi, P. (2020). Deconstructing Monetary Policy Surprises—The Role of Information Shocks. American Economic Journal: Macroeconomics, 12(2), 1–43.</w:t>
      </w:r>
    </w:p>
  </w:footnote>
  <w:footnote w:id="9">
    <w:p>
      <w:pPr>
        <w:spacing w:line="220"/>
      </w:pPr>
      <w:r>
        <w:rPr>
          <w:rStyle w:val="FootnoteReference"/>
        </w:rPr>
        <w:footnoteRef/>
      </w:r>
      <w:r>
        <w:rPr>
          <w:rFonts w:ascii="Calibri" w:cs="Calibri" w:eastAsia="Calibri" w:hAnsi="Calibri"/>
          <w:color w:val="2B2B2B"/>
          <w:sz w:val="16"/>
          <w:szCs w:val="16"/>
        </w:rPr>
        <w:t xml:space="preserve">Tobin, J. (1969). A General Equilibrium Approach to Monetary Theory. Journal of Money, Credit and Banking, 1(1), 15–29.</w:t>
      </w:r>
    </w:p>
  </w:footnote>
  <w:footnote w:id="10">
    <w:p>
      <w:pPr>
        <w:spacing w:line="220"/>
      </w:pPr>
      <w:r>
        <w:rPr>
          <w:rStyle w:val="FootnoteReference"/>
        </w:rPr>
        <w:footnoteRef/>
      </w:r>
      <w:r>
        <w:rPr>
          <w:rFonts w:ascii="Calibri" w:cs="Calibri" w:eastAsia="Calibri" w:hAnsi="Calibri"/>
          <w:color w:val="2B2B2B"/>
          <w:sz w:val="16"/>
          <w:szCs w:val="16"/>
        </w:rPr>
        <w:t xml:space="preserve">Borio, C. &amp; Zhu, H. (2012). Capital Regulation, Risk-Taking and Monetary Policy: An Incomplete Assessment. International Journal of Central Banking, 8(S1), 209–251.</w:t>
      </w:r>
    </w:p>
  </w:footnote>
  <w:footnote w:id="11">
    <w:p>
      <w:pPr>
        <w:spacing w:line="220"/>
      </w:pPr>
      <w:r>
        <w:rPr>
          <w:rStyle w:val="FootnoteReference"/>
        </w:rPr>
        <w:footnoteRef/>
      </w:r>
      <w:r>
        <w:rPr>
          <w:rFonts w:ascii="Calibri" w:cs="Calibri" w:eastAsia="Calibri" w:hAnsi="Calibri"/>
          <w:color w:val="2B2B2B"/>
          <w:sz w:val="16"/>
          <w:szCs w:val="16"/>
        </w:rPr>
        <w:t xml:space="preserve">Nakamura, E. &amp; Steinsson, J. (2018). High-Frequency Identification of Monetary Non-Neutrality: The Information Effect. Quarterly Journal of Economics, 133(3), 1283–1330.</w:t>
      </w:r>
    </w:p>
  </w:footnote>
  <w:footnote w:id="12">
    <w:p>
      <w:pPr>
        <w:spacing w:line="220"/>
      </w:pPr>
      <w:r>
        <w:rPr>
          <w:rStyle w:val="FootnoteReference"/>
        </w:rPr>
        <w:footnoteRef/>
      </w:r>
      <w:r>
        <w:rPr>
          <w:rFonts w:ascii="Calibri" w:cs="Calibri" w:eastAsia="Calibri" w:hAnsi="Calibri"/>
          <w:color w:val="2B2B2B"/>
          <w:sz w:val="16"/>
          <w:szCs w:val="16"/>
        </w:rPr>
        <w:t xml:space="preserve">Cochrane, J.H. &amp; Piazzesi, M. (2002). The Fed and Interest Rates: A High-Frequency Identification. American Economic Review, 92(2), 90–95.</w:t>
      </w:r>
    </w:p>
  </w:footnote>
  <w:footnote w:id="13">
    <w:p>
      <w:pPr>
        <w:spacing w:line="220"/>
      </w:pPr>
      <w:r>
        <w:rPr>
          <w:rStyle w:val="FootnoteReference"/>
        </w:rPr>
        <w:footnoteRef/>
      </w:r>
      <w:r>
        <w:rPr>
          <w:rFonts w:ascii="Calibri" w:cs="Calibri" w:eastAsia="Calibri" w:hAnsi="Calibri"/>
          <w:color w:val="2B2B2B"/>
          <w:sz w:val="16"/>
          <w:szCs w:val="16"/>
        </w:rPr>
        <w:t xml:space="preserve">Fleming, M.J. &amp; Remolona, E.M. (1997). What Moves the Bond Market? Economic Policy Review, 3(4), 31–50.</w:t>
      </w:r>
    </w:p>
  </w:footnote>
  <w:footnote w:id="14">
    <w:p>
      <w:pPr>
        <w:spacing w:line="220"/>
      </w:pPr>
      <w:r>
        <w:rPr>
          <w:rStyle w:val="FootnoteReference"/>
        </w:rPr>
        <w:footnoteRef/>
      </w:r>
      <w:r>
        <w:rPr>
          <w:rFonts w:ascii="Calibri" w:cs="Calibri" w:eastAsia="Calibri" w:hAnsi="Calibri"/>
          <w:color w:val="2B2B2B"/>
          <w:sz w:val="16"/>
          <w:szCs w:val="16"/>
        </w:rPr>
        <w:t xml:space="preserve">Gürkaynak, R.S., Sack, B., &amp; Swanson, E. (2007). Market-Based Measures of Monetary Policy Expectations. Journal of Monetary Economics, 54(7), 1903–1918.</w:t>
      </w:r>
    </w:p>
  </w:footnote>
  <w:footnote w:id="15">
    <w:p>
      <w:pPr>
        <w:spacing w:line="220"/>
      </w:pPr>
      <w:r>
        <w:rPr>
          <w:rStyle w:val="FootnoteReference"/>
        </w:rPr>
        <w:footnoteRef/>
      </w:r>
      <w:r>
        <w:rPr>
          <w:rFonts w:ascii="Calibri" w:cs="Calibri" w:eastAsia="Calibri" w:hAnsi="Calibri"/>
          <w:color w:val="2B2B2B"/>
          <w:sz w:val="16"/>
          <w:szCs w:val="16"/>
        </w:rPr>
        <w:t xml:space="preserve">Rogers, J.H., Scotti, C., &amp; Wright, J.H. (2018). Evaluating Asset-Market Effects of Unconventional Monetary Policy: A Cross-Country Comparison. Economic Journal, 128(611), 2018–2051.</w:t>
      </w:r>
    </w:p>
  </w:footnote>
  <w:footnote w:id="16">
    <w:p>
      <w:pPr>
        <w:spacing w:line="220"/>
      </w:pPr>
      <w:r>
        <w:rPr>
          <w:rStyle w:val="FootnoteReference"/>
        </w:rPr>
        <w:footnoteRef/>
      </w:r>
      <w:r>
        <w:rPr>
          <w:rFonts w:ascii="Calibri" w:cs="Calibri" w:eastAsia="Calibri" w:hAnsi="Calibri"/>
          <w:color w:val="2B2B2B"/>
          <w:sz w:val="16"/>
          <w:szCs w:val="16"/>
        </w:rPr>
        <w:t xml:space="preserve">Brennan, M.J., Chordia, T., &amp; Subrahmanyam, A. (2012). Alternative Strategies for Cross-Sectional Asset Pricing. Journal of Financial Economics, 104(2), 320–344.</w:t>
      </w:r>
    </w:p>
  </w:footnote>
  <w:footnote w:id="17">
    <w:p>
      <w:pPr>
        <w:spacing w:line="220"/>
      </w:pPr>
      <w:r>
        <w:rPr>
          <w:rStyle w:val="FootnoteReference"/>
        </w:rPr>
        <w:footnoteRef/>
      </w:r>
      <w:r>
        <w:rPr>
          <w:rFonts w:ascii="Calibri" w:cs="Calibri" w:eastAsia="Calibri" w:hAnsi="Calibri"/>
          <w:color w:val="2B2B2B"/>
          <w:sz w:val="16"/>
          <w:szCs w:val="16"/>
        </w:rPr>
        <w:t xml:space="preserve">Hanson, S.G. &amp; Stein, J.C. (2015). Monetary Policy on Long-Term Real Interest Rates. Journal of Financial Economics, 115(3), 429–448.</w:t>
      </w:r>
    </w:p>
  </w:footnote>
  <w:footnote w:id="18">
    <w:p>
      <w:pPr>
        <w:spacing w:line="220"/>
      </w:pPr>
      <w:r>
        <w:rPr>
          <w:rStyle w:val="FootnoteReference"/>
        </w:rPr>
        <w:footnoteRef/>
      </w:r>
      <w:r>
        <w:rPr>
          <w:rFonts w:ascii="Calibri" w:cs="Calibri" w:eastAsia="Calibri" w:hAnsi="Calibri"/>
          <w:color w:val="2B2B2B"/>
          <w:sz w:val="16"/>
          <w:szCs w:val="16"/>
        </w:rPr>
        <w:t xml:space="preserve">Cieslak, A. &amp; Vissing-Jorgensen, A. (2020). The Economics of the Fed Put. Working Paper, UC Berkeley.</w:t>
      </w:r>
    </w:p>
  </w:footnote>
  <w:footnote w:id="19">
    <w:p>
      <w:pPr>
        <w:spacing w:line="220"/>
      </w:pPr>
      <w:r>
        <w:rPr>
          <w:rStyle w:val="FootnoteReference"/>
        </w:rPr>
        <w:footnoteRef/>
      </w:r>
      <w:r>
        <w:rPr>
          <w:rFonts w:ascii="Calibri" w:cs="Calibri" w:eastAsia="Calibri" w:hAnsi="Calibri"/>
          <w:color w:val="2B2B2B"/>
          <w:sz w:val="16"/>
          <w:szCs w:val="16"/>
        </w:rPr>
        <w:t xml:space="preserve">Gilchrist, S., López-Salido, D., &amp; Zakrajšek, E. (2015). Monetary Policy and Real Borrowing Costs at the Zero Lower Bound. American Economic Journal: Macroeconomics, 7(1), 77–109.</w:t>
      </w:r>
    </w:p>
  </w:footnote>
  <w:footnote w:id="20">
    <w:p>
      <w:pPr>
        <w:spacing w:line="220"/>
      </w:pPr>
      <w:r>
        <w:rPr>
          <w:rStyle w:val="FootnoteReference"/>
        </w:rPr>
        <w:footnoteRef/>
      </w:r>
      <w:r>
        <w:rPr>
          <w:rFonts w:ascii="Calibri" w:cs="Calibri" w:eastAsia="Calibri" w:hAnsi="Calibri"/>
          <w:color w:val="2B2B2B"/>
          <w:sz w:val="16"/>
          <w:szCs w:val="16"/>
        </w:rPr>
        <w:t xml:space="preserve">Swanson, E. (2021). Measuring the Effects of Federal Reserve Forward Guidance and Asset Purchases on Financial Markets. Journal of Monetary Economics, 118, 192–219.</w:t>
      </w:r>
    </w:p>
  </w:footnote>
  <w:footnote w:id="21">
    <w:p>
      <w:pPr>
        <w:spacing w:line="220"/>
      </w:pPr>
      <w:r>
        <w:rPr>
          <w:rStyle w:val="FootnoteReference"/>
        </w:rPr>
        <w:footnoteRef/>
      </w:r>
      <w:r>
        <w:rPr>
          <w:rFonts w:ascii="Calibri" w:cs="Calibri" w:eastAsia="Calibri" w:hAnsi="Calibri"/>
          <w:color w:val="2B2B2B"/>
          <w:sz w:val="16"/>
          <w:szCs w:val="16"/>
        </w:rPr>
        <w:t xml:space="preserve">Krishnamurthy, A. &amp; Vissing-Jorgensen, A. (2011). The Effects of Quantitative Easing on Interest Rates: Channels and Implications for Policy. Brookings Papers on Economic Activity, 42(2), 215–287.</w:t>
      </w:r>
    </w:p>
  </w:footnote>
  <w:footnote w:id="22">
    <w:p>
      <w:pPr>
        <w:spacing w:line="220"/>
      </w:pPr>
      <w:r>
        <w:rPr>
          <w:rStyle w:val="FootnoteReference"/>
        </w:rPr>
        <w:footnoteRef/>
      </w:r>
      <w:r>
        <w:rPr>
          <w:rFonts w:ascii="Calibri" w:cs="Calibri" w:eastAsia="Calibri" w:hAnsi="Calibri"/>
          <w:color w:val="2B2B2B"/>
          <w:sz w:val="16"/>
          <w:szCs w:val="16"/>
        </w:rPr>
        <w:t xml:space="preserve">Bauer, M.D. &amp; Rudebusch, G.D. (2014). The Signaling Channel for Federal Reserve Bond Purchases. International Journal of Central Banking, 10(3), 233–289.</w:t>
      </w:r>
    </w:p>
  </w:footnote>
  <w:footnote w:id="23">
    <w:p>
      <w:pPr>
        <w:spacing w:line="220"/>
      </w:pPr>
      <w:r>
        <w:rPr>
          <w:rStyle w:val="FootnoteReference"/>
        </w:rPr>
        <w:footnoteRef/>
      </w:r>
      <w:r>
        <w:rPr>
          <w:rFonts w:ascii="Calibri" w:cs="Calibri" w:eastAsia="Calibri" w:hAnsi="Calibri"/>
          <w:color w:val="2B2B2B"/>
          <w:sz w:val="16"/>
          <w:szCs w:val="16"/>
        </w:rPr>
        <w:t xml:space="preserve">Lucca, D.O. &amp; Moench, E. (2015). The Pre-FOMC Announcement Drift. Journal of Finance, 70(1), 335–371.</w:t>
      </w:r>
    </w:p>
  </w:footnote>
  <w:footnote w:id="24">
    <w:p>
      <w:pPr>
        <w:spacing w:line="220"/>
      </w:pPr>
      <w:r>
        <w:rPr>
          <w:rStyle w:val="FootnoteReference"/>
        </w:rPr>
        <w:footnoteRef/>
      </w:r>
      <w:r>
        <w:rPr>
          <w:rFonts w:ascii="Calibri" w:cs="Calibri" w:eastAsia="Calibri" w:hAnsi="Calibri"/>
          <w:color w:val="2B2B2B"/>
          <w:sz w:val="16"/>
          <w:szCs w:val="16"/>
        </w:rPr>
        <w:t xml:space="preserve">Savor, P. &amp; Wilson, M. (2013). How Much Do Investors Care About Risk? Evidence from Morning Calls. Journal of Financial Economics, 107(2), 340–360.</w:t>
      </w:r>
    </w:p>
  </w:footnote>
  <w:footnote w:id="25">
    <w:p>
      <w:pPr>
        <w:spacing w:line="220"/>
      </w:pPr>
      <w:r>
        <w:rPr>
          <w:rStyle w:val="FootnoteReference"/>
        </w:rPr>
        <w:footnoteRef/>
      </w:r>
      <w:r>
        <w:rPr>
          <w:rFonts w:ascii="Calibri" w:cs="Calibri" w:eastAsia="Calibri" w:hAnsi="Calibri"/>
          <w:color w:val="2B2B2B"/>
          <w:sz w:val="16"/>
          <w:szCs w:val="16"/>
        </w:rPr>
        <w:t xml:space="preserve">Ait-Sahalia, Y., Cacho-Diaz, J., &amp; Laeven, R.J.A. (2015). Modeling Financial Contagion Using Mutually Exciting Jump Processes. Journal of Financial Economics, 117(3), 585–606.</w:t>
      </w:r>
    </w:p>
  </w:footnote>
  <w:footnote w:id="26">
    <w:p>
      <w:pPr>
        <w:spacing w:line="220"/>
      </w:pPr>
      <w:r>
        <w:rPr>
          <w:rStyle w:val="FootnoteReference"/>
        </w:rPr>
        <w:footnoteRef/>
      </w:r>
      <w:r>
        <w:rPr>
          <w:rFonts w:ascii="Calibri" w:cs="Calibri" w:eastAsia="Calibri" w:hAnsi="Calibri"/>
          <w:color w:val="2B2B2B"/>
          <w:sz w:val="16"/>
          <w:szCs w:val="16"/>
        </w:rPr>
        <w:t xml:space="preserve">Craine, R. &amp; Martin, V.L. (2008). International Monetary Policy Surprise Spillovers. Journal of International Economics, 75(1), 180–196.</w:t>
      </w:r>
    </w:p>
  </w:footnote>
  <w:footnote w:id="27">
    <w:p>
      <w:pPr>
        <w:spacing w:line="220"/>
      </w:pPr>
      <w:r>
        <w:rPr>
          <w:rStyle w:val="FootnoteReference"/>
        </w:rPr>
        <w:footnoteRef/>
      </w:r>
      <w:r>
        <w:rPr>
          <w:rFonts w:ascii="Calibri" w:cs="Calibri" w:eastAsia="Calibri" w:hAnsi="Calibri"/>
          <w:color w:val="2B2B2B"/>
          <w:sz w:val="16"/>
          <w:szCs w:val="16"/>
        </w:rPr>
        <w:t xml:space="preserve">Kearns, J. &amp; Manners, P. (2006). The Impact of Monetary Policy on the Exchange Rate: A Study Using Intraday Data. Journal of Monetary Economics, 53(2), 333–361.</w:t>
      </w:r>
    </w:p>
  </w:footnote>
  <w:footnote w:id="28">
    <w:p>
      <w:pPr>
        <w:spacing w:line="220"/>
      </w:pPr>
      <w:r>
        <w:rPr>
          <w:rStyle w:val="FootnoteReference"/>
        </w:rPr>
        <w:footnoteRef/>
      </w:r>
      <w:r>
        <w:rPr>
          <w:rFonts w:ascii="Calibri" w:cs="Calibri" w:eastAsia="Calibri" w:hAnsi="Calibri"/>
          <w:color w:val="2B2B2B"/>
          <w:sz w:val="16"/>
          <w:szCs w:val="16"/>
        </w:rPr>
        <w:t xml:space="preserve">Faust, J., Rogers, J.H., Wang, S.Y., &amp; Wright, J.H. (2007). The High-Frequency Response of Exchange Rates to Monetary Policy Actions and Statements. Journal of International Economics, 74(2), 325–345.</w:t>
      </w:r>
    </w:p>
  </w:footnote>
  <w:footnote w:id="29">
    <w:p>
      <w:pPr>
        <w:spacing w:line="220"/>
      </w:pPr>
      <w:r>
        <w:rPr>
          <w:rStyle w:val="FootnoteReference"/>
        </w:rPr>
        <w:footnoteRef/>
      </w:r>
      <w:r>
        <w:rPr>
          <w:rFonts w:ascii="Calibri" w:cs="Calibri" w:eastAsia="Calibri" w:hAnsi="Calibri"/>
          <w:color w:val="2B2B2B"/>
          <w:sz w:val="16"/>
          <w:szCs w:val="16"/>
        </w:rPr>
        <w:t xml:space="preserve">Neuhierl, A. &amp; Weber, M. (2019). Monetary Policy and the Stock Market: Time-Varying Risk Exposures and the Return Predictability of Monetary Policy Surprises. Working Paper, University of Chicago.</w:t>
      </w:r>
    </w:p>
  </w:footnote>
  <w:footnote w:id="30">
    <w:p>
      <w:pPr>
        <w:spacing w:line="220"/>
      </w:pPr>
      <w:r>
        <w:rPr>
          <w:rStyle w:val="FootnoteReference"/>
        </w:rPr>
        <w:footnoteRef/>
      </w:r>
      <w:r>
        <w:rPr>
          <w:rFonts w:ascii="Calibri" w:cs="Calibri" w:eastAsia="Calibri" w:hAnsi="Calibri"/>
          <w:color w:val="2B2B2B"/>
          <w:sz w:val="16"/>
          <w:szCs w:val="16"/>
        </w:rPr>
        <w:t xml:space="preserve">Caldara, D. &amp; Kamps, C. (2008). What Are the Effects of Fiscal Policy Shocks? A VAR-Based Comparative Analysis. Journal of Economic Dynamics and Control, 32(6), 2061–2089.</w:t>
      </w:r>
    </w:p>
  </w:footnote>
  <w:footnote w:id="31">
    <w:p>
      <w:pPr>
        <w:spacing w:line="220"/>
      </w:pPr>
      <w:r>
        <w:rPr>
          <w:rStyle w:val="FootnoteReference"/>
        </w:rPr>
        <w:footnoteRef/>
      </w:r>
      <w:r>
        <w:rPr>
          <w:rFonts w:ascii="Calibri" w:cs="Calibri" w:eastAsia="Calibri" w:hAnsi="Calibri"/>
          <w:color w:val="2B2B2B"/>
          <w:sz w:val="16"/>
          <w:szCs w:val="16"/>
        </w:rPr>
        <w:t xml:space="preserve">Andersen, T.G., Bollerslev, T., Diebold, F.X., &amp; Vega, C. (2007). Real-Time Price Discovery in Global Stock, Bond and Foreign Exchange Markets. Journal of International Economics, 73(2), 251–277.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AA6B2"/>
        <w:sz w:val="18"/>
        <w:szCs w:val="18"/>
      </w:rPr>
      <w:t xml:space="preserve">Literature Review: Monetary Policy and Asset Prices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i/>
      <w:i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2026-04-22T12:20:11.857Z</dcterms:created>
  <dcterms:modified xsi:type="dcterms:W3CDTF">2026-04-22T12:20:11.857Z</dcterms:modified>
</cp:coreProperties>
</file>

<file path=docProps/custom.xml><?xml version="1.0" encoding="utf-8"?>
<Properties xmlns="http://schemas.openxmlformats.org/officeDocument/2006/custom-properties" xmlns:vt="http://schemas.openxmlformats.org/officeDocument/2006/docPropsVTypes"/>
</file>