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EE1B" w14:textId="5970BB35" w:rsidR="009963F1" w:rsidRPr="00180590" w:rsidRDefault="009963F1" w:rsidP="004B0315">
      <w:pPr>
        <w:tabs>
          <w:tab w:val="left" w:pos="2070"/>
        </w:tabs>
        <w:jc w:val="center"/>
        <w:rPr>
          <w:rFonts w:ascii="Times New Roman" w:hAnsi="Times New Roman" w:cs="Times New Roman"/>
        </w:rPr>
      </w:pPr>
      <w:r w:rsidRPr="00180590">
        <w:rPr>
          <w:rFonts w:ascii="Times New Roman" w:hAnsi="Times New Roman" w:cs="Times New Roman"/>
        </w:rPr>
        <w:t>FOMC Announcements: Cross-Asset and Cross-Country Effects</w:t>
      </w:r>
    </w:p>
    <w:p w14:paraId="77089E08" w14:textId="1F1BF892" w:rsidR="00EB717A" w:rsidRPr="00180590" w:rsidRDefault="00EB717A" w:rsidP="009963F1">
      <w:pPr>
        <w:jc w:val="center"/>
        <w:rPr>
          <w:rFonts w:ascii="Times New Roman" w:hAnsi="Times New Roman" w:cs="Times New Roman"/>
        </w:rPr>
      </w:pPr>
      <w:r w:rsidRPr="00180590">
        <w:rPr>
          <w:rFonts w:ascii="Times New Roman" w:hAnsi="Times New Roman" w:cs="Times New Roman"/>
        </w:rPr>
        <w:t xml:space="preserve">Literature Review </w:t>
      </w:r>
    </w:p>
    <w:p w14:paraId="5CC4ABC8" w14:textId="77777777" w:rsidR="00294593" w:rsidRPr="005F2900" w:rsidRDefault="00180590" w:rsidP="00294593">
      <w:p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Part I</w:t>
      </w:r>
      <w:r w:rsidRPr="005F2900">
        <w:rPr>
          <w:rFonts w:ascii="Times New Roman" w:hAnsi="Times New Roman" w:cs="Times New Roman"/>
          <w:b/>
          <w:bCs/>
          <w:kern w:val="0"/>
          <w:lang w:eastAsia="en-US"/>
          <w14:ligatures w14:val="none"/>
        </w:rPr>
        <w:t xml:space="preserve"> - </w:t>
      </w:r>
      <w:r w:rsidRPr="00180590">
        <w:rPr>
          <w:rFonts w:ascii="Times New Roman" w:hAnsi="Times New Roman" w:cs="Times New Roman"/>
          <w:b/>
          <w:bCs/>
          <w:kern w:val="0"/>
          <w:lang w:eastAsia="en-US"/>
          <w14:ligatures w14:val="none"/>
        </w:rPr>
        <w:t>Cross-Asset Effects of FOMC Announcements</w:t>
      </w:r>
    </w:p>
    <w:p w14:paraId="134BE0CB" w14:textId="0E0E7C56" w:rsidR="00180590" w:rsidRPr="00180590" w:rsidRDefault="00180590" w:rsidP="00294593">
      <w:pPr>
        <w:ind w:left="720"/>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 xml:space="preserve">1. </w:t>
      </w:r>
      <w:proofErr w:type="gramStart"/>
      <w:r w:rsidRPr="00180590">
        <w:rPr>
          <w:rFonts w:ascii="Times New Roman" w:hAnsi="Times New Roman" w:cs="Times New Roman"/>
          <w:b/>
          <w:bCs/>
          <w:kern w:val="0"/>
          <w:lang w:eastAsia="en-US"/>
          <w14:ligatures w14:val="none"/>
        </w:rPr>
        <w:t xml:space="preserve">Introduction </w:t>
      </w:r>
      <w:r w:rsidRPr="003742E5">
        <w:rPr>
          <w:rFonts w:ascii="Times New Roman" w:hAnsi="Times New Roman" w:cs="Times New Roman"/>
          <w:b/>
          <w:bCs/>
          <w:kern w:val="0"/>
          <w:lang w:eastAsia="en-US"/>
          <w14:ligatures w14:val="none"/>
        </w:rPr>
        <w:t xml:space="preserve"> -</w:t>
      </w:r>
      <w:proofErr w:type="gramEnd"/>
      <w:r w:rsidRPr="003742E5">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Monetary Policy as a Cross-Asset Catalyst</w:t>
      </w:r>
      <w:r w:rsidRPr="00180590">
        <w:rPr>
          <w:rFonts w:ascii="Times New Roman" w:hAnsi="Times New Roman" w:cs="Times New Roman"/>
          <w:b/>
          <w:bCs/>
          <w:kern w:val="0"/>
          <w:lang w:eastAsia="en-US"/>
          <w14:ligatures w14:val="none"/>
        </w:rPr>
        <w:br/>
        <w:t>2. Fixed-Income Markets &amp; the Yield Curve</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2.1 Central Findings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2.2 Methodological Similarities and Differences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2.3 Areas of Agreement</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2.4 Key Conflicts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2.5 Research Gaps</w:t>
      </w:r>
    </w:p>
    <w:p w14:paraId="60FB7B8C" w14:textId="77777777" w:rsidR="00180590" w:rsidRPr="00180590" w:rsidRDefault="00180590" w:rsidP="00180590">
      <w:pPr>
        <w:numPr>
          <w:ilvl w:val="0"/>
          <w:numId w:val="87"/>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Equity-Market Effects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3.1 Overview of Empirical Findings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3.2 Sectoral and Cross-Sectional Patterns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3.3 Methodological Convergence and Divergence</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3.4 Areas of Broad Agreement</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3.5 Conflicts in Interpretation</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3.6 Research Gaps</w:t>
      </w:r>
    </w:p>
    <w:p w14:paraId="2ABFA5B8" w14:textId="77777777" w:rsidR="00180590" w:rsidRPr="00180590" w:rsidRDefault="00180590" w:rsidP="00180590">
      <w:pPr>
        <w:numPr>
          <w:ilvl w:val="0"/>
          <w:numId w:val="87"/>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Credit Spreads &amp; the Banking Sector</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4.1 Key Empirical Findings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4.2 Transmission Through the Bank-Lending Channel</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4.3 Role of Balance-Sheet Policy</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4.4 International and Cross-Market Evidence</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4.5 Consistencies Across Studies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4.6 Methodological Differences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4.7 Conflicts &amp; Unresolved Issues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4.8 Gaps for Future Research</w:t>
      </w:r>
    </w:p>
    <w:p w14:paraId="154540FD" w14:textId="77777777" w:rsidR="00180590" w:rsidRPr="00180590" w:rsidRDefault="00180590" w:rsidP="00180590">
      <w:pPr>
        <w:numPr>
          <w:ilvl w:val="0"/>
          <w:numId w:val="87"/>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Foreign-Exchange and Cross-Market Co-Movements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5.1 Empirical Findings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5.2 Information Versus Policy Components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5.3 Similarities, Differences, and Conflicts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5.4 Gaps</w:t>
      </w:r>
    </w:p>
    <w:p w14:paraId="1CDAE5C8" w14:textId="77777777" w:rsidR="00180590" w:rsidRPr="00180590" w:rsidRDefault="00180590" w:rsidP="00180590">
      <w:pPr>
        <w:numPr>
          <w:ilvl w:val="0"/>
          <w:numId w:val="87"/>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Commodities and Precious Metals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6.1 Findings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6.2 Similarities and Differences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6.3 Conflicts and Gaps</w:t>
      </w:r>
    </w:p>
    <w:p w14:paraId="14ADE228" w14:textId="0495D13F" w:rsidR="00180590" w:rsidRPr="00180590" w:rsidRDefault="00180590" w:rsidP="00180590">
      <w:pPr>
        <w:ind w:left="720"/>
        <w:rPr>
          <w:rFonts w:ascii="Times New Roman" w:hAnsi="Times New Roman" w:cs="Times New Roman"/>
          <w:kern w:val="0"/>
          <w:lang w:eastAsia="en-US"/>
          <w14:ligatures w14:val="none"/>
        </w:rPr>
      </w:pPr>
    </w:p>
    <w:p w14:paraId="6DC9CA5B" w14:textId="2F885DBC" w:rsidR="00180590" w:rsidRPr="00180590" w:rsidRDefault="00180590" w:rsidP="00180590">
      <w:pPr>
        <w:ind w:left="720"/>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lastRenderedPageBreak/>
        <w:t xml:space="preserve">Part </w:t>
      </w:r>
      <w:proofErr w:type="gramStart"/>
      <w:r w:rsidRPr="00180590">
        <w:rPr>
          <w:rFonts w:ascii="Times New Roman" w:hAnsi="Times New Roman" w:cs="Times New Roman"/>
          <w:b/>
          <w:bCs/>
          <w:kern w:val="0"/>
          <w:lang w:eastAsia="en-US"/>
          <w14:ligatures w14:val="none"/>
        </w:rPr>
        <w:t xml:space="preserve">II </w:t>
      </w:r>
      <w:r w:rsidRPr="005F2900">
        <w:rPr>
          <w:rFonts w:ascii="Times New Roman" w:hAnsi="Times New Roman" w:cs="Times New Roman"/>
          <w:b/>
          <w:bCs/>
          <w:kern w:val="0"/>
          <w:lang w:eastAsia="en-US"/>
          <w14:ligatures w14:val="none"/>
        </w:rPr>
        <w:t xml:space="preserve"> -</w:t>
      </w:r>
      <w:proofErr w:type="gramEnd"/>
      <w:r w:rsidRPr="005F2900">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Cross-Country &amp; Global Spillovers</w:t>
      </w:r>
    </w:p>
    <w:p w14:paraId="7164FD3E" w14:textId="77777777" w:rsidR="00180590" w:rsidRPr="00180590" w:rsidRDefault="00180590" w:rsidP="00180590">
      <w:pPr>
        <w:numPr>
          <w:ilvl w:val="0"/>
          <w:numId w:val="88"/>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Introduction: The Global Reach of U.S. Monetary Policy</w:t>
      </w:r>
    </w:p>
    <w:p w14:paraId="4A541AD9"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Early Event-Study Evidence</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8.1 Genesis of International Event Studies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8.2 Methodological Refinement</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8.3 Limitations</w:t>
      </w:r>
    </w:p>
    <w:p w14:paraId="1796E342"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Dynamic Panel-VAR &amp; Global-VAR Evidence</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9.1 Global Interdependence</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9.2 Persistence and Horizons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9.3 Cross-Region Heterogeneity</w:t>
      </w:r>
    </w:p>
    <w:p w14:paraId="12990816"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Spillovers to Emerging-Market Economies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10.1 Financial-Market Responses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10.2 The External-Dollar Channel</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10.3 Policy Buffers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10.4 Commodity Exporters vs Importers</w:t>
      </w:r>
    </w:p>
    <w:p w14:paraId="13D7F4CF"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Spillovers to Advanced Economies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11.1 Yield &amp; Risk-Premium Co-Movements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11.2 Policy-Expectation Synchronization</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11.3 Safe-Asset &amp; Portfolio Channels</w:t>
      </w:r>
    </w:p>
    <w:p w14:paraId="5ED7613E"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Information vs Policy Spillovers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12.1 Conceptual Distinction</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12.2 Empirical Evidence</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12.3 Implications</w:t>
      </w:r>
    </w:p>
    <w:p w14:paraId="07BA82A2" w14:textId="77777777" w:rsidR="00180590" w:rsidRPr="00180590" w:rsidRDefault="00180590" w:rsidP="00180590">
      <w:pPr>
        <w:numPr>
          <w:ilvl w:val="0"/>
          <w:numId w:val="88"/>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Comparative Analysis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13.1 Similarities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13.2 Differences</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13.3 Conflicts</w:t>
      </w:r>
    </w:p>
    <w:p w14:paraId="1932450A" w14:textId="77777777" w:rsidR="00180590" w:rsidRPr="00180590" w:rsidRDefault="00180590" w:rsidP="00180590">
      <w:pPr>
        <w:numPr>
          <w:ilvl w:val="0"/>
          <w:numId w:val="88"/>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Research Gaps &amp; Future Directions (Part II Summary)</w:t>
      </w:r>
    </w:p>
    <w:p w14:paraId="388F4F59" w14:textId="1D35C2EF" w:rsidR="00180590" w:rsidRPr="00180590" w:rsidRDefault="00180590" w:rsidP="00180590">
      <w:pPr>
        <w:ind w:left="720"/>
        <w:rPr>
          <w:rFonts w:ascii="Times New Roman" w:hAnsi="Times New Roman" w:cs="Times New Roman"/>
          <w:kern w:val="0"/>
          <w:lang w:eastAsia="en-US"/>
          <w14:ligatures w14:val="none"/>
        </w:rPr>
      </w:pPr>
    </w:p>
    <w:p w14:paraId="6CE3E471" w14:textId="7002011F" w:rsidR="00180590" w:rsidRPr="00180590" w:rsidRDefault="00180590" w:rsidP="00180590">
      <w:pPr>
        <w:ind w:left="720"/>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Part </w:t>
      </w:r>
      <w:proofErr w:type="gramStart"/>
      <w:r w:rsidRPr="00180590">
        <w:rPr>
          <w:rFonts w:ascii="Times New Roman" w:hAnsi="Times New Roman" w:cs="Times New Roman"/>
          <w:b/>
          <w:bCs/>
          <w:kern w:val="0"/>
          <w:lang w:eastAsia="en-US"/>
          <w14:ligatures w14:val="none"/>
        </w:rPr>
        <w:t xml:space="preserve">III </w:t>
      </w:r>
      <w:r w:rsidRPr="005F2900">
        <w:rPr>
          <w:rFonts w:ascii="Times New Roman" w:hAnsi="Times New Roman" w:cs="Times New Roman"/>
          <w:b/>
          <w:bCs/>
          <w:kern w:val="0"/>
          <w:lang w:eastAsia="en-US"/>
          <w14:ligatures w14:val="none"/>
        </w:rPr>
        <w:t xml:space="preserve"> -</w:t>
      </w:r>
      <w:proofErr w:type="gramEnd"/>
      <w:r w:rsidRPr="005F2900">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Transmission Channels of FOMC Shocks</w:t>
      </w:r>
    </w:p>
    <w:p w14:paraId="7DBFBE74"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Introduction: Mechanisms of Monetary Transmission</w:t>
      </w:r>
    </w:p>
    <w:p w14:paraId="3FFA6EA3"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Monetary / Interest-Rate Channel</w:t>
      </w:r>
    </w:p>
    <w:p w14:paraId="05733EDB"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Term-Premium &amp; Portfolio-Rebalancing Channel</w:t>
      </w:r>
    </w:p>
    <w:p w14:paraId="313F10A8"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lastRenderedPageBreak/>
        <w:t>Credit &amp; Bank-Lending Channel</w:t>
      </w:r>
    </w:p>
    <w:p w14:paraId="5B6EC03E"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External-Dollar / Global-Liquidity Channel</w:t>
      </w:r>
    </w:p>
    <w:p w14:paraId="42D1E1BD"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Information-Signaling Channel</w:t>
      </w:r>
    </w:p>
    <w:p w14:paraId="08CDF9FD"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Risk-Taking &amp; Financial-Condition Channel</w:t>
      </w:r>
    </w:p>
    <w:p w14:paraId="60FC08B8"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Exchange-Rate / Funding Channel</w:t>
      </w:r>
    </w:p>
    <w:p w14:paraId="3FE76252"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Comparative Channel Synthesis</w:t>
      </w:r>
    </w:p>
    <w:p w14:paraId="2AB3B7B6" w14:textId="77777777" w:rsidR="00180590" w:rsidRPr="00180590" w:rsidRDefault="00180590" w:rsidP="00180590">
      <w:pPr>
        <w:numPr>
          <w:ilvl w:val="0"/>
          <w:numId w:val="89"/>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Summary of Transmission Evidence</w:t>
      </w:r>
    </w:p>
    <w:p w14:paraId="4B9B8560" w14:textId="3284020C" w:rsidR="00180590" w:rsidRPr="00180590" w:rsidRDefault="00180590" w:rsidP="00180590">
      <w:pPr>
        <w:ind w:left="720"/>
        <w:rPr>
          <w:rFonts w:ascii="Times New Roman" w:hAnsi="Times New Roman" w:cs="Times New Roman"/>
          <w:kern w:val="0"/>
          <w:lang w:eastAsia="en-US"/>
          <w14:ligatures w14:val="none"/>
        </w:rPr>
      </w:pPr>
    </w:p>
    <w:p w14:paraId="28589FEC" w14:textId="378DF0F3" w:rsidR="00180590" w:rsidRPr="00180590" w:rsidRDefault="00180590" w:rsidP="00180590">
      <w:pPr>
        <w:ind w:left="720"/>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Part </w:t>
      </w:r>
      <w:proofErr w:type="gramStart"/>
      <w:r w:rsidRPr="00180590">
        <w:rPr>
          <w:rFonts w:ascii="Times New Roman" w:hAnsi="Times New Roman" w:cs="Times New Roman"/>
          <w:b/>
          <w:bCs/>
          <w:kern w:val="0"/>
          <w:lang w:eastAsia="en-US"/>
          <w14:ligatures w14:val="none"/>
        </w:rPr>
        <w:t xml:space="preserve">IV </w:t>
      </w:r>
      <w:r w:rsidRPr="005F2900">
        <w:rPr>
          <w:rFonts w:ascii="Times New Roman" w:hAnsi="Times New Roman" w:cs="Times New Roman"/>
          <w:b/>
          <w:bCs/>
          <w:kern w:val="0"/>
          <w:lang w:eastAsia="en-US"/>
          <w14:ligatures w14:val="none"/>
        </w:rPr>
        <w:t xml:space="preserve"> -</w:t>
      </w:r>
      <w:proofErr w:type="gramEnd"/>
      <w:r w:rsidRPr="005F2900">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Real Estate &amp; REIT-Linked Transmission (Your Dissertation Pivot)</w:t>
      </w:r>
    </w:p>
    <w:p w14:paraId="6AFBF7B9" w14:textId="77777777" w:rsidR="00180590" w:rsidRPr="00180590" w:rsidRDefault="00180590" w:rsidP="00180590">
      <w:pPr>
        <w:numPr>
          <w:ilvl w:val="0"/>
          <w:numId w:val="90"/>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Introduction: Why REITs Matter in Monetary Transmission</w:t>
      </w:r>
    </w:p>
    <w:p w14:paraId="5F5B6FFD" w14:textId="77777777" w:rsidR="00180590" w:rsidRPr="00180590" w:rsidRDefault="00180590" w:rsidP="00180590">
      <w:pPr>
        <w:numPr>
          <w:ilvl w:val="0"/>
          <w:numId w:val="90"/>
        </w:numPr>
        <w:rPr>
          <w:rFonts w:ascii="Times New Roman" w:hAnsi="Times New Roman" w:cs="Times New Roman"/>
          <w:kern w:val="0"/>
          <w:lang w:eastAsia="en-US"/>
          <w14:ligatures w14:val="none"/>
        </w:rPr>
      </w:pPr>
      <w:r w:rsidRPr="00180590">
        <w:rPr>
          <w:rFonts w:ascii="Times New Roman" w:hAnsi="Times New Roman" w:cs="Times New Roman"/>
          <w:b/>
          <w:bCs/>
          <w:kern w:val="0"/>
          <w:lang w:eastAsia="en-US"/>
          <w14:ligatures w14:val="none"/>
        </w:rPr>
        <w:t>Equity, Mortgage &amp; Residential REIT Responses to FOMC Shocks</w:t>
      </w:r>
      <w:r w:rsidRPr="00180590">
        <w:rPr>
          <w:rFonts w:ascii="Times New Roman" w:hAnsi="Times New Roman" w:cs="Times New Roman"/>
          <w:b/>
          <w:bCs/>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26.1 Equity-REIT Duration Exposure</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26.2 Mortgage-REIT Leverage Amplification</w:t>
      </w:r>
      <w:r w:rsidRPr="00180590">
        <w:rPr>
          <w:rFonts w:ascii="Times New Roman" w:hAnsi="Times New Roman" w:cs="Times New Roman"/>
          <w:kern w:val="0"/>
          <w:lang w:eastAsia="en-US"/>
          <w14:ligatures w14:val="none"/>
        </w:rPr>
        <w:br/>
      </w:r>
      <w:r w:rsidRPr="00180590">
        <w:rPr>
          <w:rFonts w:ascii="Times New Roman" w:hAnsi="Times New Roman" w:cs="Times New Roman"/>
          <w:kern w:val="0"/>
          <w:lang w:eastAsia="en-US"/>
          <w14:ligatures w14:val="none"/>
        </w:rPr>
        <w:t> </w:t>
      </w:r>
      <w:r w:rsidRPr="00180590">
        <w:rPr>
          <w:rFonts w:ascii="Times New Roman" w:hAnsi="Times New Roman" w:cs="Times New Roman"/>
          <w:kern w:val="0"/>
          <w:lang w:eastAsia="en-US"/>
          <w14:ligatures w14:val="none"/>
        </w:rPr>
        <w:t>26.3 Residential-REIT Rental Elasticity</w:t>
      </w:r>
    </w:p>
    <w:p w14:paraId="51E41972" w14:textId="77777777" w:rsidR="00180590" w:rsidRPr="00180590" w:rsidRDefault="00180590" w:rsidP="00180590">
      <w:pPr>
        <w:numPr>
          <w:ilvl w:val="0"/>
          <w:numId w:val="90"/>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Regime-Dependence: Rate vs Guidance vs QE/QT</w:t>
      </w:r>
    </w:p>
    <w:p w14:paraId="36B110C4" w14:textId="77777777" w:rsidR="00180590" w:rsidRPr="00180590" w:rsidRDefault="00180590" w:rsidP="00180590">
      <w:pPr>
        <w:numPr>
          <w:ilvl w:val="0"/>
          <w:numId w:val="90"/>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Sector Heterogeneity Gap in Literature</w:t>
      </w:r>
    </w:p>
    <w:p w14:paraId="41DD0DB0" w14:textId="77777777" w:rsidR="00180590" w:rsidRPr="00180590" w:rsidRDefault="00180590" w:rsidP="00180590">
      <w:pPr>
        <w:numPr>
          <w:ilvl w:val="0"/>
          <w:numId w:val="90"/>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Cross-Country REIT Spillovers (Missing Literature)</w:t>
      </w:r>
    </w:p>
    <w:p w14:paraId="5862F4A6" w14:textId="42C4EAAF" w:rsidR="00180590" w:rsidRPr="00180590" w:rsidRDefault="00180590" w:rsidP="00180590">
      <w:pPr>
        <w:numPr>
          <w:ilvl w:val="0"/>
          <w:numId w:val="90"/>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Literature </w:t>
      </w:r>
      <w:proofErr w:type="gramStart"/>
      <w:r w:rsidRPr="00180590">
        <w:rPr>
          <w:rFonts w:ascii="Times New Roman" w:hAnsi="Times New Roman" w:cs="Times New Roman"/>
          <w:b/>
          <w:bCs/>
          <w:kern w:val="0"/>
          <w:lang w:eastAsia="en-US"/>
          <w14:ligatures w14:val="none"/>
        </w:rPr>
        <w:t xml:space="preserve">Gaps </w:t>
      </w:r>
      <w:r w:rsidRPr="003742E5">
        <w:rPr>
          <w:rFonts w:ascii="Times New Roman" w:hAnsi="Times New Roman" w:cs="Times New Roman"/>
          <w:b/>
          <w:bCs/>
          <w:kern w:val="0"/>
          <w:lang w:eastAsia="en-US"/>
          <w14:ligatures w14:val="none"/>
        </w:rPr>
        <w:t xml:space="preserve"> -</w:t>
      </w:r>
      <w:proofErr w:type="gramEnd"/>
      <w:r w:rsidRPr="003742E5">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REIT Research Opportunity</w:t>
      </w:r>
    </w:p>
    <w:p w14:paraId="67506ABB" w14:textId="0D4F5B2E" w:rsidR="00180590" w:rsidRPr="00180590" w:rsidRDefault="00180590" w:rsidP="00180590">
      <w:pPr>
        <w:ind w:left="720"/>
        <w:rPr>
          <w:rFonts w:ascii="Times New Roman" w:hAnsi="Times New Roman" w:cs="Times New Roman"/>
          <w:kern w:val="0"/>
          <w:lang w:eastAsia="en-US"/>
          <w14:ligatures w14:val="none"/>
        </w:rPr>
      </w:pPr>
    </w:p>
    <w:p w14:paraId="131B6D64" w14:textId="0BA514BF" w:rsidR="00180590" w:rsidRPr="00180590" w:rsidRDefault="00180590" w:rsidP="00180590">
      <w:pPr>
        <w:ind w:left="720"/>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Part </w:t>
      </w:r>
      <w:proofErr w:type="gramStart"/>
      <w:r w:rsidRPr="00180590">
        <w:rPr>
          <w:rFonts w:ascii="Times New Roman" w:hAnsi="Times New Roman" w:cs="Times New Roman"/>
          <w:b/>
          <w:bCs/>
          <w:kern w:val="0"/>
          <w:lang w:eastAsia="en-US"/>
          <w14:ligatures w14:val="none"/>
        </w:rPr>
        <w:t xml:space="preserve">V </w:t>
      </w:r>
      <w:r w:rsidRPr="005F2900">
        <w:rPr>
          <w:rFonts w:ascii="Times New Roman" w:hAnsi="Times New Roman" w:cs="Times New Roman"/>
          <w:b/>
          <w:bCs/>
          <w:kern w:val="0"/>
          <w:lang w:eastAsia="en-US"/>
          <w14:ligatures w14:val="none"/>
        </w:rPr>
        <w:t xml:space="preserve"> -</w:t>
      </w:r>
      <w:proofErr w:type="gramEnd"/>
      <w:r w:rsidRPr="005F2900">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Final Synthesis + Dissertation Proposa</w:t>
      </w:r>
      <w:r w:rsidR="00920634">
        <w:rPr>
          <w:rFonts w:ascii="Times New Roman" w:hAnsi="Times New Roman" w:cs="Times New Roman"/>
          <w:b/>
          <w:bCs/>
          <w:kern w:val="0"/>
          <w:lang w:eastAsia="en-US"/>
          <w14:ligatures w14:val="none"/>
        </w:rPr>
        <w:t xml:space="preserve">l </w:t>
      </w:r>
    </w:p>
    <w:p w14:paraId="1E40468F" w14:textId="35EFCBC7" w:rsidR="00180590" w:rsidRPr="00180590" w:rsidRDefault="00180590" w:rsidP="00180590">
      <w:pPr>
        <w:numPr>
          <w:ilvl w:val="0"/>
          <w:numId w:val="91"/>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Summary of Part </w:t>
      </w:r>
      <w:proofErr w:type="gramStart"/>
      <w:r w:rsidRPr="00180590">
        <w:rPr>
          <w:rFonts w:ascii="Times New Roman" w:hAnsi="Times New Roman" w:cs="Times New Roman"/>
          <w:b/>
          <w:bCs/>
          <w:kern w:val="0"/>
          <w:lang w:eastAsia="en-US"/>
          <w14:ligatures w14:val="none"/>
        </w:rPr>
        <w:t xml:space="preserve">I </w:t>
      </w:r>
      <w:r w:rsidRPr="003742E5">
        <w:rPr>
          <w:rFonts w:ascii="Times New Roman" w:hAnsi="Times New Roman" w:cs="Times New Roman"/>
          <w:b/>
          <w:bCs/>
          <w:kern w:val="0"/>
          <w:lang w:eastAsia="en-US"/>
          <w14:ligatures w14:val="none"/>
        </w:rPr>
        <w:t xml:space="preserve"> -</w:t>
      </w:r>
      <w:proofErr w:type="gramEnd"/>
      <w:r w:rsidRPr="003742E5">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Cross-Asset Patterns</w:t>
      </w:r>
    </w:p>
    <w:p w14:paraId="22DF9C64" w14:textId="254B7405" w:rsidR="00180590" w:rsidRPr="00180590" w:rsidRDefault="00180590" w:rsidP="00180590">
      <w:pPr>
        <w:numPr>
          <w:ilvl w:val="0"/>
          <w:numId w:val="91"/>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Summary of Part </w:t>
      </w:r>
      <w:proofErr w:type="gramStart"/>
      <w:r w:rsidRPr="00180590">
        <w:rPr>
          <w:rFonts w:ascii="Times New Roman" w:hAnsi="Times New Roman" w:cs="Times New Roman"/>
          <w:b/>
          <w:bCs/>
          <w:kern w:val="0"/>
          <w:lang w:eastAsia="en-US"/>
          <w14:ligatures w14:val="none"/>
        </w:rPr>
        <w:t xml:space="preserve">II </w:t>
      </w:r>
      <w:r w:rsidRPr="003742E5">
        <w:rPr>
          <w:rFonts w:ascii="Times New Roman" w:hAnsi="Times New Roman" w:cs="Times New Roman"/>
          <w:b/>
          <w:bCs/>
          <w:kern w:val="0"/>
          <w:lang w:eastAsia="en-US"/>
          <w14:ligatures w14:val="none"/>
        </w:rPr>
        <w:t xml:space="preserve"> -</w:t>
      </w:r>
      <w:proofErr w:type="gramEnd"/>
      <w:r w:rsidRPr="003742E5">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Global Spillovers</w:t>
      </w:r>
    </w:p>
    <w:p w14:paraId="777F63E5" w14:textId="779E4207" w:rsidR="00180590" w:rsidRPr="00180590" w:rsidRDefault="00180590" w:rsidP="00180590">
      <w:pPr>
        <w:numPr>
          <w:ilvl w:val="0"/>
          <w:numId w:val="91"/>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 xml:space="preserve">Summary of Part </w:t>
      </w:r>
      <w:proofErr w:type="gramStart"/>
      <w:r w:rsidRPr="00180590">
        <w:rPr>
          <w:rFonts w:ascii="Times New Roman" w:hAnsi="Times New Roman" w:cs="Times New Roman"/>
          <w:b/>
          <w:bCs/>
          <w:kern w:val="0"/>
          <w:lang w:eastAsia="en-US"/>
          <w14:ligatures w14:val="none"/>
        </w:rPr>
        <w:t xml:space="preserve">III </w:t>
      </w:r>
      <w:r w:rsidRPr="003742E5">
        <w:rPr>
          <w:rFonts w:ascii="Times New Roman" w:hAnsi="Times New Roman" w:cs="Times New Roman"/>
          <w:b/>
          <w:bCs/>
          <w:kern w:val="0"/>
          <w:lang w:eastAsia="en-US"/>
          <w14:ligatures w14:val="none"/>
        </w:rPr>
        <w:t xml:space="preserve"> -</w:t>
      </w:r>
      <w:proofErr w:type="gramEnd"/>
      <w:r w:rsidRPr="003742E5">
        <w:rPr>
          <w:rFonts w:ascii="Times New Roman" w:hAnsi="Times New Roman" w:cs="Times New Roman"/>
          <w:b/>
          <w:bCs/>
          <w:kern w:val="0"/>
          <w:lang w:eastAsia="en-US"/>
          <w14:ligatures w14:val="none"/>
        </w:rPr>
        <w:t xml:space="preserve"> </w:t>
      </w:r>
      <w:r w:rsidRPr="00180590">
        <w:rPr>
          <w:rFonts w:ascii="Times New Roman" w:hAnsi="Times New Roman" w:cs="Times New Roman"/>
          <w:b/>
          <w:bCs/>
          <w:kern w:val="0"/>
          <w:lang w:eastAsia="en-US"/>
          <w14:ligatures w14:val="none"/>
        </w:rPr>
        <w:t>Transmission Channels</w:t>
      </w:r>
    </w:p>
    <w:p w14:paraId="6D28318A" w14:textId="77777777" w:rsidR="00180590" w:rsidRPr="00180590" w:rsidRDefault="00180590" w:rsidP="00180590">
      <w:pPr>
        <w:numPr>
          <w:ilvl w:val="0"/>
          <w:numId w:val="91"/>
        </w:numPr>
        <w:rPr>
          <w:rFonts w:ascii="Times New Roman" w:hAnsi="Times New Roman" w:cs="Times New Roman"/>
          <w:b/>
          <w:bCs/>
          <w:kern w:val="0"/>
          <w:lang w:eastAsia="en-US"/>
          <w14:ligatures w14:val="none"/>
        </w:rPr>
      </w:pPr>
      <w:r w:rsidRPr="00180590">
        <w:rPr>
          <w:rFonts w:ascii="Times New Roman" w:hAnsi="Times New Roman" w:cs="Times New Roman"/>
          <w:b/>
          <w:bCs/>
          <w:kern w:val="0"/>
          <w:lang w:eastAsia="en-US"/>
          <w14:ligatures w14:val="none"/>
        </w:rPr>
        <w:t>Conclusion + Dissertation Proposal:</w:t>
      </w:r>
      <w:r w:rsidRPr="00180590">
        <w:rPr>
          <w:rFonts w:ascii="Times New Roman" w:hAnsi="Times New Roman" w:cs="Times New Roman"/>
          <w:b/>
          <w:bCs/>
          <w:kern w:val="0"/>
          <w:lang w:eastAsia="en-US"/>
          <w14:ligatures w14:val="none"/>
        </w:rPr>
        <w:br/>
        <w:t>“FOMC Announcements, Sector-Heterogeneous REIT Responses &amp; International Spillovers”</w:t>
      </w:r>
    </w:p>
    <w:p w14:paraId="4482B93E" w14:textId="77777777" w:rsidR="005104E5" w:rsidRPr="00180590" w:rsidRDefault="005104E5" w:rsidP="005104E5">
      <w:pPr>
        <w:ind w:left="720"/>
        <w:rPr>
          <w:rFonts w:ascii="Times New Roman" w:hAnsi="Times New Roman" w:cs="Times New Roman"/>
          <w:kern w:val="0"/>
          <w:lang w:eastAsia="en-US"/>
          <w14:ligatures w14:val="none"/>
        </w:rPr>
      </w:pPr>
    </w:p>
    <w:p w14:paraId="37A9238B" w14:textId="77777777" w:rsidR="003742E5" w:rsidRDefault="003742E5" w:rsidP="002A5401">
      <w:pPr>
        <w:rPr>
          <w:rFonts w:ascii="Times New Roman" w:hAnsi="Times New Roman" w:cs="Times New Roman"/>
          <w:b/>
          <w:bCs/>
          <w:kern w:val="0"/>
          <w:lang w:eastAsia="en-US"/>
          <w14:ligatures w14:val="none"/>
        </w:rPr>
      </w:pPr>
    </w:p>
    <w:p w14:paraId="379B0375" w14:textId="3F3A38FD" w:rsidR="002A5401" w:rsidRPr="002A5401" w:rsidRDefault="002A5401" w:rsidP="002A5401">
      <w:pPr>
        <w:rPr>
          <w:rFonts w:ascii="Times New Roman" w:hAnsi="Times New Roman" w:cs="Times New Roman"/>
          <w:b/>
          <w:bCs/>
          <w:kern w:val="0"/>
          <w:lang w:eastAsia="en-US"/>
          <w14:ligatures w14:val="none"/>
        </w:rPr>
      </w:pPr>
      <w:r w:rsidRPr="002A5401">
        <w:rPr>
          <w:rFonts w:ascii="Times New Roman" w:hAnsi="Times New Roman" w:cs="Times New Roman"/>
          <w:b/>
          <w:bCs/>
          <w:kern w:val="0"/>
          <w:lang w:eastAsia="en-US"/>
          <w14:ligatures w14:val="none"/>
        </w:rPr>
        <w:t>Part I - Cross-Asset Impact of FOMC Announcements</w:t>
      </w:r>
    </w:p>
    <w:p w14:paraId="50E06E67"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lastRenderedPageBreak/>
        <w:t>1. Introduction: Monetary Policy as a Cross-Asset Catalyst</w:t>
      </w:r>
    </w:p>
    <w:p w14:paraId="4CF8498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Over the past two decades, FOMC announcements have evolved from technical policy statements into global financial events that instantaneously reprice virtually every traded asset class. Advances in high-frequency identification (HFI) and text-based analysis have enabled scholars to isolate the pure informational component of monetary policy surprises, separating them from macroeconomic news and risk-premium adjustments. Across a dataset of one hundred empirical papers compiled for this dissertation, encompassing studies of bonds, equities, credit, foreign exchange, commodities, real estate, and alternative assets, a remarkably consistent pattern emerges: monetary policy shocks transmit through multiple, interlinked valuation channels that jointly determine cross-asset correlations on announcement days.</w:t>
      </w:r>
    </w:p>
    <w:p w14:paraId="6C2966EE" w14:textId="52239B1F"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foundational work by Kuttner (2000) demonstrated that changes in the federal funds futures rate around FOMC meetings capture unexpected policy shifts that move the entire Treasury yield curve.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Sack, and Swanson (2005) extended this framework, identifying two orthogonal components of policy surprises</w:t>
      </w:r>
      <w:r w:rsidR="00896056">
        <w:rPr>
          <w:rFonts w:ascii="Times New Roman" w:hAnsi="Times New Roman" w:cs="Times New Roman"/>
        </w:rPr>
        <w:t xml:space="preserve"> - </w:t>
      </w:r>
      <w:r w:rsidRPr="002A5401">
        <w:rPr>
          <w:rFonts w:ascii="Times New Roman" w:hAnsi="Times New Roman" w:cs="Times New Roman"/>
        </w:rPr>
        <w:t>target (current-rate) and path (forward-guidance) shocks</w:t>
      </w:r>
      <w:r w:rsidR="00896056">
        <w:rPr>
          <w:rFonts w:ascii="Times New Roman" w:hAnsi="Times New Roman" w:cs="Times New Roman"/>
        </w:rPr>
        <w:t xml:space="preserve"> - </w:t>
      </w:r>
      <w:r w:rsidRPr="002A5401">
        <w:rPr>
          <w:rFonts w:ascii="Times New Roman" w:hAnsi="Times New Roman" w:cs="Times New Roman"/>
        </w:rPr>
        <w:t>which together explain most of the intraday variation in yields, equity prices, and the U.S. dollar. Subsequent research has shown that these shocks, along with unconventional policy signals such as quantitative easing (QE) or tightening (QT), exert far-reaching effects beyond the United States, shaping global risk premia and asset-allocation flows.</w:t>
      </w:r>
    </w:p>
    <w:p w14:paraId="0B5E9CB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Part I synthesizes how FOMC announcements affect each major asset class. Rather than cataloguing studies mechanically, the review distills common empirical regularities, methodological differences, and interpretive conflicts. Each subsection concludes with gaps that motivate the modeling strategy developed later in the dissertation and ultimately the proposed empirical focus on REITs.</w:t>
      </w:r>
    </w:p>
    <w:p w14:paraId="47AEF3D1" w14:textId="3869BEDD" w:rsidR="002A5401" w:rsidRPr="002A5401" w:rsidRDefault="002A5401" w:rsidP="002A5401">
      <w:pPr>
        <w:rPr>
          <w:rFonts w:ascii="Times New Roman" w:hAnsi="Times New Roman" w:cs="Times New Roman"/>
        </w:rPr>
      </w:pPr>
    </w:p>
    <w:p w14:paraId="1DCC82E0"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 Fixed-Income Markets and the Yield Curve</w:t>
      </w:r>
    </w:p>
    <w:p w14:paraId="49C59F1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2.1 Central Findings</w:t>
      </w:r>
    </w:p>
    <w:p w14:paraId="3D744B42" w14:textId="799A7FB8" w:rsidR="002A5401" w:rsidRPr="002A5401" w:rsidRDefault="002A5401" w:rsidP="002A5401">
      <w:pPr>
        <w:rPr>
          <w:rFonts w:ascii="Times New Roman" w:hAnsi="Times New Roman" w:cs="Times New Roman"/>
        </w:rPr>
      </w:pPr>
      <w:r w:rsidRPr="002A5401">
        <w:rPr>
          <w:rFonts w:ascii="Times New Roman" w:hAnsi="Times New Roman" w:cs="Times New Roman"/>
        </w:rPr>
        <w:t>The literature on interest-rate and yield-curve responses remains the empirical cornerstone of monetary-policy identification. Virtually all studies find that unexpected policy tightening raises yields across maturities, with the strongest effect at the front end for target shocks and at the belly or long end for guidance shocks. Event-study regressions using 30- to 120-minute windows show that a 25-basis-point hawkish surprise increases the two-year yield by roughly 10–12 basis points and the ten-year yield by 4</w:t>
      </w:r>
      <w:r w:rsidR="00896056">
        <w:rPr>
          <w:rFonts w:ascii="Times New Roman" w:hAnsi="Times New Roman" w:cs="Times New Roman"/>
        </w:rPr>
        <w:t xml:space="preserve"> - </w:t>
      </w:r>
      <w:r w:rsidRPr="002A5401">
        <w:rPr>
          <w:rFonts w:ascii="Times New Roman" w:hAnsi="Times New Roman" w:cs="Times New Roman"/>
        </w:rPr>
        <w:t>7 basis points on average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xml:space="preserve"> et al., 2005; Swanson &amp; Williams, 2014). These results are robust across futures contracts</w:t>
      </w:r>
      <w:r w:rsidR="00896056">
        <w:rPr>
          <w:rFonts w:ascii="Times New Roman" w:hAnsi="Times New Roman" w:cs="Times New Roman"/>
        </w:rPr>
        <w:t xml:space="preserve"> - </w:t>
      </w:r>
      <w:r w:rsidRPr="002A5401">
        <w:rPr>
          <w:rFonts w:ascii="Times New Roman" w:hAnsi="Times New Roman" w:cs="Times New Roman"/>
        </w:rPr>
        <w:t>federal funds, Eurodollar, and overnight index swaps (OIS)</w:t>
      </w:r>
      <w:r w:rsidR="00896056">
        <w:rPr>
          <w:rFonts w:ascii="Times New Roman" w:hAnsi="Times New Roman" w:cs="Times New Roman"/>
        </w:rPr>
        <w:t xml:space="preserve"> - </w:t>
      </w:r>
      <w:r w:rsidRPr="002A5401">
        <w:rPr>
          <w:rFonts w:ascii="Times New Roman" w:hAnsi="Times New Roman" w:cs="Times New Roman"/>
        </w:rPr>
        <w:t>and across sampling frequencies.</w:t>
      </w:r>
    </w:p>
    <w:p w14:paraId="3177F50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During the unconventional-policy era, Krishnamurthy and Vissing-Jørgensen (2011) and D’Amico and King (2013) showed that QE announcements compressed term premia through </w:t>
      </w:r>
      <w:r w:rsidRPr="002A5401">
        <w:rPr>
          <w:rFonts w:ascii="Times New Roman" w:hAnsi="Times New Roman" w:cs="Times New Roman"/>
        </w:rPr>
        <w:lastRenderedPageBreak/>
        <w:t xml:space="preserve">duration scarcity and safe-asset substitution. Yields fell most sharply </w:t>
      </w:r>
      <w:proofErr w:type="gramStart"/>
      <w:r w:rsidRPr="002A5401">
        <w:rPr>
          <w:rFonts w:ascii="Times New Roman" w:hAnsi="Times New Roman" w:cs="Times New Roman"/>
        </w:rPr>
        <w:t>at</w:t>
      </w:r>
      <w:proofErr w:type="gramEnd"/>
      <w:r w:rsidRPr="002A5401">
        <w:rPr>
          <w:rFonts w:ascii="Times New Roman" w:hAnsi="Times New Roman" w:cs="Times New Roman"/>
        </w:rPr>
        <w:t xml:space="preserve"> the ten- to thirty-year segment, confirming that large-scale asset purchases influence long rates beyond expectations of the short-rate path. QT and balance-sheet runoff episodes reversed part of this compression, steepening the curve as investors demanded higher term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for absorbing supply. Other studies decomposed yield changes into expected-short-rate and term-premium components using affine term-structure models (Adrian, Crump, &amp; Moench, 2013). Across the 57 yield-curve papers in the dataset, roughly two-thirds attribute the bulk of long-end movement to term-premium effects rather than pure expectation shifts.</w:t>
      </w:r>
    </w:p>
    <w:p w14:paraId="61FFBD0C"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2.2 Methodological Similarities and Differences</w:t>
      </w:r>
    </w:p>
    <w:p w14:paraId="2B04555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Most yield-curve papers employ either (a) intraday futures regressions that link price changes to FOMC shocks, or (b) VAR/local-projection frameworks that trace the persistence of those shocks over days or months. Despite common directionality, elasticities differ systematically:</w:t>
      </w:r>
    </w:p>
    <w:p w14:paraId="604ADE98" w14:textId="77777777" w:rsidR="002A5401" w:rsidRPr="002A5401" w:rsidRDefault="002A5401" w:rsidP="002A5401">
      <w:pPr>
        <w:numPr>
          <w:ilvl w:val="0"/>
          <w:numId w:val="45"/>
        </w:numPr>
        <w:rPr>
          <w:rFonts w:ascii="Times New Roman" w:hAnsi="Times New Roman" w:cs="Times New Roman"/>
        </w:rPr>
      </w:pPr>
      <w:r w:rsidRPr="002A5401">
        <w:rPr>
          <w:rFonts w:ascii="Times New Roman" w:hAnsi="Times New Roman" w:cs="Times New Roman"/>
        </w:rPr>
        <w:t>Shock construction. Futures-based target shocks capture immediate policy moves; OIS- or Eurodollar-based path shocks capture expected future policy. Studies combining both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xml:space="preserve"> et al., 2005; Cieslak &amp; Schrimpf, 2019) obtain steeper slope reactions than those using targets alone.</w:t>
      </w:r>
    </w:p>
    <w:p w14:paraId="334A4DF4" w14:textId="77777777" w:rsidR="002A5401" w:rsidRPr="002A5401" w:rsidRDefault="002A5401" w:rsidP="002A5401">
      <w:pPr>
        <w:numPr>
          <w:ilvl w:val="0"/>
          <w:numId w:val="45"/>
        </w:numPr>
        <w:rPr>
          <w:rFonts w:ascii="Times New Roman" w:hAnsi="Times New Roman" w:cs="Times New Roman"/>
        </w:rPr>
      </w:pPr>
      <w:r w:rsidRPr="002A5401">
        <w:rPr>
          <w:rFonts w:ascii="Times New Roman" w:hAnsi="Times New Roman" w:cs="Times New Roman"/>
        </w:rPr>
        <w:t>Window definition. Shorter windows (≤ 30 minutes) minimize contamination from macro data releases but miss presser-tone information; longer 120-minute windows pick up guidance and communication content, yielding larger long-end responses.</w:t>
      </w:r>
    </w:p>
    <w:p w14:paraId="449D5039" w14:textId="77777777" w:rsidR="002A5401" w:rsidRPr="002A5401" w:rsidRDefault="002A5401" w:rsidP="002A5401">
      <w:pPr>
        <w:numPr>
          <w:ilvl w:val="0"/>
          <w:numId w:val="45"/>
        </w:numPr>
        <w:rPr>
          <w:rFonts w:ascii="Times New Roman" w:hAnsi="Times New Roman" w:cs="Times New Roman"/>
        </w:rPr>
      </w:pPr>
      <w:r w:rsidRPr="002A5401">
        <w:rPr>
          <w:rFonts w:ascii="Times New Roman" w:hAnsi="Times New Roman" w:cs="Times New Roman"/>
        </w:rPr>
        <w:t>Sample regime. Pre-2008 samples emphasize conventional policy; post-2008 samples capture QE/QT dynamics and the zero-lower-bound environment, where yield responses depend on expectations about balance-sheet policy rather than target-rate moves.</w:t>
      </w:r>
    </w:p>
    <w:p w14:paraId="621B7897" w14:textId="77777777" w:rsidR="002A5401" w:rsidRPr="002A5401" w:rsidRDefault="002A5401" w:rsidP="002A5401">
      <w:pPr>
        <w:numPr>
          <w:ilvl w:val="0"/>
          <w:numId w:val="45"/>
        </w:numPr>
        <w:rPr>
          <w:rFonts w:ascii="Times New Roman" w:hAnsi="Times New Roman" w:cs="Times New Roman"/>
        </w:rPr>
      </w:pPr>
      <w:r w:rsidRPr="002A5401">
        <w:rPr>
          <w:rFonts w:ascii="Times New Roman" w:hAnsi="Times New Roman" w:cs="Times New Roman"/>
        </w:rPr>
        <w:t>Term-premium decomposition. Event-study and affine-model estimates differ in attribution: the former label long-end moves as path shocks, the latter as term-premium compression. Reconciling these remains a frontier issue.</w:t>
      </w:r>
    </w:p>
    <w:p w14:paraId="52EE298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2.3 Areas of Agreement</w:t>
      </w:r>
    </w:p>
    <w:p w14:paraId="15BCC0E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Across virtually all specifications, several consistent patterns hold:</w:t>
      </w:r>
    </w:p>
    <w:p w14:paraId="0540CD4A" w14:textId="77777777" w:rsidR="002A5401" w:rsidRPr="002A5401" w:rsidRDefault="002A5401" w:rsidP="002A5401">
      <w:pPr>
        <w:numPr>
          <w:ilvl w:val="0"/>
          <w:numId w:val="46"/>
        </w:numPr>
        <w:rPr>
          <w:rFonts w:ascii="Times New Roman" w:hAnsi="Times New Roman" w:cs="Times New Roman"/>
        </w:rPr>
      </w:pPr>
      <w:r w:rsidRPr="002A5401">
        <w:rPr>
          <w:rFonts w:ascii="Times New Roman" w:hAnsi="Times New Roman" w:cs="Times New Roman"/>
        </w:rPr>
        <w:t xml:space="preserve">Sign discipline: </w:t>
      </w:r>
      <w:proofErr w:type="gramStart"/>
      <w:r w:rsidRPr="002A5401">
        <w:rPr>
          <w:rFonts w:ascii="Times New Roman" w:hAnsi="Times New Roman" w:cs="Times New Roman"/>
        </w:rPr>
        <w:t>hawkish</w:t>
      </w:r>
      <w:proofErr w:type="gramEnd"/>
      <w:r w:rsidRPr="002A5401">
        <w:rPr>
          <w:rFonts w:ascii="Times New Roman" w:hAnsi="Times New Roman" w:cs="Times New Roman"/>
        </w:rPr>
        <w:t xml:space="preserve"> surprises raise yields; </w:t>
      </w:r>
      <w:proofErr w:type="gramStart"/>
      <w:r w:rsidRPr="002A5401">
        <w:rPr>
          <w:rFonts w:ascii="Times New Roman" w:hAnsi="Times New Roman" w:cs="Times New Roman"/>
        </w:rPr>
        <w:t>dovish</w:t>
      </w:r>
      <w:proofErr w:type="gramEnd"/>
      <w:r w:rsidRPr="002A5401">
        <w:rPr>
          <w:rFonts w:ascii="Times New Roman" w:hAnsi="Times New Roman" w:cs="Times New Roman"/>
        </w:rPr>
        <w:t xml:space="preserve"> surprises lower them.</w:t>
      </w:r>
    </w:p>
    <w:p w14:paraId="221036EC" w14:textId="77777777" w:rsidR="002A5401" w:rsidRPr="002A5401" w:rsidRDefault="002A5401" w:rsidP="002A5401">
      <w:pPr>
        <w:numPr>
          <w:ilvl w:val="0"/>
          <w:numId w:val="46"/>
        </w:numPr>
        <w:rPr>
          <w:rFonts w:ascii="Times New Roman" w:hAnsi="Times New Roman" w:cs="Times New Roman"/>
        </w:rPr>
      </w:pPr>
      <w:r w:rsidRPr="002A5401">
        <w:rPr>
          <w:rFonts w:ascii="Times New Roman" w:hAnsi="Times New Roman" w:cs="Times New Roman"/>
        </w:rPr>
        <w:t>Forward-guidance importance: path shocks explain more long-end variation than target shocks.</w:t>
      </w:r>
    </w:p>
    <w:p w14:paraId="6317C78F" w14:textId="1601F43A" w:rsidR="002A5401" w:rsidRPr="002A5401" w:rsidRDefault="002A5401" w:rsidP="002A5401">
      <w:pPr>
        <w:numPr>
          <w:ilvl w:val="0"/>
          <w:numId w:val="46"/>
        </w:numPr>
        <w:rPr>
          <w:rFonts w:ascii="Times New Roman" w:hAnsi="Times New Roman" w:cs="Times New Roman"/>
        </w:rPr>
      </w:pPr>
      <w:r w:rsidRPr="002A5401">
        <w:rPr>
          <w:rFonts w:ascii="Times New Roman" w:hAnsi="Times New Roman" w:cs="Times New Roman"/>
        </w:rPr>
        <w:t>QE compression: LSAP announcements lower ten-year yields by 10</w:t>
      </w:r>
      <w:r w:rsidR="00896056">
        <w:rPr>
          <w:rFonts w:ascii="Times New Roman" w:hAnsi="Times New Roman" w:cs="Times New Roman"/>
        </w:rPr>
        <w:t xml:space="preserve"> - </w:t>
      </w:r>
      <w:r w:rsidRPr="002A5401">
        <w:rPr>
          <w:rFonts w:ascii="Times New Roman" w:hAnsi="Times New Roman" w:cs="Times New Roman"/>
        </w:rPr>
        <w:t>20 basis points on average</w:t>
      </w:r>
      <w:r w:rsidR="00896056">
        <w:rPr>
          <w:rFonts w:ascii="Times New Roman" w:hAnsi="Times New Roman" w:cs="Times New Roman"/>
        </w:rPr>
        <w:t xml:space="preserve"> - </w:t>
      </w:r>
      <w:r w:rsidRPr="002A5401">
        <w:rPr>
          <w:rFonts w:ascii="Times New Roman" w:hAnsi="Times New Roman" w:cs="Times New Roman"/>
        </w:rPr>
        <w:t>effects that persist longer than conventional easing of similar magnitude.</w:t>
      </w:r>
    </w:p>
    <w:p w14:paraId="224FB243" w14:textId="77777777" w:rsidR="002A5401" w:rsidRPr="002A5401" w:rsidRDefault="002A5401" w:rsidP="002A5401">
      <w:pPr>
        <w:numPr>
          <w:ilvl w:val="0"/>
          <w:numId w:val="46"/>
        </w:numPr>
        <w:rPr>
          <w:rFonts w:ascii="Times New Roman" w:hAnsi="Times New Roman" w:cs="Times New Roman"/>
        </w:rPr>
      </w:pPr>
      <w:r w:rsidRPr="002A5401">
        <w:rPr>
          <w:rFonts w:ascii="Times New Roman" w:hAnsi="Times New Roman" w:cs="Times New Roman"/>
        </w:rPr>
        <w:t>State dependence: yield sensitivities are amplified in crisis and ZLB regimes when uncertainty is high and policy credibility is salient.</w:t>
      </w:r>
    </w:p>
    <w:p w14:paraId="66766AB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2.4 Key Conflicts</w:t>
      </w:r>
    </w:p>
    <w:p w14:paraId="67E9A98D" w14:textId="6F02A04E"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Despite broad agreement on direction, important interpretive disputes persist. One centers on whether observed long-end yield co-movements with equities reflect policy transmission or information revelation. Hansen and McMahon (2016) and Nakamura and Steinsson (2018), using text and SEP surprises, argue that part of the long-end rise on ostensibly hawkish days arises from </w:t>
      </w:r>
      <w:proofErr w:type="gramStart"/>
      <w:r w:rsidRPr="002A5401">
        <w:rPr>
          <w:rFonts w:ascii="Times New Roman" w:hAnsi="Times New Roman" w:cs="Times New Roman"/>
        </w:rPr>
        <w:t>positive growth</w:t>
      </w:r>
      <w:proofErr w:type="gramEnd"/>
      <w:r w:rsidRPr="002A5401">
        <w:rPr>
          <w:rFonts w:ascii="Times New Roman" w:hAnsi="Times New Roman" w:cs="Times New Roman"/>
        </w:rPr>
        <w:t xml:space="preserve"> news</w:t>
      </w:r>
      <w:r w:rsidR="00896056">
        <w:rPr>
          <w:rFonts w:ascii="Times New Roman" w:hAnsi="Times New Roman" w:cs="Times New Roman"/>
        </w:rPr>
        <w:t xml:space="preserve"> - </w:t>
      </w:r>
      <w:r w:rsidRPr="002A5401">
        <w:rPr>
          <w:rFonts w:ascii="Times New Roman" w:hAnsi="Times New Roman" w:cs="Times New Roman"/>
        </w:rPr>
        <w:t>an information (Delphic) effect</w:t>
      </w:r>
      <w:r w:rsidR="00896056">
        <w:rPr>
          <w:rFonts w:ascii="Times New Roman" w:hAnsi="Times New Roman" w:cs="Times New Roman"/>
        </w:rPr>
        <w:t xml:space="preserve"> - </w:t>
      </w:r>
      <w:r w:rsidRPr="002A5401">
        <w:rPr>
          <w:rFonts w:ascii="Times New Roman" w:hAnsi="Times New Roman" w:cs="Times New Roman"/>
        </w:rPr>
        <w:t xml:space="preserve">rather than tighter policy expectations. Others, such as Caldara and Herbst (2019), emphasize genuine policy shocks even after controlling </w:t>
      </w:r>
      <w:proofErr w:type="gramStart"/>
      <w:r w:rsidRPr="002A5401">
        <w:rPr>
          <w:rFonts w:ascii="Times New Roman" w:hAnsi="Times New Roman" w:cs="Times New Roman"/>
        </w:rPr>
        <w:t>for</w:t>
      </w:r>
      <w:proofErr w:type="gramEnd"/>
      <w:r w:rsidRPr="002A5401">
        <w:rPr>
          <w:rFonts w:ascii="Times New Roman" w:hAnsi="Times New Roman" w:cs="Times New Roman"/>
        </w:rPr>
        <w:t xml:space="preserve"> news. A second disagreement concerns the persistence of term-premium changes: some studies find near-permanent QE effects; others report partial reversal within months once macro fundamentals adjust.</w:t>
      </w:r>
    </w:p>
    <w:p w14:paraId="0A1A7EB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2.5 Research Gaps</w:t>
      </w:r>
    </w:p>
    <w:p w14:paraId="357BC29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Three gaps stand out.</w:t>
      </w:r>
    </w:p>
    <w:p w14:paraId="67E4F6B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First, few papers jointly identify policy and information shocks within a single high-frequency-text hybrid model; doing so would clarify the decomposition of yield movements.</w:t>
      </w:r>
    </w:p>
    <w:p w14:paraId="55D9BED8" w14:textId="3E0CBBC1" w:rsidR="002A5401" w:rsidRPr="002A5401" w:rsidRDefault="002A5401" w:rsidP="002A5401">
      <w:pPr>
        <w:rPr>
          <w:rFonts w:ascii="Times New Roman" w:hAnsi="Times New Roman" w:cs="Times New Roman"/>
        </w:rPr>
      </w:pPr>
      <w:r w:rsidRPr="002A5401">
        <w:rPr>
          <w:rFonts w:ascii="Times New Roman" w:hAnsi="Times New Roman" w:cs="Times New Roman"/>
        </w:rPr>
        <w:t>Second, the post-2015 era of administered rates</w:t>
      </w:r>
      <w:r w:rsidR="00896056">
        <w:rPr>
          <w:rFonts w:ascii="Times New Roman" w:hAnsi="Times New Roman" w:cs="Times New Roman"/>
        </w:rPr>
        <w:t xml:space="preserve"> - </w:t>
      </w:r>
      <w:r w:rsidRPr="002A5401">
        <w:rPr>
          <w:rFonts w:ascii="Times New Roman" w:hAnsi="Times New Roman" w:cs="Times New Roman"/>
        </w:rPr>
        <w:t>Interest on Reserve Balances (IORB) and the Overnight Reverse Repo (ON RRP) facility</w:t>
      </w:r>
      <w:r w:rsidR="00896056">
        <w:rPr>
          <w:rFonts w:ascii="Times New Roman" w:hAnsi="Times New Roman" w:cs="Times New Roman"/>
        </w:rPr>
        <w:t xml:space="preserve"> - </w:t>
      </w:r>
      <w:r w:rsidRPr="002A5401">
        <w:rPr>
          <w:rFonts w:ascii="Times New Roman" w:hAnsi="Times New Roman" w:cs="Times New Roman"/>
        </w:rPr>
        <w:t>has altered front-end mechanics, yet systematic measurement of this shift remains scarce.</w:t>
      </w:r>
    </w:p>
    <w:p w14:paraId="1D7B41A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Third, the connection between intraday yield responses and multi-month term-premium dynamics has not been bridged convincingly; integrating event-study shocks into local projections or monthly VARs could close this gap and link policy events more directly to duration-sensitive assets such as REITs.</w:t>
      </w:r>
    </w:p>
    <w:p w14:paraId="1C93888E" w14:textId="571996DD" w:rsidR="002A5401" w:rsidRPr="002A5401" w:rsidRDefault="002A5401" w:rsidP="002A5401">
      <w:pPr>
        <w:rPr>
          <w:rFonts w:ascii="Times New Roman" w:hAnsi="Times New Roman" w:cs="Times New Roman"/>
        </w:rPr>
      </w:pPr>
    </w:p>
    <w:p w14:paraId="62EA68FB"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3. Equity-Market Effects</w:t>
      </w:r>
    </w:p>
    <w:p w14:paraId="55CA444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3.1 Overview of Empirical Findings</w:t>
      </w:r>
    </w:p>
    <w:p w14:paraId="4BA9D1CC" w14:textId="46FB04C5" w:rsidR="002A5401" w:rsidRPr="002A5401" w:rsidRDefault="002A5401" w:rsidP="002A5401">
      <w:pPr>
        <w:rPr>
          <w:rFonts w:ascii="Times New Roman" w:hAnsi="Times New Roman" w:cs="Times New Roman"/>
        </w:rPr>
      </w:pPr>
      <w:r w:rsidRPr="002A5401">
        <w:rPr>
          <w:rFonts w:ascii="Times New Roman" w:hAnsi="Times New Roman" w:cs="Times New Roman"/>
        </w:rPr>
        <w:t>Across roughly fifty-five equity-market studies in the 100-paper dataset, the evidence is unequivocal that FOMC surprises exert economically and statistically significant effects on stock prices. In the canonical event-study design, hawkish monetary policy shocks</w:t>
      </w:r>
      <w:r w:rsidR="00896056">
        <w:rPr>
          <w:rFonts w:ascii="Times New Roman" w:hAnsi="Times New Roman" w:cs="Times New Roman"/>
        </w:rPr>
        <w:t xml:space="preserve"> - </w:t>
      </w:r>
      <w:r w:rsidRPr="002A5401">
        <w:rPr>
          <w:rFonts w:ascii="Times New Roman" w:hAnsi="Times New Roman" w:cs="Times New Roman"/>
        </w:rPr>
        <w:t>those that unexpectedly raise the policy rate or signal a steeper expected path</w:t>
      </w:r>
      <w:r w:rsidR="00896056">
        <w:rPr>
          <w:rFonts w:ascii="Times New Roman" w:hAnsi="Times New Roman" w:cs="Times New Roman"/>
        </w:rPr>
        <w:t xml:space="preserve"> - </w:t>
      </w:r>
      <w:r w:rsidRPr="002A5401">
        <w:rPr>
          <w:rFonts w:ascii="Times New Roman" w:hAnsi="Times New Roman" w:cs="Times New Roman"/>
        </w:rPr>
        <w:t xml:space="preserve">produce negative equity returns within minutes of the announcement. Conversely, dovish surprises, signaling future easing or additional balance-sheet support, generate positive abnormal returns (Gulley &amp; Sultan, 2003;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Sack, &amp; Swanson, 2005).</w:t>
      </w:r>
    </w:p>
    <w:p w14:paraId="4CE26AE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average sensitivity of the S&amp;P 500 to policy shocks is about −0.5 to −1 percent for each unexpected 25-basis-point tightening, though the magnitude varies by subsample and identification approach (Cieslak &amp; Schrimpf, 2019). During unconventional-policy periods, QE announcements triggered sustained rallies in equity indices well beyond the immediate event </w:t>
      </w:r>
      <w:r w:rsidRPr="002A5401">
        <w:rPr>
          <w:rFonts w:ascii="Times New Roman" w:hAnsi="Times New Roman" w:cs="Times New Roman"/>
        </w:rPr>
        <w:lastRenderedPageBreak/>
        <w:t>window, consistent with both discount-rate and risk-premium channels (Krishnamurthy &amp; Vissing-Jørgensen, 2011; Rogers, Scott, &amp; Wright, 2014).</w:t>
      </w:r>
    </w:p>
    <w:p w14:paraId="252D14E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3.2 Sectoral and Cross-Sectional Patterns</w:t>
      </w:r>
    </w:p>
    <w:p w14:paraId="4D88106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Sectoral heterogeneity is a defining feature of </w:t>
      </w:r>
      <w:proofErr w:type="gramStart"/>
      <w:r w:rsidRPr="002A5401">
        <w:rPr>
          <w:rFonts w:ascii="Times New Roman" w:hAnsi="Times New Roman" w:cs="Times New Roman"/>
        </w:rPr>
        <w:t>the literature</w:t>
      </w:r>
      <w:proofErr w:type="gramEnd"/>
      <w:r w:rsidRPr="002A5401">
        <w:rPr>
          <w:rFonts w:ascii="Times New Roman" w:hAnsi="Times New Roman" w:cs="Times New Roman"/>
        </w:rPr>
        <w:t>.</w:t>
      </w:r>
    </w:p>
    <w:p w14:paraId="77EB0102" w14:textId="77777777" w:rsidR="002A5401" w:rsidRPr="002A5401" w:rsidRDefault="002A5401" w:rsidP="002A5401">
      <w:pPr>
        <w:numPr>
          <w:ilvl w:val="0"/>
          <w:numId w:val="47"/>
        </w:numPr>
        <w:rPr>
          <w:rFonts w:ascii="Times New Roman" w:hAnsi="Times New Roman" w:cs="Times New Roman"/>
        </w:rPr>
      </w:pPr>
      <w:r w:rsidRPr="002A5401">
        <w:rPr>
          <w:rFonts w:ascii="Times New Roman" w:hAnsi="Times New Roman" w:cs="Times New Roman"/>
        </w:rPr>
        <w:t>Financial institutions show the largest negative beta to hawkish guidance because higher short-term funding costs compress net-interest margins and reduce leverage capacity (English et al., 2018).</w:t>
      </w:r>
    </w:p>
    <w:p w14:paraId="0D929AA6" w14:textId="77777777" w:rsidR="002A5401" w:rsidRPr="002A5401" w:rsidRDefault="002A5401" w:rsidP="002A5401">
      <w:pPr>
        <w:numPr>
          <w:ilvl w:val="0"/>
          <w:numId w:val="47"/>
        </w:numPr>
        <w:rPr>
          <w:rFonts w:ascii="Times New Roman" w:hAnsi="Times New Roman" w:cs="Times New Roman"/>
        </w:rPr>
      </w:pPr>
      <w:r w:rsidRPr="002A5401">
        <w:rPr>
          <w:rFonts w:ascii="Times New Roman" w:hAnsi="Times New Roman" w:cs="Times New Roman"/>
        </w:rPr>
        <w:t>Growth and technology firms, with long-duration cash flows, are highly sensitive to discount-rate changes; their valuations drop sharply on hawkish path shocks.</w:t>
      </w:r>
    </w:p>
    <w:p w14:paraId="4C437B97" w14:textId="4F3A30B5" w:rsidR="002A5401" w:rsidRPr="002A5401" w:rsidRDefault="002A5401" w:rsidP="002A5401">
      <w:pPr>
        <w:numPr>
          <w:ilvl w:val="0"/>
          <w:numId w:val="47"/>
        </w:numPr>
        <w:rPr>
          <w:rFonts w:ascii="Times New Roman" w:hAnsi="Times New Roman" w:cs="Times New Roman"/>
        </w:rPr>
      </w:pPr>
      <w:r w:rsidRPr="002A5401">
        <w:rPr>
          <w:rFonts w:ascii="Times New Roman" w:hAnsi="Times New Roman" w:cs="Times New Roman"/>
        </w:rPr>
        <w:t xml:space="preserve">Cyclical and commodity-linked sectors sometimes rise on hawkish days when </w:t>
      </w:r>
      <w:proofErr w:type="gramStart"/>
      <w:r w:rsidRPr="002A5401">
        <w:rPr>
          <w:rFonts w:ascii="Times New Roman" w:hAnsi="Times New Roman" w:cs="Times New Roman"/>
        </w:rPr>
        <w:t>the communication</w:t>
      </w:r>
      <w:proofErr w:type="gramEnd"/>
      <w:r w:rsidRPr="002A5401">
        <w:rPr>
          <w:rFonts w:ascii="Times New Roman" w:hAnsi="Times New Roman" w:cs="Times New Roman"/>
        </w:rPr>
        <w:t xml:space="preserve"> conveys stronger expected demand</w:t>
      </w:r>
      <w:r w:rsidR="00896056">
        <w:rPr>
          <w:rFonts w:ascii="Times New Roman" w:hAnsi="Times New Roman" w:cs="Times New Roman"/>
        </w:rPr>
        <w:t xml:space="preserve"> - </w:t>
      </w:r>
      <w:r w:rsidRPr="002A5401">
        <w:rPr>
          <w:rFonts w:ascii="Times New Roman" w:hAnsi="Times New Roman" w:cs="Times New Roman"/>
        </w:rPr>
        <w:t>evidence of an information (Delphic) effect (Nakamura &amp; Steinsson, 2018).</w:t>
      </w:r>
    </w:p>
    <w:p w14:paraId="53E92CEA" w14:textId="77777777" w:rsidR="002A5401" w:rsidRPr="002A5401" w:rsidRDefault="002A5401" w:rsidP="002A5401">
      <w:pPr>
        <w:numPr>
          <w:ilvl w:val="0"/>
          <w:numId w:val="47"/>
        </w:numPr>
        <w:rPr>
          <w:rFonts w:ascii="Times New Roman" w:hAnsi="Times New Roman" w:cs="Times New Roman"/>
        </w:rPr>
      </w:pPr>
      <w:r w:rsidRPr="002A5401">
        <w:rPr>
          <w:rFonts w:ascii="Times New Roman" w:hAnsi="Times New Roman" w:cs="Times New Roman"/>
        </w:rPr>
        <w:t>REITs and utilities behave as quasi-bond proxies, typically falling with long-term yields and recovering during QE episodes, foreshadowing the dedicated REIT literature reviewed later.</w:t>
      </w:r>
    </w:p>
    <w:p w14:paraId="336CFDC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3.3 Methodological Convergence and Divergence</w:t>
      </w:r>
    </w:p>
    <w:p w14:paraId="77507CE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Most equity papers use high-frequency identification (HFI) to isolate policy surprises, but they differ in several key respects:</w:t>
      </w:r>
    </w:p>
    <w:p w14:paraId="65D594CB" w14:textId="77777777" w:rsidR="002A5401" w:rsidRPr="002A5401" w:rsidRDefault="002A5401" w:rsidP="002A5401">
      <w:pPr>
        <w:numPr>
          <w:ilvl w:val="0"/>
          <w:numId w:val="48"/>
        </w:numPr>
        <w:rPr>
          <w:rFonts w:ascii="Times New Roman" w:hAnsi="Times New Roman" w:cs="Times New Roman"/>
        </w:rPr>
      </w:pPr>
      <w:r w:rsidRPr="002A5401">
        <w:rPr>
          <w:rFonts w:ascii="Times New Roman" w:hAnsi="Times New Roman" w:cs="Times New Roman"/>
        </w:rPr>
        <w:t>Window length and inclusion of the press conference.</w:t>
      </w:r>
      <w:r w:rsidRPr="002A5401">
        <w:rPr>
          <w:rFonts w:ascii="Times New Roman" w:hAnsi="Times New Roman" w:cs="Times New Roman"/>
        </w:rPr>
        <w:br/>
        <w:t>Studies that include the full statement-plus-presser window attribute a larger share of equity variation to guidance and information shocks (Cieslak &amp; Schrimpf, 2019).</w:t>
      </w:r>
    </w:p>
    <w:p w14:paraId="4DBA23F6" w14:textId="77777777" w:rsidR="002A5401" w:rsidRPr="002A5401" w:rsidRDefault="002A5401" w:rsidP="002A5401">
      <w:pPr>
        <w:numPr>
          <w:ilvl w:val="0"/>
          <w:numId w:val="48"/>
        </w:numPr>
        <w:rPr>
          <w:rFonts w:ascii="Times New Roman" w:hAnsi="Times New Roman" w:cs="Times New Roman"/>
        </w:rPr>
      </w:pPr>
      <w:r w:rsidRPr="002A5401">
        <w:rPr>
          <w:rFonts w:ascii="Times New Roman" w:hAnsi="Times New Roman" w:cs="Times New Roman"/>
        </w:rPr>
        <w:t>Shock construction.</w:t>
      </w:r>
      <w:r w:rsidRPr="002A5401">
        <w:rPr>
          <w:rFonts w:ascii="Times New Roman" w:hAnsi="Times New Roman" w:cs="Times New Roman"/>
        </w:rPr>
        <w:br/>
        <w:t xml:space="preserve">Some rely on </w:t>
      </w:r>
      <w:proofErr w:type="gramStart"/>
      <w:r w:rsidRPr="002A5401">
        <w:rPr>
          <w:rFonts w:ascii="Times New Roman" w:hAnsi="Times New Roman" w:cs="Times New Roman"/>
        </w:rPr>
        <w:t>federal-funds</w:t>
      </w:r>
      <w:proofErr w:type="gramEnd"/>
      <w:r w:rsidRPr="002A5401">
        <w:rPr>
          <w:rFonts w:ascii="Times New Roman" w:hAnsi="Times New Roman" w:cs="Times New Roman"/>
        </w:rPr>
        <w:t xml:space="preserve"> futures; others on OIS or Eurodollar strips. The broader the horizon captured, the more long-duration equities respond.</w:t>
      </w:r>
    </w:p>
    <w:p w14:paraId="790263A3" w14:textId="77777777" w:rsidR="002A5401" w:rsidRPr="002A5401" w:rsidRDefault="002A5401" w:rsidP="002A5401">
      <w:pPr>
        <w:numPr>
          <w:ilvl w:val="0"/>
          <w:numId w:val="48"/>
        </w:numPr>
        <w:rPr>
          <w:rFonts w:ascii="Times New Roman" w:hAnsi="Times New Roman" w:cs="Times New Roman"/>
        </w:rPr>
      </w:pPr>
      <w:r w:rsidRPr="002A5401">
        <w:rPr>
          <w:rFonts w:ascii="Times New Roman" w:hAnsi="Times New Roman" w:cs="Times New Roman"/>
        </w:rPr>
        <w:t>Control variables.</w:t>
      </w:r>
      <w:r w:rsidRPr="002A5401">
        <w:rPr>
          <w:rFonts w:ascii="Times New Roman" w:hAnsi="Times New Roman" w:cs="Times New Roman"/>
        </w:rPr>
        <w:br/>
        <w:t xml:space="preserve">Designs that </w:t>
      </w:r>
      <w:proofErr w:type="gramStart"/>
      <w:r w:rsidRPr="002A5401">
        <w:rPr>
          <w:rFonts w:ascii="Times New Roman" w:hAnsi="Times New Roman" w:cs="Times New Roman"/>
        </w:rPr>
        <w:t>control for</w:t>
      </w:r>
      <w:proofErr w:type="gramEnd"/>
      <w:r w:rsidRPr="002A5401">
        <w:rPr>
          <w:rFonts w:ascii="Times New Roman" w:hAnsi="Times New Roman" w:cs="Times New Roman"/>
        </w:rPr>
        <w:t xml:space="preserve"> contemporaneous changes in implied volatility (VIX) and liquidity find somewhat smaller raw coefficients, indicating that part of the announcement effect operates through volatility-risk channels.</w:t>
      </w:r>
    </w:p>
    <w:p w14:paraId="6BB56B29" w14:textId="77777777" w:rsidR="002A5401" w:rsidRPr="002A5401" w:rsidRDefault="002A5401" w:rsidP="002A5401">
      <w:pPr>
        <w:numPr>
          <w:ilvl w:val="0"/>
          <w:numId w:val="48"/>
        </w:numPr>
        <w:rPr>
          <w:rFonts w:ascii="Times New Roman" w:hAnsi="Times New Roman" w:cs="Times New Roman"/>
        </w:rPr>
      </w:pPr>
      <w:r w:rsidRPr="002A5401">
        <w:rPr>
          <w:rFonts w:ascii="Times New Roman" w:hAnsi="Times New Roman" w:cs="Times New Roman"/>
        </w:rPr>
        <w:t>Time-period heterogeneity.</w:t>
      </w:r>
      <w:r w:rsidRPr="002A5401">
        <w:rPr>
          <w:rFonts w:ascii="Times New Roman" w:hAnsi="Times New Roman" w:cs="Times New Roman"/>
        </w:rPr>
        <w:br/>
        <w:t>The pre-2008 sample highlights conventional policy; post-2008 emphasizes QE/QT and the ZLB. Equity responses are roughly twice as large during QE regimes, reflecting risk-premium compression and reduced discount-rate uncertainty.</w:t>
      </w:r>
    </w:p>
    <w:p w14:paraId="29DCE2F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3.4 Areas of Broad Agreement</w:t>
      </w:r>
    </w:p>
    <w:p w14:paraId="19FC7DF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Despite these methodological differences, five regularities stand out across studies:</w:t>
      </w:r>
    </w:p>
    <w:p w14:paraId="067A45B4" w14:textId="77777777" w:rsidR="002A5401" w:rsidRPr="002A5401" w:rsidRDefault="002A5401" w:rsidP="002A5401">
      <w:pPr>
        <w:numPr>
          <w:ilvl w:val="0"/>
          <w:numId w:val="49"/>
        </w:numPr>
        <w:rPr>
          <w:rFonts w:ascii="Times New Roman" w:hAnsi="Times New Roman" w:cs="Times New Roman"/>
        </w:rPr>
      </w:pPr>
      <w:r w:rsidRPr="002A5401">
        <w:rPr>
          <w:rFonts w:ascii="Times New Roman" w:hAnsi="Times New Roman" w:cs="Times New Roman"/>
        </w:rPr>
        <w:t>Directionality: tightening shocks depress equity indices; easing or QE lifts them.</w:t>
      </w:r>
    </w:p>
    <w:p w14:paraId="1BD0C85C" w14:textId="77777777" w:rsidR="002A5401" w:rsidRPr="002A5401" w:rsidRDefault="002A5401" w:rsidP="002A5401">
      <w:pPr>
        <w:numPr>
          <w:ilvl w:val="0"/>
          <w:numId w:val="49"/>
        </w:numPr>
        <w:rPr>
          <w:rFonts w:ascii="Times New Roman" w:hAnsi="Times New Roman" w:cs="Times New Roman"/>
        </w:rPr>
      </w:pPr>
      <w:r w:rsidRPr="002A5401">
        <w:rPr>
          <w:rFonts w:ascii="Times New Roman" w:hAnsi="Times New Roman" w:cs="Times New Roman"/>
        </w:rPr>
        <w:t>Guidance dominates target: the forward-guidance (path) component explains more of the equity response than the immediate rate change.</w:t>
      </w:r>
    </w:p>
    <w:p w14:paraId="33A32D37" w14:textId="77777777" w:rsidR="002A5401" w:rsidRPr="002A5401" w:rsidRDefault="002A5401" w:rsidP="002A5401">
      <w:pPr>
        <w:numPr>
          <w:ilvl w:val="0"/>
          <w:numId w:val="49"/>
        </w:numPr>
        <w:rPr>
          <w:rFonts w:ascii="Times New Roman" w:hAnsi="Times New Roman" w:cs="Times New Roman"/>
        </w:rPr>
      </w:pPr>
      <w:r w:rsidRPr="002A5401">
        <w:rPr>
          <w:rFonts w:ascii="Times New Roman" w:hAnsi="Times New Roman" w:cs="Times New Roman"/>
        </w:rPr>
        <w:t>Information matters: when statements reveal stronger growth, equities can rise even as yields climb.</w:t>
      </w:r>
    </w:p>
    <w:p w14:paraId="160A6EE0" w14:textId="77777777" w:rsidR="002A5401" w:rsidRPr="002A5401" w:rsidRDefault="002A5401" w:rsidP="002A5401">
      <w:pPr>
        <w:numPr>
          <w:ilvl w:val="0"/>
          <w:numId w:val="49"/>
        </w:numPr>
        <w:rPr>
          <w:rFonts w:ascii="Times New Roman" w:hAnsi="Times New Roman" w:cs="Times New Roman"/>
        </w:rPr>
      </w:pPr>
      <w:r w:rsidRPr="002A5401">
        <w:rPr>
          <w:rFonts w:ascii="Times New Roman" w:hAnsi="Times New Roman" w:cs="Times New Roman"/>
        </w:rPr>
        <w:t>QE reduces risk premia: LSAP announcements boost equities by lowering term and equity-risk premia (Krishnamurthy &amp; Vissing-Jørgensen, 2011).</w:t>
      </w:r>
    </w:p>
    <w:p w14:paraId="294C3D53" w14:textId="77777777" w:rsidR="002A5401" w:rsidRPr="002A5401" w:rsidRDefault="002A5401" w:rsidP="002A5401">
      <w:pPr>
        <w:numPr>
          <w:ilvl w:val="0"/>
          <w:numId w:val="49"/>
        </w:numPr>
        <w:rPr>
          <w:rFonts w:ascii="Times New Roman" w:hAnsi="Times New Roman" w:cs="Times New Roman"/>
        </w:rPr>
      </w:pPr>
      <w:r w:rsidRPr="002A5401">
        <w:rPr>
          <w:rFonts w:ascii="Times New Roman" w:hAnsi="Times New Roman" w:cs="Times New Roman"/>
        </w:rPr>
        <w:t>State dependence: reactions are magnified during high-volatility or liquidity-strained regimes.</w:t>
      </w:r>
    </w:p>
    <w:p w14:paraId="6CD96A9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3.5 Conflicts in Interpretation</w:t>
      </w:r>
    </w:p>
    <w:p w14:paraId="6BDB5A6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main conceptual divide concerns whether positive co-movements of yields and equities reflect a growth-information channel or a signaling channel.</w:t>
      </w:r>
    </w:p>
    <w:p w14:paraId="592908B3" w14:textId="77777777" w:rsidR="002A5401" w:rsidRPr="002A5401" w:rsidRDefault="002A5401" w:rsidP="002A5401">
      <w:pPr>
        <w:numPr>
          <w:ilvl w:val="0"/>
          <w:numId w:val="50"/>
        </w:numPr>
        <w:rPr>
          <w:rFonts w:ascii="Times New Roman" w:hAnsi="Times New Roman" w:cs="Times New Roman"/>
        </w:rPr>
      </w:pPr>
      <w:r w:rsidRPr="002A5401">
        <w:rPr>
          <w:rFonts w:ascii="Times New Roman" w:hAnsi="Times New Roman" w:cs="Times New Roman"/>
        </w:rPr>
        <w:t>Information-effect camp: Textual and SEP-based analyses (Hansen &amp; McMahon, 2016; Nakamura &amp; Steinsson, 2018) show that when the Fed conveys optimism about real activity, equities and yields rise together, implying improved expectations rather than policy tightening.</w:t>
      </w:r>
    </w:p>
    <w:p w14:paraId="163F93AC" w14:textId="77777777" w:rsidR="002A5401" w:rsidRPr="002A5401" w:rsidRDefault="002A5401" w:rsidP="002A5401">
      <w:pPr>
        <w:numPr>
          <w:ilvl w:val="0"/>
          <w:numId w:val="50"/>
        </w:numPr>
        <w:rPr>
          <w:rFonts w:ascii="Times New Roman" w:hAnsi="Times New Roman" w:cs="Times New Roman"/>
        </w:rPr>
      </w:pPr>
      <w:r w:rsidRPr="002A5401">
        <w:rPr>
          <w:rFonts w:ascii="Times New Roman" w:hAnsi="Times New Roman" w:cs="Times New Roman"/>
        </w:rPr>
        <w:t>Signaling camp: Event-only designs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xml:space="preserve"> et al., 2005) attribute the same pattern to expectations of future accommodation.</w:t>
      </w:r>
    </w:p>
    <w:p w14:paraId="2010DC64" w14:textId="635CAB44" w:rsidR="002A5401" w:rsidRPr="002A5401" w:rsidRDefault="002A5401" w:rsidP="002A5401">
      <w:pPr>
        <w:rPr>
          <w:rFonts w:ascii="Times New Roman" w:hAnsi="Times New Roman" w:cs="Times New Roman"/>
        </w:rPr>
      </w:pPr>
      <w:r w:rsidRPr="002A5401">
        <w:rPr>
          <w:rFonts w:ascii="Times New Roman" w:hAnsi="Times New Roman" w:cs="Times New Roman"/>
        </w:rPr>
        <w:t>Resolution requires joint estimation of HFI and textual measures</w:t>
      </w:r>
      <w:r w:rsidR="00896056">
        <w:rPr>
          <w:rFonts w:ascii="Times New Roman" w:hAnsi="Times New Roman" w:cs="Times New Roman"/>
        </w:rPr>
        <w:t xml:space="preserve"> - </w:t>
      </w:r>
      <w:r w:rsidRPr="002A5401">
        <w:rPr>
          <w:rFonts w:ascii="Times New Roman" w:hAnsi="Times New Roman" w:cs="Times New Roman"/>
        </w:rPr>
        <w:t>a gap most existing studies leave open.</w:t>
      </w:r>
    </w:p>
    <w:p w14:paraId="41E3B6E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 secondary conflict concerns persistence. Intraday and daily event studies suggest partial </w:t>
      </w:r>
      <w:proofErr w:type="gramStart"/>
      <w:r w:rsidRPr="002A5401">
        <w:rPr>
          <w:rFonts w:ascii="Times New Roman" w:hAnsi="Times New Roman" w:cs="Times New Roman"/>
        </w:rPr>
        <w:t>mean</w:t>
      </w:r>
      <w:proofErr w:type="gramEnd"/>
      <w:r w:rsidRPr="002A5401">
        <w:rPr>
          <w:rFonts w:ascii="Times New Roman" w:hAnsi="Times New Roman" w:cs="Times New Roman"/>
        </w:rPr>
        <w:t xml:space="preserve"> reversion, while local-projection or VAR frameworks find lasting multi-day effects. This difference largely reflects horizon choice and conditioning variables.</w:t>
      </w:r>
    </w:p>
    <w:p w14:paraId="57ED90B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3.6 Research Gaps</w:t>
      </w:r>
    </w:p>
    <w:p w14:paraId="4FD4B40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Future work can advance </w:t>
      </w:r>
      <w:proofErr w:type="gramStart"/>
      <w:r w:rsidRPr="002A5401">
        <w:rPr>
          <w:rFonts w:ascii="Times New Roman" w:hAnsi="Times New Roman" w:cs="Times New Roman"/>
        </w:rPr>
        <w:t>the literature</w:t>
      </w:r>
      <w:proofErr w:type="gramEnd"/>
      <w:r w:rsidRPr="002A5401">
        <w:rPr>
          <w:rFonts w:ascii="Times New Roman" w:hAnsi="Times New Roman" w:cs="Times New Roman"/>
        </w:rPr>
        <w:t xml:space="preserve"> in several directions:</w:t>
      </w:r>
    </w:p>
    <w:p w14:paraId="2E0BA007" w14:textId="77777777" w:rsidR="002A5401" w:rsidRPr="002A5401" w:rsidRDefault="002A5401" w:rsidP="002A5401">
      <w:pPr>
        <w:numPr>
          <w:ilvl w:val="0"/>
          <w:numId w:val="51"/>
        </w:numPr>
        <w:rPr>
          <w:rFonts w:ascii="Times New Roman" w:hAnsi="Times New Roman" w:cs="Times New Roman"/>
        </w:rPr>
      </w:pPr>
      <w:r w:rsidRPr="002A5401">
        <w:rPr>
          <w:rFonts w:ascii="Times New Roman" w:hAnsi="Times New Roman" w:cs="Times New Roman"/>
        </w:rPr>
        <w:t>Integrate target, path, and information shocks within a single HFI + NLP model.</w:t>
      </w:r>
    </w:p>
    <w:p w14:paraId="0F06EF75" w14:textId="77777777" w:rsidR="002A5401" w:rsidRPr="002A5401" w:rsidRDefault="002A5401" w:rsidP="002A5401">
      <w:pPr>
        <w:numPr>
          <w:ilvl w:val="0"/>
          <w:numId w:val="51"/>
        </w:numPr>
        <w:rPr>
          <w:rFonts w:ascii="Times New Roman" w:hAnsi="Times New Roman" w:cs="Times New Roman"/>
        </w:rPr>
      </w:pPr>
      <w:r w:rsidRPr="002A5401">
        <w:rPr>
          <w:rFonts w:ascii="Times New Roman" w:hAnsi="Times New Roman" w:cs="Times New Roman"/>
        </w:rPr>
        <w:t>Trace event-day shocks through short-horizon local projections to assess durability.</w:t>
      </w:r>
    </w:p>
    <w:p w14:paraId="181D16DA" w14:textId="472DF940" w:rsidR="002A5401" w:rsidRPr="002A5401" w:rsidRDefault="002A5401" w:rsidP="002A5401">
      <w:pPr>
        <w:numPr>
          <w:ilvl w:val="0"/>
          <w:numId w:val="51"/>
        </w:numPr>
        <w:rPr>
          <w:rFonts w:ascii="Times New Roman" w:hAnsi="Times New Roman" w:cs="Times New Roman"/>
        </w:rPr>
      </w:pPr>
      <w:r w:rsidRPr="002A5401">
        <w:rPr>
          <w:rFonts w:ascii="Times New Roman" w:hAnsi="Times New Roman" w:cs="Times New Roman"/>
        </w:rPr>
        <w:t>Disaggregate equity responses by firm-level characteristics</w:t>
      </w:r>
      <w:r w:rsidR="00896056">
        <w:rPr>
          <w:rFonts w:ascii="Times New Roman" w:hAnsi="Times New Roman" w:cs="Times New Roman"/>
        </w:rPr>
        <w:t xml:space="preserve"> - </w:t>
      </w:r>
      <w:r w:rsidRPr="002A5401">
        <w:rPr>
          <w:rFonts w:ascii="Times New Roman" w:hAnsi="Times New Roman" w:cs="Times New Roman"/>
        </w:rPr>
        <w:t>duration, leverage, and external-finance dependence</w:t>
      </w:r>
      <w:r w:rsidR="00896056">
        <w:rPr>
          <w:rFonts w:ascii="Times New Roman" w:hAnsi="Times New Roman" w:cs="Times New Roman"/>
        </w:rPr>
        <w:t xml:space="preserve"> - </w:t>
      </w:r>
      <w:r w:rsidRPr="002A5401">
        <w:rPr>
          <w:rFonts w:ascii="Times New Roman" w:hAnsi="Times New Roman" w:cs="Times New Roman"/>
        </w:rPr>
        <w:t>to map structural heterogeneity.</w:t>
      </w:r>
    </w:p>
    <w:p w14:paraId="2F025747" w14:textId="77777777" w:rsidR="002A5401" w:rsidRPr="002A5401" w:rsidRDefault="002A5401" w:rsidP="002A5401">
      <w:pPr>
        <w:numPr>
          <w:ilvl w:val="0"/>
          <w:numId w:val="51"/>
        </w:numPr>
        <w:rPr>
          <w:rFonts w:ascii="Times New Roman" w:hAnsi="Times New Roman" w:cs="Times New Roman"/>
        </w:rPr>
      </w:pPr>
      <w:r w:rsidRPr="002A5401">
        <w:rPr>
          <w:rFonts w:ascii="Times New Roman" w:hAnsi="Times New Roman" w:cs="Times New Roman"/>
        </w:rPr>
        <w:lastRenderedPageBreak/>
        <w:t>Explicitly connect QE/QT balance-sheet policies to equity risk-premium dynamics using affine-term-structure or dividend-discount frameworks, with special attention to interest-sensitive sectors such as REITs and utilities.</w:t>
      </w:r>
    </w:p>
    <w:p w14:paraId="07DB0D79" w14:textId="3EECDD76" w:rsidR="002A5401" w:rsidRPr="002A5401" w:rsidRDefault="002A5401" w:rsidP="002A5401">
      <w:pPr>
        <w:rPr>
          <w:rFonts w:ascii="Times New Roman" w:hAnsi="Times New Roman" w:cs="Times New Roman"/>
          <w:b/>
          <w:bCs/>
        </w:rPr>
      </w:pPr>
    </w:p>
    <w:p w14:paraId="79A083CA"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4. Credit Spreads and the Banking Sector</w:t>
      </w:r>
    </w:p>
    <w:p w14:paraId="1DECDC5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4.1 Key Empirical Findings</w:t>
      </w:r>
    </w:p>
    <w:p w14:paraId="22CE988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Roughly forty studies in the dataset analyze corporate-bond spreads, bank-funding costs, and credit-supply effects of FOMC announcements. The evidence is strikingly consistent: hawkish policy surprises widen credit spreads, while dovish or QE-related news compresses them. These effects appear within hours and often persist for several days.</w:t>
      </w:r>
    </w:p>
    <w:p w14:paraId="6ABF3EF9" w14:textId="632703CD" w:rsidR="002A5401" w:rsidRPr="002A5401" w:rsidRDefault="002A5401" w:rsidP="002A5401">
      <w:pPr>
        <w:rPr>
          <w:rFonts w:ascii="Times New Roman" w:hAnsi="Times New Roman" w:cs="Times New Roman"/>
        </w:rPr>
      </w:pPr>
      <w:r w:rsidRPr="002A5401">
        <w:rPr>
          <w:rFonts w:ascii="Times New Roman" w:hAnsi="Times New Roman" w:cs="Times New Roman"/>
        </w:rPr>
        <w:t>Corporate-bond event studies report average spread widenings of 4</w:t>
      </w:r>
      <w:r w:rsidR="00896056">
        <w:rPr>
          <w:rFonts w:ascii="Times New Roman" w:hAnsi="Times New Roman" w:cs="Times New Roman"/>
        </w:rPr>
        <w:t xml:space="preserve"> - </w:t>
      </w:r>
      <w:r w:rsidRPr="002A5401">
        <w:rPr>
          <w:rFonts w:ascii="Times New Roman" w:hAnsi="Times New Roman" w:cs="Times New Roman"/>
        </w:rPr>
        <w:t>8 basis points in investment-grade and 10</w:t>
      </w:r>
      <w:r w:rsidR="00896056">
        <w:rPr>
          <w:rFonts w:ascii="Times New Roman" w:hAnsi="Times New Roman" w:cs="Times New Roman"/>
        </w:rPr>
        <w:t xml:space="preserve"> - </w:t>
      </w:r>
      <w:r w:rsidRPr="002A5401">
        <w:rPr>
          <w:rFonts w:ascii="Times New Roman" w:hAnsi="Times New Roman" w:cs="Times New Roman"/>
        </w:rPr>
        <w:t>15 basis points in high-yield indices for a standard hawkish shock (Rogers et al., 2014). Bank CDS contracts widen by similar magnitudes, reflecting increased funding costs and higher perceived default risk. During QE programs, the opposite pattern dominates</w:t>
      </w:r>
      <w:r w:rsidR="00896056">
        <w:rPr>
          <w:rFonts w:ascii="Times New Roman" w:hAnsi="Times New Roman" w:cs="Times New Roman"/>
        </w:rPr>
        <w:t xml:space="preserve"> - </w:t>
      </w:r>
      <w:r w:rsidRPr="002A5401">
        <w:rPr>
          <w:rFonts w:ascii="Times New Roman" w:hAnsi="Times New Roman" w:cs="Times New Roman"/>
        </w:rPr>
        <w:t>spreads narrow sharply and bank equities outperform, consistent with portfolio-rebalancing and safety-scarcity channels (Krishnamurthy &amp; Vissing-Jørgensen, 2011).</w:t>
      </w:r>
    </w:p>
    <w:p w14:paraId="45DFC9E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4.2 Transmission through the Bank-Lending Channel</w:t>
      </w:r>
    </w:p>
    <w:p w14:paraId="3552390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banking system plays a dual role in credit transmission. Event-day studies find immediate market-pricing effects (spreads and CDS), while quarterly panel analyses document slower adjustments in loan growth and credit supply. English et al. (2018) show that a 25-basis-point tightening reduces bank loan growth by about 1 percentage point over the following quarter, with larger effects for less-capitalized banks. Cross-bank heterogeneity suggests that capital, liquidity, and funding structure shape the sensitivity of lending to FOMC shocks.</w:t>
      </w:r>
    </w:p>
    <w:p w14:paraId="2E638B2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4.3 Role of Balance-Sheet Policy</w:t>
      </w:r>
    </w:p>
    <w:p w14:paraId="3BDE326E" w14:textId="566E285A" w:rsidR="002A5401" w:rsidRPr="002A5401" w:rsidRDefault="002A5401" w:rsidP="002A5401">
      <w:pPr>
        <w:rPr>
          <w:rFonts w:ascii="Times New Roman" w:hAnsi="Times New Roman" w:cs="Times New Roman"/>
        </w:rPr>
      </w:pPr>
      <w:r w:rsidRPr="002A5401">
        <w:rPr>
          <w:rFonts w:ascii="Times New Roman" w:hAnsi="Times New Roman" w:cs="Times New Roman"/>
        </w:rPr>
        <w:t>During QE1</w:t>
      </w:r>
      <w:r w:rsidR="00896056">
        <w:rPr>
          <w:rFonts w:ascii="Times New Roman" w:hAnsi="Times New Roman" w:cs="Times New Roman"/>
        </w:rPr>
        <w:t xml:space="preserve"> - </w:t>
      </w:r>
      <w:r w:rsidRPr="002A5401">
        <w:rPr>
          <w:rFonts w:ascii="Times New Roman" w:hAnsi="Times New Roman" w:cs="Times New Roman"/>
        </w:rPr>
        <w:t xml:space="preserve">3, large-scale purchases of Treasuries and MBS compressed risk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in both government and private credit markets. Studies find that LSAP announcements reduced corporate yields beyond what short-rate expectations could explain</w:t>
      </w:r>
      <w:r w:rsidR="00896056">
        <w:rPr>
          <w:rFonts w:ascii="Times New Roman" w:hAnsi="Times New Roman" w:cs="Times New Roman"/>
        </w:rPr>
        <w:t xml:space="preserve"> - </w:t>
      </w:r>
      <w:r w:rsidRPr="002A5401">
        <w:rPr>
          <w:rFonts w:ascii="Times New Roman" w:hAnsi="Times New Roman" w:cs="Times New Roman"/>
        </w:rPr>
        <w:t xml:space="preserve">an effect attributed to duration removal and investor rebalancing (D’Amico &amp; King, 2013). QT episodes, by contrast, restored term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and widened credit spreads, particularly in longer-maturity investment-grade segments.</w:t>
      </w:r>
    </w:p>
    <w:p w14:paraId="564188F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4.4 International and Cross-Market Evidence</w:t>
      </w:r>
    </w:p>
    <w:p w14:paraId="2B2F5D5E" w14:textId="67955BBF"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Global spillover work (Bruno &amp; Shin, 2015; </w:t>
      </w:r>
      <w:proofErr w:type="spellStart"/>
      <w:r w:rsidRPr="002A5401">
        <w:rPr>
          <w:rFonts w:ascii="Times New Roman" w:hAnsi="Times New Roman" w:cs="Times New Roman"/>
        </w:rPr>
        <w:t>Avdjiev</w:t>
      </w:r>
      <w:proofErr w:type="spellEnd"/>
      <w:r w:rsidRPr="002A5401">
        <w:rPr>
          <w:rFonts w:ascii="Times New Roman" w:hAnsi="Times New Roman" w:cs="Times New Roman"/>
        </w:rPr>
        <w:t xml:space="preserve"> et al., 2019) reveals that U.S. credit-tightening shocks propagate internationally via the external-dollar channel: non-U.S. banks with large USD liabilities face higher funding costs, which in turn raise foreign corporate-bond spreads. Within U.S. markets, securitized products such as CMBS and CLOs react more strongly </w:t>
      </w:r>
      <w:r w:rsidRPr="002A5401">
        <w:rPr>
          <w:rFonts w:ascii="Times New Roman" w:hAnsi="Times New Roman" w:cs="Times New Roman"/>
        </w:rPr>
        <w:lastRenderedPageBreak/>
        <w:t>than plain-vanilla corporates, underscoring the leverage-sensitive nature of monetary transmission</w:t>
      </w:r>
      <w:r w:rsidR="00896056">
        <w:rPr>
          <w:rFonts w:ascii="Times New Roman" w:hAnsi="Times New Roman" w:cs="Times New Roman"/>
        </w:rPr>
        <w:t xml:space="preserve"> - </w:t>
      </w:r>
      <w:r w:rsidRPr="002A5401">
        <w:rPr>
          <w:rFonts w:ascii="Times New Roman" w:hAnsi="Times New Roman" w:cs="Times New Roman"/>
        </w:rPr>
        <w:t>an important connection for REITs and mortgage credit.</w:t>
      </w:r>
    </w:p>
    <w:p w14:paraId="531DB47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4.5 Consistencies across Studies</w:t>
      </w:r>
    </w:p>
    <w:p w14:paraId="35A21B5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Four robust findings emerge:</w:t>
      </w:r>
    </w:p>
    <w:p w14:paraId="26FFC315" w14:textId="77777777" w:rsidR="002A5401" w:rsidRPr="002A5401" w:rsidRDefault="002A5401" w:rsidP="002A5401">
      <w:pPr>
        <w:numPr>
          <w:ilvl w:val="0"/>
          <w:numId w:val="52"/>
        </w:numPr>
        <w:rPr>
          <w:rFonts w:ascii="Times New Roman" w:hAnsi="Times New Roman" w:cs="Times New Roman"/>
        </w:rPr>
      </w:pPr>
      <w:r w:rsidRPr="002A5401">
        <w:rPr>
          <w:rFonts w:ascii="Times New Roman" w:hAnsi="Times New Roman" w:cs="Times New Roman"/>
        </w:rPr>
        <w:t>Tightening shocks increase credit spreads and bank CDS; easing/QE compresses them.</w:t>
      </w:r>
    </w:p>
    <w:p w14:paraId="3CEBB460" w14:textId="2084143E" w:rsidR="002A5401" w:rsidRPr="002A5401" w:rsidRDefault="002A5401" w:rsidP="002A5401">
      <w:pPr>
        <w:numPr>
          <w:ilvl w:val="0"/>
          <w:numId w:val="52"/>
        </w:numPr>
        <w:rPr>
          <w:rFonts w:ascii="Times New Roman" w:hAnsi="Times New Roman" w:cs="Times New Roman"/>
        </w:rPr>
      </w:pPr>
      <w:r w:rsidRPr="002A5401">
        <w:rPr>
          <w:rFonts w:ascii="Times New Roman" w:hAnsi="Times New Roman" w:cs="Times New Roman"/>
        </w:rPr>
        <w:t>QE’s compression is too large to be explained solely by expectations</w:t>
      </w:r>
      <w:r w:rsidR="00896056">
        <w:rPr>
          <w:rFonts w:ascii="Times New Roman" w:hAnsi="Times New Roman" w:cs="Times New Roman"/>
        </w:rPr>
        <w:t xml:space="preserve"> - </w:t>
      </w:r>
      <w:r w:rsidRPr="002A5401">
        <w:rPr>
          <w:rFonts w:ascii="Times New Roman" w:hAnsi="Times New Roman" w:cs="Times New Roman"/>
        </w:rPr>
        <w:t>it requires a risk-premium or scarcity channel.</w:t>
      </w:r>
    </w:p>
    <w:p w14:paraId="3973A61C" w14:textId="77777777" w:rsidR="002A5401" w:rsidRPr="002A5401" w:rsidRDefault="002A5401" w:rsidP="002A5401">
      <w:pPr>
        <w:numPr>
          <w:ilvl w:val="0"/>
          <w:numId w:val="52"/>
        </w:numPr>
        <w:rPr>
          <w:rFonts w:ascii="Times New Roman" w:hAnsi="Times New Roman" w:cs="Times New Roman"/>
        </w:rPr>
      </w:pPr>
      <w:r w:rsidRPr="002A5401">
        <w:rPr>
          <w:rFonts w:ascii="Times New Roman" w:hAnsi="Times New Roman" w:cs="Times New Roman"/>
        </w:rPr>
        <w:t>Effects are stronger for low-grade debt and during crises or ZLB periods.</w:t>
      </w:r>
    </w:p>
    <w:p w14:paraId="24B854D8" w14:textId="77777777" w:rsidR="002A5401" w:rsidRPr="002A5401" w:rsidRDefault="002A5401" w:rsidP="002A5401">
      <w:pPr>
        <w:numPr>
          <w:ilvl w:val="0"/>
          <w:numId w:val="52"/>
        </w:numPr>
        <w:rPr>
          <w:rFonts w:ascii="Times New Roman" w:hAnsi="Times New Roman" w:cs="Times New Roman"/>
        </w:rPr>
      </w:pPr>
      <w:r w:rsidRPr="002A5401">
        <w:rPr>
          <w:rFonts w:ascii="Times New Roman" w:hAnsi="Times New Roman" w:cs="Times New Roman"/>
        </w:rPr>
        <w:t>Bank-balance-sheet constraints mediate the magnitude of credit tightening, linking monetary policy to financial stability considerations.</w:t>
      </w:r>
    </w:p>
    <w:p w14:paraId="4E9B9FA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4.6 Methodological Differences</w:t>
      </w:r>
    </w:p>
    <w:p w14:paraId="4349E5C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Credit-market papers diverge mainly in data frequency and identification method.</w:t>
      </w:r>
    </w:p>
    <w:p w14:paraId="0500B7AC" w14:textId="77777777" w:rsidR="002A5401" w:rsidRPr="002A5401" w:rsidRDefault="002A5401" w:rsidP="002A5401">
      <w:pPr>
        <w:numPr>
          <w:ilvl w:val="0"/>
          <w:numId w:val="53"/>
        </w:numPr>
        <w:rPr>
          <w:rFonts w:ascii="Times New Roman" w:hAnsi="Times New Roman" w:cs="Times New Roman"/>
        </w:rPr>
      </w:pPr>
      <w:r w:rsidRPr="002A5401">
        <w:rPr>
          <w:rFonts w:ascii="Times New Roman" w:hAnsi="Times New Roman" w:cs="Times New Roman"/>
        </w:rPr>
        <w:t>Event-window vs. macro-VAR. Event studies isolate announcement shocks; VARs capture longer-term propagation but blur identification.</w:t>
      </w:r>
    </w:p>
    <w:p w14:paraId="0792F3B1" w14:textId="77777777" w:rsidR="002A5401" w:rsidRPr="002A5401" w:rsidRDefault="002A5401" w:rsidP="002A5401">
      <w:pPr>
        <w:numPr>
          <w:ilvl w:val="0"/>
          <w:numId w:val="53"/>
        </w:numPr>
        <w:rPr>
          <w:rFonts w:ascii="Times New Roman" w:hAnsi="Times New Roman" w:cs="Times New Roman"/>
        </w:rPr>
      </w:pPr>
      <w:r w:rsidRPr="002A5401">
        <w:rPr>
          <w:rFonts w:ascii="Times New Roman" w:hAnsi="Times New Roman" w:cs="Times New Roman"/>
        </w:rPr>
        <w:t>Spread measure. CDX vs. TRACE OAS vs. CDS lead to different magnitudes because of liquidity differences.</w:t>
      </w:r>
    </w:p>
    <w:p w14:paraId="2B9B753D" w14:textId="77777777" w:rsidR="002A5401" w:rsidRPr="002A5401" w:rsidRDefault="002A5401" w:rsidP="002A5401">
      <w:pPr>
        <w:numPr>
          <w:ilvl w:val="0"/>
          <w:numId w:val="53"/>
        </w:numPr>
        <w:rPr>
          <w:rFonts w:ascii="Times New Roman" w:hAnsi="Times New Roman" w:cs="Times New Roman"/>
        </w:rPr>
      </w:pPr>
      <w:r w:rsidRPr="002A5401">
        <w:rPr>
          <w:rFonts w:ascii="Times New Roman" w:hAnsi="Times New Roman" w:cs="Times New Roman"/>
        </w:rPr>
        <w:t>Regime treatment. QE/QT subsamples yield asymmetric responses: QE compressions are persistent, QT re-widenings partial.</w:t>
      </w:r>
    </w:p>
    <w:p w14:paraId="05ED77E3" w14:textId="77777777" w:rsidR="002A5401" w:rsidRPr="002A5401" w:rsidRDefault="002A5401" w:rsidP="002A5401">
      <w:pPr>
        <w:numPr>
          <w:ilvl w:val="0"/>
          <w:numId w:val="53"/>
        </w:numPr>
        <w:rPr>
          <w:rFonts w:ascii="Times New Roman" w:hAnsi="Times New Roman" w:cs="Times New Roman"/>
        </w:rPr>
      </w:pPr>
      <w:r w:rsidRPr="002A5401">
        <w:rPr>
          <w:rFonts w:ascii="Times New Roman" w:hAnsi="Times New Roman" w:cs="Times New Roman"/>
        </w:rPr>
        <w:t>Post-2015 administered-rate system. Recent studies note that IORB and ON RRP facilities may dampen pass-through from the target rate to bank funding costs, but evidence is mixed.</w:t>
      </w:r>
    </w:p>
    <w:p w14:paraId="021CE0F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4.7 Conflicts and Unresolved Issues</w:t>
      </w:r>
    </w:p>
    <w:p w14:paraId="28EEF843" w14:textId="2DEAB804" w:rsidR="002A5401" w:rsidRPr="002A5401" w:rsidRDefault="002A5401" w:rsidP="002A5401">
      <w:pPr>
        <w:rPr>
          <w:rFonts w:ascii="Times New Roman" w:hAnsi="Times New Roman" w:cs="Times New Roman"/>
        </w:rPr>
      </w:pPr>
      <w:r w:rsidRPr="002A5401">
        <w:rPr>
          <w:rFonts w:ascii="Times New Roman" w:hAnsi="Times New Roman" w:cs="Times New Roman"/>
        </w:rPr>
        <w:t>The principal interpretive tension concerns QE’s mechanism. Some authors emphasize portfolio rebalancing and scarcity, while others highlight signaling</w:t>
      </w:r>
      <w:r w:rsidR="00896056">
        <w:rPr>
          <w:rFonts w:ascii="Times New Roman" w:hAnsi="Times New Roman" w:cs="Times New Roman"/>
        </w:rPr>
        <w:t xml:space="preserve"> - </w:t>
      </w:r>
      <w:r w:rsidRPr="002A5401">
        <w:rPr>
          <w:rFonts w:ascii="Times New Roman" w:hAnsi="Times New Roman" w:cs="Times New Roman"/>
        </w:rPr>
        <w:t>the idea that QE communicates commitment to low future short rates. Both mechanisms are plausible and difficult to disentangle empirically. A second conflict arises over persistence: event studies find large, long-lasting spread changes; structural VARs suggest mean reversion once macro conditions evolve. Reconciling these requires combining high-frequency identification with macro-horizon modeling.</w:t>
      </w:r>
    </w:p>
    <w:p w14:paraId="72B6F35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4.8 Gaps for Future Research</w:t>
      </w:r>
    </w:p>
    <w:p w14:paraId="6FA228A5" w14:textId="77777777" w:rsidR="002A5401" w:rsidRPr="002A5401" w:rsidRDefault="002A5401" w:rsidP="002A5401">
      <w:pPr>
        <w:numPr>
          <w:ilvl w:val="0"/>
          <w:numId w:val="54"/>
        </w:numPr>
        <w:rPr>
          <w:rFonts w:ascii="Times New Roman" w:hAnsi="Times New Roman" w:cs="Times New Roman"/>
        </w:rPr>
      </w:pPr>
      <w:r w:rsidRPr="002A5401">
        <w:rPr>
          <w:rFonts w:ascii="Times New Roman" w:hAnsi="Times New Roman" w:cs="Times New Roman"/>
        </w:rPr>
        <w:lastRenderedPageBreak/>
        <w:t>Unified identification of policy and balance-sheet shocks. Integrate target/path/info HFI measures with balance-sheet variables (reserve levels, LSAP size) to isolate distinct effects on credit spreads.</w:t>
      </w:r>
    </w:p>
    <w:p w14:paraId="3AFE2C44" w14:textId="77777777" w:rsidR="002A5401" w:rsidRPr="002A5401" w:rsidRDefault="002A5401" w:rsidP="002A5401">
      <w:pPr>
        <w:numPr>
          <w:ilvl w:val="0"/>
          <w:numId w:val="54"/>
        </w:numPr>
        <w:rPr>
          <w:rFonts w:ascii="Times New Roman" w:hAnsi="Times New Roman" w:cs="Times New Roman"/>
        </w:rPr>
      </w:pPr>
      <w:r w:rsidRPr="002A5401">
        <w:rPr>
          <w:rFonts w:ascii="Times New Roman" w:hAnsi="Times New Roman" w:cs="Times New Roman"/>
        </w:rPr>
        <w:t>Bank-level micro data. Link event-day shocks to bank balance-sheet adjustments, funding mix, and subsequent lending behavior, especially in the post-IORB regime.</w:t>
      </w:r>
    </w:p>
    <w:p w14:paraId="43F4FCF4" w14:textId="77777777" w:rsidR="002A5401" w:rsidRPr="002A5401" w:rsidRDefault="002A5401" w:rsidP="002A5401">
      <w:pPr>
        <w:numPr>
          <w:ilvl w:val="0"/>
          <w:numId w:val="54"/>
        </w:numPr>
        <w:rPr>
          <w:rFonts w:ascii="Times New Roman" w:hAnsi="Times New Roman" w:cs="Times New Roman"/>
        </w:rPr>
      </w:pPr>
      <w:r w:rsidRPr="002A5401">
        <w:rPr>
          <w:rFonts w:ascii="Times New Roman" w:hAnsi="Times New Roman" w:cs="Times New Roman"/>
        </w:rPr>
        <w:t>Liquidity-condition interaction. Incorporate Treasury-market depth and dealer-balance-sheet constraints as state variables mediating credit-spread sensitivity.</w:t>
      </w:r>
    </w:p>
    <w:p w14:paraId="2898E4B9" w14:textId="77777777" w:rsidR="002A5401" w:rsidRPr="002A5401" w:rsidRDefault="002A5401" w:rsidP="002A5401">
      <w:pPr>
        <w:numPr>
          <w:ilvl w:val="0"/>
          <w:numId w:val="54"/>
        </w:numPr>
        <w:rPr>
          <w:rFonts w:ascii="Times New Roman" w:hAnsi="Times New Roman" w:cs="Times New Roman"/>
        </w:rPr>
      </w:pPr>
      <w:r w:rsidRPr="002A5401">
        <w:rPr>
          <w:rFonts w:ascii="Times New Roman" w:hAnsi="Times New Roman" w:cs="Times New Roman"/>
        </w:rPr>
        <w:t>Cross-border analysis. Quantify how U.S. policy shocks propagate through global credit markets via USD funding exposures and macroprudential buffers, with implications for real-estate financing and REIT funding costs.</w:t>
      </w:r>
    </w:p>
    <w:p w14:paraId="0C8B5D02" w14:textId="1FF8C0ED" w:rsidR="002A5401" w:rsidRPr="002A5401" w:rsidRDefault="002A5401" w:rsidP="002A5401">
      <w:pPr>
        <w:rPr>
          <w:rFonts w:ascii="Times New Roman" w:hAnsi="Times New Roman" w:cs="Times New Roman"/>
          <w:b/>
          <w:bCs/>
        </w:rPr>
      </w:pPr>
    </w:p>
    <w:p w14:paraId="597BDA5C"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5. Foreign-Exchange and Cross-Market Co-Movements</w:t>
      </w:r>
    </w:p>
    <w:p w14:paraId="7F74E3F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5.1 Empirical Findings</w:t>
      </w:r>
    </w:p>
    <w:p w14:paraId="4259A3A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global reach of U.S. monetary policy is evident in the foreign-exchange (FX) literature. Virtually every study using high-frequency identification finds that hawkish FOMC surprises lead to an immediate appreciation of the U.S. dollar against both advanced- and emerging-market currencies (Hausman &amp; </w:t>
      </w:r>
      <w:proofErr w:type="spellStart"/>
      <w:r w:rsidRPr="002A5401">
        <w:rPr>
          <w:rFonts w:ascii="Times New Roman" w:hAnsi="Times New Roman" w:cs="Times New Roman"/>
        </w:rPr>
        <w:t>Wongswan</w:t>
      </w:r>
      <w:proofErr w:type="spellEnd"/>
      <w:r w:rsidRPr="002A5401">
        <w:rPr>
          <w:rFonts w:ascii="Times New Roman" w:hAnsi="Times New Roman" w:cs="Times New Roman"/>
        </w:rPr>
        <w:t>, 2006; Curcuru et al., 2018; Georgiadis, 2016). The appreciation typically occurs within minutes of the announcement and is strongest when the shock reflects unexpected changes in the expected policy path rather than the current target rate.</w:t>
      </w:r>
    </w:p>
    <w:p w14:paraId="03E88834" w14:textId="0B3B246D" w:rsidR="002A5401" w:rsidRPr="002A5401" w:rsidRDefault="002A5401" w:rsidP="002A5401">
      <w:pPr>
        <w:rPr>
          <w:rFonts w:ascii="Times New Roman" w:hAnsi="Times New Roman" w:cs="Times New Roman"/>
        </w:rPr>
      </w:pPr>
      <w:r w:rsidRPr="002A5401">
        <w:rPr>
          <w:rFonts w:ascii="Times New Roman" w:hAnsi="Times New Roman" w:cs="Times New Roman"/>
        </w:rPr>
        <w:t>Across the 30 FX-related papers in the dissertation dataset, dollar appreciation averages 0.3</w:t>
      </w:r>
      <w:r w:rsidR="00896056">
        <w:rPr>
          <w:rFonts w:ascii="Times New Roman" w:hAnsi="Times New Roman" w:cs="Times New Roman"/>
        </w:rPr>
        <w:t xml:space="preserve"> - </w:t>
      </w:r>
      <w:r w:rsidRPr="002A5401">
        <w:rPr>
          <w:rFonts w:ascii="Times New Roman" w:hAnsi="Times New Roman" w:cs="Times New Roman"/>
        </w:rPr>
        <w:t xml:space="preserve">0.6 percent for a standard 25-basis-point hawkish shock. The same shocks raise foreign yields and depress local-currency </w:t>
      </w:r>
      <w:proofErr w:type="gramStart"/>
      <w:r w:rsidRPr="002A5401">
        <w:rPr>
          <w:rFonts w:ascii="Times New Roman" w:hAnsi="Times New Roman" w:cs="Times New Roman"/>
        </w:rPr>
        <w:t>bond</w:t>
      </w:r>
      <w:proofErr w:type="gramEnd"/>
      <w:r w:rsidRPr="002A5401">
        <w:rPr>
          <w:rFonts w:ascii="Times New Roman" w:hAnsi="Times New Roman" w:cs="Times New Roman"/>
        </w:rPr>
        <w:t xml:space="preserve"> and equity prices, confirming that FOMC announcements </w:t>
      </w:r>
      <w:proofErr w:type="gramStart"/>
      <w:r w:rsidRPr="002A5401">
        <w:rPr>
          <w:rFonts w:ascii="Times New Roman" w:hAnsi="Times New Roman" w:cs="Times New Roman"/>
        </w:rPr>
        <w:t>transmit</w:t>
      </w:r>
      <w:proofErr w:type="gramEnd"/>
      <w:r w:rsidRPr="002A5401">
        <w:rPr>
          <w:rFonts w:ascii="Times New Roman" w:hAnsi="Times New Roman" w:cs="Times New Roman"/>
        </w:rPr>
        <w:t xml:space="preserve"> through global discount-rate channels. Conversely, QE and dovish guidance trigger dollar depreciation, falling foreign yields, and synchronized global equity gains</w:t>
      </w:r>
      <w:r w:rsidR="00896056">
        <w:rPr>
          <w:rFonts w:ascii="Times New Roman" w:hAnsi="Times New Roman" w:cs="Times New Roman"/>
        </w:rPr>
        <w:t xml:space="preserve"> - </w:t>
      </w:r>
      <w:r w:rsidRPr="002A5401">
        <w:rPr>
          <w:rFonts w:ascii="Times New Roman" w:hAnsi="Times New Roman" w:cs="Times New Roman"/>
        </w:rPr>
        <w:t>an effect described as global monetary easing spillovers (Rogers et al., 2014).</w:t>
      </w:r>
    </w:p>
    <w:p w14:paraId="0ABDE56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5.2 Information Versus Policy Components</w:t>
      </w:r>
    </w:p>
    <w:p w14:paraId="3216178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 recurring theme is the sign reversal that occurs when an ostensibly hawkish announcement conveys stronger U.S. growth prospects. Under such “information-positive” events, both U.S. and foreign equities may rise even as yields and the dollar strengthen (Nakamura &amp; Steinsson, 2018). This phenomenon underscores that FOMC communications embed two conceptually distinct shocks: a pure policy tightening and an information revelation about fundamentals. Distinguishing the two is essential for cross-country spillover analysis later in the dissertation.</w:t>
      </w:r>
    </w:p>
    <w:p w14:paraId="1490721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5.3 Similarities, Differences, and Conflicts</w:t>
      </w:r>
    </w:p>
    <w:p w14:paraId="047618C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 xml:space="preserve">All studies agree that U.S. monetary shocks propagate </w:t>
      </w:r>
      <w:proofErr w:type="gramStart"/>
      <w:r w:rsidRPr="002A5401">
        <w:rPr>
          <w:rFonts w:ascii="Times New Roman" w:hAnsi="Times New Roman" w:cs="Times New Roman"/>
        </w:rPr>
        <w:t>globally, but</w:t>
      </w:r>
      <w:proofErr w:type="gramEnd"/>
      <w:r w:rsidRPr="002A5401">
        <w:rPr>
          <w:rFonts w:ascii="Times New Roman" w:hAnsi="Times New Roman" w:cs="Times New Roman"/>
        </w:rPr>
        <w:t xml:space="preserve"> differ in scope and measurement.</w:t>
      </w:r>
    </w:p>
    <w:p w14:paraId="41A243A5" w14:textId="77777777" w:rsidR="002A5401" w:rsidRPr="002A5401" w:rsidRDefault="002A5401" w:rsidP="002A5401">
      <w:pPr>
        <w:numPr>
          <w:ilvl w:val="0"/>
          <w:numId w:val="55"/>
        </w:numPr>
        <w:rPr>
          <w:rFonts w:ascii="Times New Roman" w:hAnsi="Times New Roman" w:cs="Times New Roman"/>
        </w:rPr>
      </w:pPr>
      <w:r w:rsidRPr="002A5401">
        <w:rPr>
          <w:rFonts w:ascii="Times New Roman" w:hAnsi="Times New Roman" w:cs="Times New Roman"/>
        </w:rPr>
        <w:t>Emerging markets exhibit larger FX and yield reactions due to higher dollar-denominated debt and weaker financial buffers (Bruno &amp; Shin, 2015).</w:t>
      </w:r>
    </w:p>
    <w:p w14:paraId="0909DC3F" w14:textId="77777777" w:rsidR="002A5401" w:rsidRPr="002A5401" w:rsidRDefault="002A5401" w:rsidP="002A5401">
      <w:pPr>
        <w:numPr>
          <w:ilvl w:val="0"/>
          <w:numId w:val="55"/>
        </w:numPr>
        <w:rPr>
          <w:rFonts w:ascii="Times New Roman" w:hAnsi="Times New Roman" w:cs="Times New Roman"/>
        </w:rPr>
      </w:pPr>
      <w:r w:rsidRPr="002A5401">
        <w:rPr>
          <w:rFonts w:ascii="Times New Roman" w:hAnsi="Times New Roman" w:cs="Times New Roman"/>
        </w:rPr>
        <w:t>Advanced economies show smaller spot-rate changes but similar yield-curve co-movements.</w:t>
      </w:r>
    </w:p>
    <w:p w14:paraId="5A53256B" w14:textId="191DC8C9" w:rsidR="002A5401" w:rsidRPr="002A5401" w:rsidRDefault="002A5401" w:rsidP="002A5401">
      <w:pPr>
        <w:numPr>
          <w:ilvl w:val="0"/>
          <w:numId w:val="55"/>
        </w:numPr>
        <w:rPr>
          <w:rFonts w:ascii="Times New Roman" w:hAnsi="Times New Roman" w:cs="Times New Roman"/>
        </w:rPr>
      </w:pPr>
      <w:r w:rsidRPr="002A5401">
        <w:rPr>
          <w:rFonts w:ascii="Times New Roman" w:hAnsi="Times New Roman" w:cs="Times New Roman"/>
        </w:rPr>
        <w:t>Some find that QE generated “risk-on” appreciation of high-beta currencies (AUD, CAD), while others find uniform dollar weakness</w:t>
      </w:r>
      <w:r w:rsidR="00896056">
        <w:rPr>
          <w:rFonts w:ascii="Times New Roman" w:hAnsi="Times New Roman" w:cs="Times New Roman"/>
        </w:rPr>
        <w:t xml:space="preserve"> - </w:t>
      </w:r>
      <w:r w:rsidRPr="002A5401">
        <w:rPr>
          <w:rFonts w:ascii="Times New Roman" w:hAnsi="Times New Roman" w:cs="Times New Roman"/>
        </w:rPr>
        <w:t>discrepancies largely attributable to event-window length and sample composition.</w:t>
      </w:r>
    </w:p>
    <w:p w14:paraId="42CF4D1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main conflict concerns whether observed global co-movements represent genuine spillovers or merely common responses to shared information about U.S. growth. Text-augmented event studies (Cieslak &amp; Schrimpf, 2019) increasingly favor the latter interpretation, but consensus remains incomplete.</w:t>
      </w:r>
    </w:p>
    <w:p w14:paraId="25CE4A2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5.4 Gaps</w:t>
      </w:r>
    </w:p>
    <w:p w14:paraId="76003E6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Future work should construct a unified dataset of target, path, and information shocks with consistent FX, bond, and equity responses across countries, allowing decomposition of global transmission through policy-differential versus information channels. Integrating dollar-funding variables (cross-border bank claims, FX-swap bases) will further clarify the external-dollar channel emphasized by recent BIS research and its implications for globally funded REIT vehicles.</w:t>
      </w:r>
    </w:p>
    <w:p w14:paraId="02667C51" w14:textId="250DFB66" w:rsidR="002A5401" w:rsidRPr="002A5401" w:rsidRDefault="002A5401" w:rsidP="002A5401">
      <w:pPr>
        <w:rPr>
          <w:rFonts w:ascii="Times New Roman" w:hAnsi="Times New Roman" w:cs="Times New Roman"/>
        </w:rPr>
      </w:pPr>
    </w:p>
    <w:p w14:paraId="30BBD7D0"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6. Commodities and Precious Metals</w:t>
      </w:r>
    </w:p>
    <w:p w14:paraId="31531CB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6.1 Findings</w:t>
      </w:r>
    </w:p>
    <w:p w14:paraId="5C821E6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Commodities constitute a crucial bridge between financial and real markets. The sixteen commodity-related papers in the dataset document distinct but interpretable patterns.</w:t>
      </w:r>
    </w:p>
    <w:p w14:paraId="06D63C67" w14:textId="77777777" w:rsidR="002A5401" w:rsidRPr="002A5401" w:rsidRDefault="002A5401" w:rsidP="002A5401">
      <w:pPr>
        <w:numPr>
          <w:ilvl w:val="0"/>
          <w:numId w:val="56"/>
        </w:numPr>
        <w:rPr>
          <w:rFonts w:ascii="Times New Roman" w:hAnsi="Times New Roman" w:cs="Times New Roman"/>
        </w:rPr>
      </w:pPr>
      <w:r w:rsidRPr="002A5401">
        <w:rPr>
          <w:rFonts w:ascii="Times New Roman" w:hAnsi="Times New Roman" w:cs="Times New Roman"/>
        </w:rPr>
        <w:t>Gold behaves as an inverse proxy for real interest rates and the dollar: it falls on hawkish surprises and rises on dovish or QE news (</w:t>
      </w:r>
      <w:proofErr w:type="spellStart"/>
      <w:r w:rsidRPr="002A5401">
        <w:rPr>
          <w:rFonts w:ascii="Times New Roman" w:hAnsi="Times New Roman" w:cs="Times New Roman"/>
        </w:rPr>
        <w:t>Aboura</w:t>
      </w:r>
      <w:proofErr w:type="spellEnd"/>
      <w:r w:rsidRPr="002A5401">
        <w:rPr>
          <w:rFonts w:ascii="Times New Roman" w:hAnsi="Times New Roman" w:cs="Times New Roman"/>
        </w:rPr>
        <w:t>, 2021; Ehrmann et al., 2020).</w:t>
      </w:r>
    </w:p>
    <w:p w14:paraId="63D7F81C" w14:textId="77777777" w:rsidR="002A5401" w:rsidRPr="002A5401" w:rsidRDefault="002A5401" w:rsidP="002A5401">
      <w:pPr>
        <w:numPr>
          <w:ilvl w:val="0"/>
          <w:numId w:val="56"/>
        </w:numPr>
        <w:rPr>
          <w:rFonts w:ascii="Times New Roman" w:hAnsi="Times New Roman" w:cs="Times New Roman"/>
        </w:rPr>
      </w:pPr>
      <w:r w:rsidRPr="002A5401">
        <w:rPr>
          <w:rFonts w:ascii="Times New Roman" w:hAnsi="Times New Roman" w:cs="Times New Roman"/>
        </w:rPr>
        <w:t>Oil and industrial metals respond positively to “information-positive” shocks that signal stronger expected demand, even when yields rise (Kilian &amp; Vernon, 2016).</w:t>
      </w:r>
    </w:p>
    <w:p w14:paraId="6F5628F4" w14:textId="77777777" w:rsidR="002A5401" w:rsidRPr="002A5401" w:rsidRDefault="002A5401" w:rsidP="002A5401">
      <w:pPr>
        <w:numPr>
          <w:ilvl w:val="0"/>
          <w:numId w:val="56"/>
        </w:numPr>
        <w:rPr>
          <w:rFonts w:ascii="Times New Roman" w:hAnsi="Times New Roman" w:cs="Times New Roman"/>
        </w:rPr>
      </w:pPr>
      <w:r w:rsidRPr="002A5401">
        <w:rPr>
          <w:rFonts w:ascii="Times New Roman" w:hAnsi="Times New Roman" w:cs="Times New Roman"/>
        </w:rPr>
        <w:t>During QE, broad commodity indices increase via risk-appetite and duration-compression channels; QT reverses these effects.</w:t>
      </w:r>
    </w:p>
    <w:p w14:paraId="576E103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6.2 Similarities and Differences</w:t>
      </w:r>
    </w:p>
    <w:p w14:paraId="34715704" w14:textId="46ED9758"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All studies agree that real-rate and dollar channels dominate gold’s reaction, while oil’s sensitivity depends on whether the shock contains demand information. Differences arise from asset specification</w:t>
      </w:r>
      <w:r w:rsidR="00896056">
        <w:rPr>
          <w:rFonts w:ascii="Times New Roman" w:hAnsi="Times New Roman" w:cs="Times New Roman"/>
        </w:rPr>
        <w:t xml:space="preserve"> - </w:t>
      </w:r>
      <w:r w:rsidRPr="002A5401">
        <w:rPr>
          <w:rFonts w:ascii="Times New Roman" w:hAnsi="Times New Roman" w:cs="Times New Roman"/>
        </w:rPr>
        <w:t>spot versus front-futures</w:t>
      </w:r>
      <w:r w:rsidR="00896056">
        <w:rPr>
          <w:rFonts w:ascii="Times New Roman" w:hAnsi="Times New Roman" w:cs="Times New Roman"/>
        </w:rPr>
        <w:t xml:space="preserve"> - </w:t>
      </w:r>
      <w:r w:rsidRPr="002A5401">
        <w:rPr>
          <w:rFonts w:ascii="Times New Roman" w:hAnsi="Times New Roman" w:cs="Times New Roman"/>
        </w:rPr>
        <w:t xml:space="preserve">and control variables. Studies controlling for the U.S. dollar index and real yields obtain cleaner estimates of gold’s elasticity; those omitting them report attenuated results. Persistence also </w:t>
      </w:r>
      <w:proofErr w:type="gramStart"/>
      <w:r w:rsidRPr="002A5401">
        <w:rPr>
          <w:rFonts w:ascii="Times New Roman" w:hAnsi="Times New Roman" w:cs="Times New Roman"/>
        </w:rPr>
        <w:t>varies:</w:t>
      </w:r>
      <w:proofErr w:type="gramEnd"/>
      <w:r w:rsidRPr="002A5401">
        <w:rPr>
          <w:rFonts w:ascii="Times New Roman" w:hAnsi="Times New Roman" w:cs="Times New Roman"/>
        </w:rPr>
        <w:t xml:space="preserve"> gold reactions mean-revert quickly; oil responses persist when demand expectations shift materially.</w:t>
      </w:r>
    </w:p>
    <w:p w14:paraId="7B23F50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6.3 Conflicts and Gaps</w:t>
      </w:r>
    </w:p>
    <w:p w14:paraId="2D7C7081" w14:textId="517E2AD5" w:rsidR="002A5401" w:rsidRPr="002A5401" w:rsidRDefault="002A5401" w:rsidP="002A5401">
      <w:pPr>
        <w:rPr>
          <w:rFonts w:ascii="Times New Roman" w:hAnsi="Times New Roman" w:cs="Times New Roman"/>
        </w:rPr>
      </w:pPr>
      <w:r w:rsidRPr="002A5401">
        <w:rPr>
          <w:rFonts w:ascii="Times New Roman" w:hAnsi="Times New Roman" w:cs="Times New Roman"/>
        </w:rPr>
        <w:t>A key conflict concerns whether QE affects commodities mainly via risk-on portfolio rebalancing or via discount-rate (real-rate) effects. Safe-haven versus real-rate behavior of gold during crises also produces mixed results. Future research should estimate a three-shock model</w:t>
      </w:r>
      <w:r w:rsidR="00896056">
        <w:rPr>
          <w:rFonts w:ascii="Times New Roman" w:hAnsi="Times New Roman" w:cs="Times New Roman"/>
        </w:rPr>
        <w:t xml:space="preserve"> - </w:t>
      </w:r>
      <w:r w:rsidRPr="002A5401">
        <w:rPr>
          <w:rFonts w:ascii="Times New Roman" w:hAnsi="Times New Roman" w:cs="Times New Roman"/>
        </w:rPr>
        <w:t>policy, guidance, and information</w:t>
      </w:r>
      <w:r w:rsidR="00896056">
        <w:rPr>
          <w:rFonts w:ascii="Times New Roman" w:hAnsi="Times New Roman" w:cs="Times New Roman"/>
        </w:rPr>
        <w:t xml:space="preserve"> - </w:t>
      </w:r>
      <w:r w:rsidRPr="002A5401">
        <w:rPr>
          <w:rFonts w:ascii="Times New Roman" w:hAnsi="Times New Roman" w:cs="Times New Roman"/>
        </w:rPr>
        <w:t xml:space="preserve">while jointly controlling for real yields and FX, to disentangle </w:t>
      </w:r>
      <w:proofErr w:type="gramStart"/>
      <w:r w:rsidRPr="002A5401">
        <w:rPr>
          <w:rFonts w:ascii="Times New Roman" w:hAnsi="Times New Roman" w:cs="Times New Roman"/>
        </w:rPr>
        <w:t>discount-rate</w:t>
      </w:r>
      <w:proofErr w:type="gramEnd"/>
      <w:r w:rsidRPr="002A5401">
        <w:rPr>
          <w:rFonts w:ascii="Times New Roman" w:hAnsi="Times New Roman" w:cs="Times New Roman"/>
        </w:rPr>
        <w:t xml:space="preserve"> from demand channels. Adding inventory and futures-curve data would further separate storage from financing effects.</w:t>
      </w:r>
    </w:p>
    <w:p w14:paraId="19F4BFAF" w14:textId="24722D7B" w:rsidR="002A5401" w:rsidRPr="002A5401" w:rsidRDefault="002A5401" w:rsidP="002A5401">
      <w:pPr>
        <w:rPr>
          <w:rFonts w:ascii="Times New Roman" w:hAnsi="Times New Roman" w:cs="Times New Roman"/>
        </w:rPr>
      </w:pPr>
    </w:p>
    <w:p w14:paraId="5D6A669A"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7. Real Estate, REITs, and Housing-Linked Assets</w:t>
      </w:r>
    </w:p>
    <w:p w14:paraId="55EF0D7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7.1 Equity REITs, Mortgage REITs, MBS, and CRE Under Monetary Policy</w:t>
      </w:r>
    </w:p>
    <w:p w14:paraId="4EE4812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Extensive evidence finds that REITs respond meaningfully to monetary policy, often more strongly than broad equity indices. Event-study approaches consistently show that unexpected tightening shocks generate negative abnormal REIT returns (Bredin, O’Reilly, &amp; Stevenson, 2006, 2011). Similarly, Marfatia (2017) finds statistically significant REIT return declines following federal funds rate surprises, with effect sizes intensifying in recessionary or high-volatility environments.</w:t>
      </w:r>
    </w:p>
    <w:p w14:paraId="2F3C40E3" w14:textId="09E8023C"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Mortgage REITs exhibit the most pronounced sensitivity to FOMC policy. Because </w:t>
      </w:r>
      <w:proofErr w:type="spellStart"/>
      <w:r w:rsidRPr="002A5401">
        <w:rPr>
          <w:rFonts w:ascii="Times New Roman" w:hAnsi="Times New Roman" w:cs="Times New Roman"/>
        </w:rPr>
        <w:t>mREIT</w:t>
      </w:r>
      <w:proofErr w:type="spellEnd"/>
      <w:r w:rsidRPr="002A5401">
        <w:rPr>
          <w:rFonts w:ascii="Times New Roman" w:hAnsi="Times New Roman" w:cs="Times New Roman"/>
        </w:rPr>
        <w:t xml:space="preserve"> portfolios rely on short-term funding to hold longer-duration mortgage assets, higher policy rates compress net interest margins and widen MBS</w:t>
      </w:r>
      <w:r w:rsidR="00896056">
        <w:rPr>
          <w:rFonts w:ascii="Times New Roman" w:hAnsi="Times New Roman" w:cs="Times New Roman"/>
        </w:rPr>
        <w:t xml:space="preserve"> - </w:t>
      </w:r>
      <w:r w:rsidRPr="002A5401">
        <w:rPr>
          <w:rFonts w:ascii="Times New Roman" w:hAnsi="Times New Roman" w:cs="Times New Roman"/>
        </w:rPr>
        <w:t>Treasury spreads. Frame and Steiner (2018) summarize this succinctly: mortgage REITs show “roughly double the monetary-shock sensitivity of equity REITs for similar policy surprises.”</w:t>
      </w:r>
    </w:p>
    <w:p w14:paraId="35921E61" w14:textId="16A7C105" w:rsidR="002A5401" w:rsidRPr="002A5401" w:rsidRDefault="002A5401" w:rsidP="002A5401">
      <w:pPr>
        <w:rPr>
          <w:rFonts w:ascii="Times New Roman" w:hAnsi="Times New Roman" w:cs="Times New Roman"/>
        </w:rPr>
      </w:pPr>
      <w:r w:rsidRPr="002A5401">
        <w:rPr>
          <w:rFonts w:ascii="Times New Roman" w:hAnsi="Times New Roman" w:cs="Times New Roman"/>
        </w:rPr>
        <w:t>Residential REITs show more nuanced responses. Several studies report episodes in which residential REITs exhibit positive or muted negative reactions to rate hikes, particularly when higher mortgage rates reduce homeownership affordability and shift marginal households toward renting (see literature overview, uploaded report pp. 6</w:t>
      </w:r>
      <w:r w:rsidR="00896056">
        <w:rPr>
          <w:rFonts w:ascii="Times New Roman" w:hAnsi="Times New Roman" w:cs="Times New Roman"/>
        </w:rPr>
        <w:t xml:space="preserve"> - </w:t>
      </w:r>
      <w:r w:rsidRPr="002A5401">
        <w:rPr>
          <w:rFonts w:ascii="Times New Roman" w:hAnsi="Times New Roman" w:cs="Times New Roman"/>
        </w:rPr>
        <w:t>8). This suggests the presence of a rental-demand transmission channel that may counteract discount-rate valuation drag</w:t>
      </w:r>
      <w:r w:rsidR="00896056">
        <w:rPr>
          <w:rFonts w:ascii="Times New Roman" w:hAnsi="Times New Roman" w:cs="Times New Roman"/>
        </w:rPr>
        <w:t xml:space="preserve"> - </w:t>
      </w:r>
      <w:r w:rsidRPr="002A5401">
        <w:rPr>
          <w:rFonts w:ascii="Times New Roman" w:hAnsi="Times New Roman" w:cs="Times New Roman"/>
        </w:rPr>
        <w:t>a mechanism not present in mortgage or many commercial REITs.</w:t>
      </w:r>
    </w:p>
    <w:p w14:paraId="41A447E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Commercial real estate (CRE) markets adjust more slowly due to appraisal smoothing and long-duration leases. As summarized in the uploaded review, “REITs provide the high-frequency response window, while direct CRE pricing incorporates monetary information with delay.” In </w:t>
      </w:r>
      <w:r w:rsidRPr="002A5401">
        <w:rPr>
          <w:rFonts w:ascii="Times New Roman" w:hAnsi="Times New Roman" w:cs="Times New Roman"/>
        </w:rPr>
        <w:lastRenderedPageBreak/>
        <w:t>other words, listed REITs are the fast-moving, market-based margin through which FOMC shocks are transmitted into real-estate valuations.</w:t>
      </w:r>
    </w:p>
    <w:p w14:paraId="5666580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7.2 Rate, Guidance, and Balance-Sheet Regimes</w:t>
      </w:r>
    </w:p>
    <w:p w14:paraId="2F4B135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Across monetary instruments, four empirical regularities emerge: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5307"/>
      </w:tblGrid>
      <w:tr w:rsidR="002A5401" w:rsidRPr="002A5401" w14:paraId="01521E19" w14:textId="77777777">
        <w:trPr>
          <w:tblHeader/>
          <w:tblCellSpacing w:w="15" w:type="dxa"/>
        </w:trPr>
        <w:tc>
          <w:tcPr>
            <w:tcW w:w="0" w:type="auto"/>
            <w:vAlign w:val="center"/>
            <w:hideMark/>
          </w:tcPr>
          <w:p w14:paraId="6E3145B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Policy Regime</w:t>
            </w:r>
          </w:p>
        </w:tc>
        <w:tc>
          <w:tcPr>
            <w:tcW w:w="0" w:type="auto"/>
            <w:vAlign w:val="center"/>
            <w:hideMark/>
          </w:tcPr>
          <w:p w14:paraId="734D8E1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Observed Reaction in Literature</w:t>
            </w:r>
          </w:p>
        </w:tc>
      </w:tr>
      <w:tr w:rsidR="002A5401" w:rsidRPr="002A5401" w14:paraId="13BE02CC" w14:textId="77777777">
        <w:trPr>
          <w:tblCellSpacing w:w="15" w:type="dxa"/>
        </w:trPr>
        <w:tc>
          <w:tcPr>
            <w:tcW w:w="0" w:type="auto"/>
            <w:vAlign w:val="center"/>
            <w:hideMark/>
          </w:tcPr>
          <w:p w14:paraId="465948A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Policy-rate tightening</w:t>
            </w:r>
          </w:p>
        </w:tc>
        <w:tc>
          <w:tcPr>
            <w:tcW w:w="0" w:type="auto"/>
            <w:vAlign w:val="center"/>
            <w:hideMark/>
          </w:tcPr>
          <w:p w14:paraId="6A45D30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Significant negative REIT returns (Bredin et al., 2011)</w:t>
            </w:r>
          </w:p>
        </w:tc>
      </w:tr>
      <w:tr w:rsidR="002A5401" w:rsidRPr="002A5401" w14:paraId="1F3A7C40" w14:textId="77777777">
        <w:trPr>
          <w:tblCellSpacing w:w="15" w:type="dxa"/>
        </w:trPr>
        <w:tc>
          <w:tcPr>
            <w:tcW w:w="0" w:type="auto"/>
            <w:vAlign w:val="center"/>
            <w:hideMark/>
          </w:tcPr>
          <w:p w14:paraId="7B7E0F9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Forward-guidance surprises</w:t>
            </w:r>
          </w:p>
        </w:tc>
        <w:tc>
          <w:tcPr>
            <w:tcW w:w="0" w:type="auto"/>
            <w:vAlign w:val="center"/>
            <w:hideMark/>
          </w:tcPr>
          <w:p w14:paraId="2E2A137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Strong REIT effects near ZLB (Marfatia, 2017)</w:t>
            </w:r>
          </w:p>
        </w:tc>
      </w:tr>
      <w:tr w:rsidR="002A5401" w:rsidRPr="002A5401" w14:paraId="0C23A8DB" w14:textId="77777777">
        <w:trPr>
          <w:tblCellSpacing w:w="15" w:type="dxa"/>
        </w:trPr>
        <w:tc>
          <w:tcPr>
            <w:tcW w:w="0" w:type="auto"/>
            <w:vAlign w:val="center"/>
            <w:hideMark/>
          </w:tcPr>
          <w:p w14:paraId="21BD74E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QE1 &amp; QE2 (MBS-targeted)</w:t>
            </w:r>
          </w:p>
        </w:tc>
        <w:tc>
          <w:tcPr>
            <w:tcW w:w="0" w:type="auto"/>
            <w:vAlign w:val="center"/>
            <w:hideMark/>
          </w:tcPr>
          <w:p w14:paraId="7C3B5B1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MBS spread compression → REIT valuation boost</w:t>
            </w:r>
          </w:p>
        </w:tc>
      </w:tr>
      <w:tr w:rsidR="002A5401" w:rsidRPr="002A5401" w14:paraId="4ABD2A7F" w14:textId="77777777">
        <w:trPr>
          <w:tblCellSpacing w:w="15" w:type="dxa"/>
        </w:trPr>
        <w:tc>
          <w:tcPr>
            <w:tcW w:w="0" w:type="auto"/>
            <w:vAlign w:val="center"/>
            <w:hideMark/>
          </w:tcPr>
          <w:p w14:paraId="4F117EF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QT / balance-sheet runoff</w:t>
            </w:r>
          </w:p>
        </w:tc>
        <w:tc>
          <w:tcPr>
            <w:tcW w:w="0" w:type="auto"/>
            <w:vAlign w:val="center"/>
            <w:hideMark/>
          </w:tcPr>
          <w:p w14:paraId="6D3FFC4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Spread widening → negative REIT valuation reversal</w:t>
            </w:r>
          </w:p>
        </w:tc>
      </w:tr>
    </w:tbl>
    <w:p w14:paraId="56141EB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 critical takeaway is that REIT sensitivity is conditional rather than constant. As one review puts it, “the same monetary shock may reverse sign depending on leverage, liquidity stress, and macro regime.” In practice, this means that REIT responses to FOMC announcements depend on funding structures, balance-sheet leverage, and the interaction of rate, term-premium, and rental-demand channels.</w:t>
      </w:r>
    </w:p>
    <w:p w14:paraId="5CEBC88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7.3 Subsector Heterogeneity: Equity vs. Mortgage vs. Residential REITs</w:t>
      </w:r>
    </w:p>
    <w:p w14:paraId="5C7969D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strongest gap in the literature is the absence of sectoral </w:t>
      </w:r>
      <w:proofErr w:type="gramStart"/>
      <w:r w:rsidRPr="002A5401">
        <w:rPr>
          <w:rFonts w:ascii="Times New Roman" w:hAnsi="Times New Roman" w:cs="Times New Roman"/>
        </w:rPr>
        <w:t>decomposition at</w:t>
      </w:r>
      <w:proofErr w:type="gramEnd"/>
      <w:r w:rsidRPr="002A5401">
        <w:rPr>
          <w:rFonts w:ascii="Times New Roman" w:hAnsi="Times New Roman" w:cs="Times New Roman"/>
        </w:rPr>
        <w:t xml:space="preserve"> scale. Most empirical work aggregates REITs into broad indices, despite structural differences in duration exposure, leverage, rental elasticity, and MBS convexity risk.</w:t>
      </w:r>
    </w:p>
    <w:p w14:paraId="38DD514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Findings highlighted in the existing REIT literature include:</w:t>
      </w:r>
    </w:p>
    <w:p w14:paraId="1D845FF9" w14:textId="77777777" w:rsidR="002A5401" w:rsidRPr="002A5401" w:rsidRDefault="002A5401" w:rsidP="002A5401">
      <w:pPr>
        <w:numPr>
          <w:ilvl w:val="0"/>
          <w:numId w:val="57"/>
        </w:numPr>
        <w:rPr>
          <w:rFonts w:ascii="Times New Roman" w:hAnsi="Times New Roman" w:cs="Times New Roman"/>
        </w:rPr>
      </w:pPr>
      <w:r w:rsidRPr="002A5401">
        <w:rPr>
          <w:rFonts w:ascii="Times New Roman" w:hAnsi="Times New Roman" w:cs="Times New Roman"/>
        </w:rPr>
        <w:t>Equity REITs behave like income-sensitive equities and price discount-rate changes directly.</w:t>
      </w:r>
    </w:p>
    <w:p w14:paraId="7A628FFF" w14:textId="77777777" w:rsidR="002A5401" w:rsidRPr="002A5401" w:rsidRDefault="002A5401" w:rsidP="002A5401">
      <w:pPr>
        <w:numPr>
          <w:ilvl w:val="0"/>
          <w:numId w:val="57"/>
        </w:numPr>
        <w:rPr>
          <w:rFonts w:ascii="Times New Roman" w:hAnsi="Times New Roman" w:cs="Times New Roman"/>
        </w:rPr>
      </w:pPr>
      <w:r w:rsidRPr="002A5401">
        <w:rPr>
          <w:rFonts w:ascii="Times New Roman" w:hAnsi="Times New Roman" w:cs="Times New Roman"/>
        </w:rPr>
        <w:t>Mortgage REITs are leverage-amplifiers, with funding-rate shocks producing disproportionately negative returns.</w:t>
      </w:r>
    </w:p>
    <w:p w14:paraId="323B20D9" w14:textId="77777777" w:rsidR="002A5401" w:rsidRPr="002A5401" w:rsidRDefault="002A5401" w:rsidP="002A5401">
      <w:pPr>
        <w:numPr>
          <w:ilvl w:val="0"/>
          <w:numId w:val="57"/>
        </w:numPr>
        <w:rPr>
          <w:rFonts w:ascii="Times New Roman" w:hAnsi="Times New Roman" w:cs="Times New Roman"/>
        </w:rPr>
      </w:pPr>
      <w:r w:rsidRPr="002A5401">
        <w:rPr>
          <w:rFonts w:ascii="Times New Roman" w:hAnsi="Times New Roman" w:cs="Times New Roman"/>
        </w:rPr>
        <w:t>Residential REITs may benefit from monetary tightening when rental inflows offset valuation compression, especially when housing affordability declines.</w:t>
      </w:r>
    </w:p>
    <w:p w14:paraId="2167FE6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Despite these insights, no unified empirical model exists comparing equity, mortgage, and residential REIT sensitivity to FOMC shocks using a common high-frequency identification scheme. Sector-level differences are generally discussed qualitatively or in small samples but rarely estimated systematically.</w:t>
      </w:r>
    </w:p>
    <w:p w14:paraId="2D965EA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7.4 Literature Gaps and REIT Research Opportunity</w:t>
      </w:r>
    </w:p>
    <w:p w14:paraId="7CBAD65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Four gaps remain underexplored:</w:t>
      </w:r>
    </w:p>
    <w:p w14:paraId="26BE5426" w14:textId="77777777" w:rsidR="002A5401" w:rsidRPr="002A5401" w:rsidRDefault="002A5401" w:rsidP="002A5401">
      <w:pPr>
        <w:numPr>
          <w:ilvl w:val="0"/>
          <w:numId w:val="58"/>
        </w:numPr>
        <w:rPr>
          <w:rFonts w:ascii="Times New Roman" w:hAnsi="Times New Roman" w:cs="Times New Roman"/>
        </w:rPr>
      </w:pPr>
      <w:r w:rsidRPr="002A5401">
        <w:rPr>
          <w:rFonts w:ascii="Times New Roman" w:hAnsi="Times New Roman" w:cs="Times New Roman"/>
        </w:rPr>
        <w:lastRenderedPageBreak/>
        <w:t>Sector-specific transmission functions. Few studies estimate sector-specific REIT responses to decomposed FOMC shocks (target, path, information) in a unified framework.</w:t>
      </w:r>
    </w:p>
    <w:p w14:paraId="6EAF0FA4" w14:textId="77777777" w:rsidR="002A5401" w:rsidRPr="002A5401" w:rsidRDefault="002A5401" w:rsidP="002A5401">
      <w:pPr>
        <w:numPr>
          <w:ilvl w:val="0"/>
          <w:numId w:val="58"/>
        </w:numPr>
        <w:rPr>
          <w:rFonts w:ascii="Times New Roman" w:hAnsi="Times New Roman" w:cs="Times New Roman"/>
        </w:rPr>
      </w:pPr>
      <w:r w:rsidRPr="002A5401">
        <w:rPr>
          <w:rFonts w:ascii="Times New Roman" w:hAnsi="Times New Roman" w:cs="Times New Roman"/>
        </w:rPr>
        <w:t>Joint modeling with MBS and mortgage markets. REITs are rarely modeled jointly with MBS spreads, mortgage rates, and housing-credit conditions, even though mortgage REITs sit at the intersection of these markets.</w:t>
      </w:r>
    </w:p>
    <w:p w14:paraId="4CF7FE9D" w14:textId="7ABE6440" w:rsidR="002A5401" w:rsidRPr="002A5401" w:rsidRDefault="002A5401" w:rsidP="002A5401">
      <w:pPr>
        <w:numPr>
          <w:ilvl w:val="0"/>
          <w:numId w:val="58"/>
        </w:numPr>
        <w:rPr>
          <w:rFonts w:ascii="Times New Roman" w:hAnsi="Times New Roman" w:cs="Times New Roman"/>
        </w:rPr>
      </w:pPr>
      <w:proofErr w:type="gramStart"/>
      <w:r w:rsidRPr="002A5401">
        <w:rPr>
          <w:rFonts w:ascii="Times New Roman" w:hAnsi="Times New Roman" w:cs="Times New Roman"/>
        </w:rPr>
        <w:t>Rental-substitution</w:t>
      </w:r>
      <w:proofErr w:type="gramEnd"/>
      <w:r w:rsidRPr="002A5401">
        <w:rPr>
          <w:rFonts w:ascii="Times New Roman" w:hAnsi="Times New Roman" w:cs="Times New Roman"/>
        </w:rPr>
        <w:t xml:space="preserve"> and affordability channels. The rent-substitution channel</w:t>
      </w:r>
      <w:r w:rsidR="00896056">
        <w:rPr>
          <w:rFonts w:ascii="Times New Roman" w:hAnsi="Times New Roman" w:cs="Times New Roman"/>
        </w:rPr>
        <w:t xml:space="preserve"> - </w:t>
      </w:r>
      <w:r w:rsidRPr="002A5401">
        <w:rPr>
          <w:rFonts w:ascii="Times New Roman" w:hAnsi="Times New Roman" w:cs="Times New Roman"/>
        </w:rPr>
        <w:t>central for residential REITs</w:t>
      </w:r>
      <w:r w:rsidR="00896056">
        <w:rPr>
          <w:rFonts w:ascii="Times New Roman" w:hAnsi="Times New Roman" w:cs="Times New Roman"/>
        </w:rPr>
        <w:t xml:space="preserve"> - </w:t>
      </w:r>
      <w:r w:rsidRPr="002A5401">
        <w:rPr>
          <w:rFonts w:ascii="Times New Roman" w:hAnsi="Times New Roman" w:cs="Times New Roman"/>
        </w:rPr>
        <w:t>lacks direct empirical testing in a high-frequency monetary-policy setting.</w:t>
      </w:r>
    </w:p>
    <w:p w14:paraId="60EFA693" w14:textId="77777777" w:rsidR="002A5401" w:rsidRPr="002A5401" w:rsidRDefault="002A5401" w:rsidP="002A5401">
      <w:pPr>
        <w:numPr>
          <w:ilvl w:val="0"/>
          <w:numId w:val="58"/>
        </w:numPr>
        <w:rPr>
          <w:rFonts w:ascii="Times New Roman" w:hAnsi="Times New Roman" w:cs="Times New Roman"/>
        </w:rPr>
      </w:pPr>
      <w:r w:rsidRPr="002A5401">
        <w:rPr>
          <w:rFonts w:ascii="Times New Roman" w:hAnsi="Times New Roman" w:cs="Times New Roman"/>
        </w:rPr>
        <w:t>Cross-country REIT spillovers. Cross-country REIT spillovers from U.S. policy are minimally studied, despite growing global REIT market share and substantial foreign holdings of USD- and non-USD-funded REIT structures.</w:t>
      </w:r>
    </w:p>
    <w:p w14:paraId="64D6319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These gaps naturally raise a set of questions that the existing literature has not answered in a systematic way:</w:t>
      </w:r>
    </w:p>
    <w:p w14:paraId="08384B31" w14:textId="77777777" w:rsidR="002A5401" w:rsidRPr="002A5401" w:rsidRDefault="002A5401" w:rsidP="002A5401">
      <w:pPr>
        <w:numPr>
          <w:ilvl w:val="0"/>
          <w:numId w:val="59"/>
        </w:numPr>
        <w:rPr>
          <w:rFonts w:ascii="Times New Roman" w:hAnsi="Times New Roman" w:cs="Times New Roman"/>
        </w:rPr>
      </w:pPr>
      <w:r w:rsidRPr="002A5401">
        <w:rPr>
          <w:rFonts w:ascii="Times New Roman" w:hAnsi="Times New Roman" w:cs="Times New Roman"/>
        </w:rPr>
        <w:t>How do foreign REIT markets absorb U.S. monetary shocks compared to domestic REIT sectors?</w:t>
      </w:r>
    </w:p>
    <w:p w14:paraId="72A93D29" w14:textId="77777777" w:rsidR="002A5401" w:rsidRPr="002A5401" w:rsidRDefault="002A5401" w:rsidP="002A5401">
      <w:pPr>
        <w:numPr>
          <w:ilvl w:val="0"/>
          <w:numId w:val="59"/>
        </w:numPr>
        <w:rPr>
          <w:rFonts w:ascii="Times New Roman" w:hAnsi="Times New Roman" w:cs="Times New Roman"/>
        </w:rPr>
      </w:pPr>
      <w:r w:rsidRPr="002A5401">
        <w:rPr>
          <w:rFonts w:ascii="Times New Roman" w:hAnsi="Times New Roman" w:cs="Times New Roman"/>
        </w:rPr>
        <w:t>Are residential REITs in other advanced economies (e.g., Australia, the U.K.) also rent-channel positive when U.S. policy tightens?</w:t>
      </w:r>
    </w:p>
    <w:p w14:paraId="619C4E18" w14:textId="77777777" w:rsidR="002A5401" w:rsidRPr="002A5401" w:rsidRDefault="002A5401" w:rsidP="002A5401">
      <w:pPr>
        <w:numPr>
          <w:ilvl w:val="0"/>
          <w:numId w:val="59"/>
        </w:numPr>
        <w:rPr>
          <w:rFonts w:ascii="Times New Roman" w:hAnsi="Times New Roman" w:cs="Times New Roman"/>
        </w:rPr>
      </w:pPr>
      <w:r w:rsidRPr="002A5401">
        <w:rPr>
          <w:rFonts w:ascii="Times New Roman" w:hAnsi="Times New Roman" w:cs="Times New Roman"/>
        </w:rPr>
        <w:t xml:space="preserve">Do Asian </w:t>
      </w:r>
      <w:proofErr w:type="spellStart"/>
      <w:r w:rsidRPr="002A5401">
        <w:rPr>
          <w:rFonts w:ascii="Times New Roman" w:hAnsi="Times New Roman" w:cs="Times New Roman"/>
        </w:rPr>
        <w:t>mREITs</w:t>
      </w:r>
      <w:proofErr w:type="spellEnd"/>
      <w:r w:rsidRPr="002A5401">
        <w:rPr>
          <w:rFonts w:ascii="Times New Roman" w:hAnsi="Times New Roman" w:cs="Times New Roman"/>
        </w:rPr>
        <w:t xml:space="preserve"> and other globally funded REITs behave differently due to non-USD or multi-currency funding structures?</w:t>
      </w:r>
    </w:p>
    <w:p w14:paraId="446CE6D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This dissertation enters precisely this gap, offering the first structured attempt to estimate domestic sector-level REIT sensitivity and international REIT spillovers to </w:t>
      </w:r>
      <w:proofErr w:type="gramStart"/>
      <w:r w:rsidRPr="002A5401">
        <w:rPr>
          <w:rFonts w:ascii="Times New Roman" w:hAnsi="Times New Roman" w:cs="Times New Roman"/>
        </w:rPr>
        <w:t>decomposed</w:t>
      </w:r>
      <w:proofErr w:type="gramEnd"/>
      <w:r w:rsidRPr="002A5401">
        <w:rPr>
          <w:rFonts w:ascii="Times New Roman" w:hAnsi="Times New Roman" w:cs="Times New Roman"/>
        </w:rPr>
        <w:t xml:space="preserve"> FOMC shocks.</w:t>
      </w:r>
    </w:p>
    <w:p w14:paraId="20E03360" w14:textId="4B478EB7" w:rsidR="002A5401" w:rsidRPr="002A5401" w:rsidRDefault="002A5401" w:rsidP="002A5401">
      <w:pPr>
        <w:rPr>
          <w:rFonts w:ascii="Times New Roman" w:hAnsi="Times New Roman" w:cs="Times New Roman"/>
        </w:rPr>
      </w:pPr>
    </w:p>
    <w:p w14:paraId="541FB3FA"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8. Volatility, Crypto, and Other Alternative Assets</w:t>
      </w:r>
    </w:p>
    <w:p w14:paraId="5F48704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8.1 Findings</w:t>
      </w:r>
    </w:p>
    <w:p w14:paraId="7909758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Although only a handful of papers explicitly examine volatility and crypto assets, the findings are consistent with the broader risk-premium literature. Volatility indices (VIX, MOVE) rise sharply following hawkish surprises and fall on dovish or QE news (Andersen et al., 2019; Bollerslev et al., 2022). These reactions are strongest for forward-guidance and information shocks that alter expected macro uncertainty. Cross-asset implied volatilities co-move on FOMC days, indicating a common discount-rate driver.</w:t>
      </w:r>
    </w:p>
    <w:p w14:paraId="7AEE3B9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Crypto assets such as Bitcoin and Ethereum respond similarly to high-beta equities: they decline on hawkish news and rally on dovish or liquidity-expanding announcements (Corbet et al., 2018; </w:t>
      </w:r>
      <w:r w:rsidRPr="002A5401">
        <w:rPr>
          <w:rFonts w:ascii="Times New Roman" w:hAnsi="Times New Roman" w:cs="Times New Roman"/>
        </w:rPr>
        <w:lastRenderedPageBreak/>
        <w:t xml:space="preserve">Liu &amp; </w:t>
      </w:r>
      <w:proofErr w:type="spellStart"/>
      <w:r w:rsidRPr="002A5401">
        <w:rPr>
          <w:rFonts w:ascii="Times New Roman" w:hAnsi="Times New Roman" w:cs="Times New Roman"/>
        </w:rPr>
        <w:t>Tsyvinski</w:t>
      </w:r>
      <w:proofErr w:type="spellEnd"/>
      <w:r w:rsidRPr="002A5401">
        <w:rPr>
          <w:rFonts w:ascii="Times New Roman" w:hAnsi="Times New Roman" w:cs="Times New Roman"/>
        </w:rPr>
        <w:t>, 2022). Since 2020, the correlation between crypto and risk assets has increased with institutional participation, undermining earlier claims that cryptocurrencies serve as safe havens.</w:t>
      </w:r>
    </w:p>
    <w:p w14:paraId="20710CC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8.2 Similarities and Differences</w:t>
      </w:r>
    </w:p>
    <w:p w14:paraId="2C0366E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Both volatility and crypto react primarily through risk-sentiment and liquidity channels. Differences emerge across sample periods: before 2018, crypto reactions were muted due to limited market depth; post-2020, they align closely with traditional risk assets. Intraday volatility spikes tend to mean-revert quickly, while longer-horizon measures (implied vols) remain elevated after hawkish surprises.</w:t>
      </w:r>
    </w:p>
    <w:p w14:paraId="198EE85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8.3 Conflicts and Gaps</w:t>
      </w:r>
    </w:p>
    <w:p w14:paraId="1A73E4D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Scholars debate whether volatility spikes represent policy uncertainty or information revelation effects. Similarly, conflicting evidence on crypto’s safe-haven role arises from structural evolution of the market itself. Future work should estimate volatility-spillover matrices linking equities, bonds, commodities, and crypto around FOMC events, and incorporate liquidity variables (ON RRP balances, funding spreads) to trace the liquidity channel of volatility transmission.</w:t>
      </w:r>
    </w:p>
    <w:p w14:paraId="6B1FBFE9" w14:textId="133AE3D1" w:rsidR="002A5401" w:rsidRPr="002A5401" w:rsidRDefault="002A5401" w:rsidP="002A5401">
      <w:pPr>
        <w:rPr>
          <w:rFonts w:ascii="Times New Roman" w:hAnsi="Times New Roman" w:cs="Times New Roman"/>
        </w:rPr>
      </w:pPr>
    </w:p>
    <w:p w14:paraId="3C122E61"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9. Cross-Asset Synthesis and Empirical Regularities</w:t>
      </w:r>
    </w:p>
    <w:p w14:paraId="208A05E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9.1 Unified Empirical Patterns</w:t>
      </w:r>
    </w:p>
    <w:p w14:paraId="6A11070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Drawing together evidence from all asset classes yields three dominant empirical regularities:</w:t>
      </w:r>
    </w:p>
    <w:p w14:paraId="2A481D92" w14:textId="580D92E3" w:rsidR="002A5401" w:rsidRPr="002A5401" w:rsidRDefault="002A5401" w:rsidP="002A5401">
      <w:pPr>
        <w:numPr>
          <w:ilvl w:val="0"/>
          <w:numId w:val="60"/>
        </w:numPr>
        <w:rPr>
          <w:rFonts w:ascii="Times New Roman" w:hAnsi="Times New Roman" w:cs="Times New Roman"/>
        </w:rPr>
      </w:pPr>
      <w:r w:rsidRPr="002A5401">
        <w:rPr>
          <w:rFonts w:ascii="Times New Roman" w:hAnsi="Times New Roman" w:cs="Times New Roman"/>
        </w:rPr>
        <w:t>Sign discipline.</w:t>
      </w:r>
      <w:r w:rsidRPr="002A5401">
        <w:rPr>
          <w:rFonts w:ascii="Times New Roman" w:hAnsi="Times New Roman" w:cs="Times New Roman"/>
        </w:rPr>
        <w:br/>
        <w:t>Unexpected monetary tightening raises yields, strengthens the dollar, widens credit spreads, depresses equities, REITs, and gold, and elevates volatility</w:t>
      </w:r>
      <w:r w:rsidR="00896056">
        <w:rPr>
          <w:rFonts w:ascii="Times New Roman" w:hAnsi="Times New Roman" w:cs="Times New Roman"/>
        </w:rPr>
        <w:t xml:space="preserve"> - </w:t>
      </w:r>
      <w:r w:rsidRPr="002A5401">
        <w:rPr>
          <w:rFonts w:ascii="Times New Roman" w:hAnsi="Times New Roman" w:cs="Times New Roman"/>
        </w:rPr>
        <w:t>collectively tightening financial conditions. Dovish or QE signals generate the opposite constellation.</w:t>
      </w:r>
    </w:p>
    <w:p w14:paraId="2BA32516" w14:textId="77777777" w:rsidR="002A5401" w:rsidRPr="002A5401" w:rsidRDefault="002A5401" w:rsidP="002A5401">
      <w:pPr>
        <w:numPr>
          <w:ilvl w:val="0"/>
          <w:numId w:val="60"/>
        </w:numPr>
        <w:rPr>
          <w:rFonts w:ascii="Times New Roman" w:hAnsi="Times New Roman" w:cs="Times New Roman"/>
        </w:rPr>
      </w:pPr>
      <w:r w:rsidRPr="002A5401">
        <w:rPr>
          <w:rFonts w:ascii="Times New Roman" w:hAnsi="Times New Roman" w:cs="Times New Roman"/>
        </w:rPr>
        <w:t>Information effects.</w:t>
      </w:r>
      <w:r w:rsidRPr="002A5401">
        <w:rPr>
          <w:rFonts w:ascii="Times New Roman" w:hAnsi="Times New Roman" w:cs="Times New Roman"/>
        </w:rPr>
        <w:br/>
        <w:t>When FOMC communication conveys improved growth expectations, risk assets and yields can rise together, complicating simple “tightening = negative” narratives. Such events highlight the informational role of central-bank communication.</w:t>
      </w:r>
    </w:p>
    <w:p w14:paraId="2CD27591" w14:textId="77777777" w:rsidR="002A5401" w:rsidRPr="002A5401" w:rsidRDefault="002A5401" w:rsidP="002A5401">
      <w:pPr>
        <w:numPr>
          <w:ilvl w:val="0"/>
          <w:numId w:val="60"/>
        </w:numPr>
        <w:rPr>
          <w:rFonts w:ascii="Times New Roman" w:hAnsi="Times New Roman" w:cs="Times New Roman"/>
        </w:rPr>
      </w:pPr>
      <w:r w:rsidRPr="002A5401">
        <w:rPr>
          <w:rFonts w:ascii="Times New Roman" w:hAnsi="Times New Roman" w:cs="Times New Roman"/>
        </w:rPr>
        <w:t>State dependence.</w:t>
      </w:r>
      <w:r w:rsidRPr="002A5401">
        <w:rPr>
          <w:rFonts w:ascii="Times New Roman" w:hAnsi="Times New Roman" w:cs="Times New Roman"/>
        </w:rPr>
        <w:br/>
        <w:t xml:space="preserve">Responses are largest in high-uncertainty, crisis, and ZLB regimes; smaller in tranquil or predictable policy environments. Balance-sheet policies amplify cross-asset </w:t>
      </w:r>
      <w:proofErr w:type="spellStart"/>
      <w:r w:rsidRPr="002A5401">
        <w:rPr>
          <w:rFonts w:ascii="Times New Roman" w:hAnsi="Times New Roman" w:cs="Times New Roman"/>
        </w:rPr>
        <w:t>comovement</w:t>
      </w:r>
      <w:proofErr w:type="spellEnd"/>
      <w:r w:rsidRPr="002A5401">
        <w:rPr>
          <w:rFonts w:ascii="Times New Roman" w:hAnsi="Times New Roman" w:cs="Times New Roman"/>
        </w:rPr>
        <w:t xml:space="preserve"> by altering term and risk premia.</w:t>
      </w:r>
    </w:p>
    <w:p w14:paraId="20F4F47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9.2 Cross-Asset Linkages</w:t>
      </w:r>
    </w:p>
    <w:p w14:paraId="705393A8" w14:textId="191C46F8"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The literature reveals substantial synchronization of price movements across asset classes within the 30- to 120-minute event window. FOMC shocks propagate through common valuation channels</w:t>
      </w:r>
      <w:r w:rsidR="00896056">
        <w:rPr>
          <w:rFonts w:ascii="Times New Roman" w:hAnsi="Times New Roman" w:cs="Times New Roman"/>
        </w:rPr>
        <w:t xml:space="preserve"> - </w:t>
      </w:r>
      <w:r w:rsidRPr="002A5401">
        <w:rPr>
          <w:rFonts w:ascii="Times New Roman" w:hAnsi="Times New Roman" w:cs="Times New Roman"/>
        </w:rPr>
        <w:t>real-rate, risk-premium, and information</w:t>
      </w:r>
      <w:r w:rsidR="00896056">
        <w:rPr>
          <w:rFonts w:ascii="Times New Roman" w:hAnsi="Times New Roman" w:cs="Times New Roman"/>
        </w:rPr>
        <w:t xml:space="preserve"> - </w:t>
      </w:r>
      <w:r w:rsidRPr="002A5401">
        <w:rPr>
          <w:rFonts w:ascii="Times New Roman" w:hAnsi="Times New Roman" w:cs="Times New Roman"/>
        </w:rPr>
        <w:t>producing strong positive correlations among duration assets (bonds, REITs, equities) and negative correlations with safe-havens (gold, dollar). The coherence of these reactions underscores the central role of monetary policy as the anchor of global asset pricing.</w:t>
      </w:r>
    </w:p>
    <w:p w14:paraId="51547BB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9.3 Remaining Gaps</w:t>
      </w:r>
    </w:p>
    <w:p w14:paraId="311B9DC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Despite broad empirical consensus, several gaps motivate further inquiry:</w:t>
      </w:r>
    </w:p>
    <w:p w14:paraId="0B7FF9BD" w14:textId="77777777" w:rsidR="002A5401" w:rsidRPr="002A5401" w:rsidRDefault="002A5401" w:rsidP="002A5401">
      <w:pPr>
        <w:numPr>
          <w:ilvl w:val="0"/>
          <w:numId w:val="61"/>
        </w:numPr>
        <w:rPr>
          <w:rFonts w:ascii="Times New Roman" w:hAnsi="Times New Roman" w:cs="Times New Roman"/>
        </w:rPr>
      </w:pPr>
      <w:r w:rsidRPr="002A5401">
        <w:rPr>
          <w:rFonts w:ascii="Times New Roman" w:hAnsi="Times New Roman" w:cs="Times New Roman"/>
        </w:rPr>
        <w:t>Integrated cross-asset identification.</w:t>
      </w:r>
      <w:r w:rsidRPr="002A5401">
        <w:rPr>
          <w:rFonts w:ascii="Times New Roman" w:hAnsi="Times New Roman" w:cs="Times New Roman"/>
        </w:rPr>
        <w:br/>
        <w:t>Few studies jointly estimate the effect of FOMC shocks on all major asset classes using a single identification scheme. A unified high-frequency framework combining target, path, and information components would quantify true cross-asset elasticities.</w:t>
      </w:r>
    </w:p>
    <w:p w14:paraId="479C8E78" w14:textId="77777777" w:rsidR="002A5401" w:rsidRPr="002A5401" w:rsidRDefault="002A5401" w:rsidP="002A5401">
      <w:pPr>
        <w:numPr>
          <w:ilvl w:val="0"/>
          <w:numId w:val="61"/>
        </w:numPr>
        <w:rPr>
          <w:rFonts w:ascii="Times New Roman" w:hAnsi="Times New Roman" w:cs="Times New Roman"/>
        </w:rPr>
      </w:pPr>
      <w:r w:rsidRPr="002A5401">
        <w:rPr>
          <w:rFonts w:ascii="Times New Roman" w:hAnsi="Times New Roman" w:cs="Times New Roman"/>
        </w:rPr>
        <w:t>Balance-sheet channel quantification.</w:t>
      </w:r>
      <w:r w:rsidRPr="002A5401">
        <w:rPr>
          <w:rFonts w:ascii="Times New Roman" w:hAnsi="Times New Roman" w:cs="Times New Roman"/>
        </w:rPr>
        <w:br/>
        <w:t xml:space="preserve">QE/QT effects remain inconsistently decomposed between signaling and term-premium mechanisms. Structural models linking balance-sheet size to multi-asset term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are needed.</w:t>
      </w:r>
    </w:p>
    <w:p w14:paraId="5C125E05" w14:textId="77777777" w:rsidR="002A5401" w:rsidRPr="002A5401" w:rsidRDefault="002A5401" w:rsidP="002A5401">
      <w:pPr>
        <w:numPr>
          <w:ilvl w:val="0"/>
          <w:numId w:val="61"/>
        </w:numPr>
        <w:rPr>
          <w:rFonts w:ascii="Times New Roman" w:hAnsi="Times New Roman" w:cs="Times New Roman"/>
        </w:rPr>
      </w:pPr>
      <w:r w:rsidRPr="002A5401">
        <w:rPr>
          <w:rFonts w:ascii="Times New Roman" w:hAnsi="Times New Roman" w:cs="Times New Roman"/>
        </w:rPr>
        <w:t xml:space="preserve">Macro-financial </w:t>
      </w:r>
      <w:proofErr w:type="gramStart"/>
      <w:r w:rsidRPr="002A5401">
        <w:rPr>
          <w:rFonts w:ascii="Times New Roman" w:hAnsi="Times New Roman" w:cs="Times New Roman"/>
        </w:rPr>
        <w:t>feedbacks</w:t>
      </w:r>
      <w:proofErr w:type="gramEnd"/>
      <w:r w:rsidRPr="002A5401">
        <w:rPr>
          <w:rFonts w:ascii="Times New Roman" w:hAnsi="Times New Roman" w:cs="Times New Roman"/>
        </w:rPr>
        <w:t>.</w:t>
      </w:r>
      <w:r w:rsidRPr="002A5401">
        <w:rPr>
          <w:rFonts w:ascii="Times New Roman" w:hAnsi="Times New Roman" w:cs="Times New Roman"/>
        </w:rPr>
        <w:br/>
        <w:t>Most event studies stop at asset prices; integrating them into dynamic general-equilibrium or GVAR settings could trace how asset-price adjustments feed back into output, inflation, and financial stability.</w:t>
      </w:r>
    </w:p>
    <w:p w14:paraId="47ADCA25" w14:textId="77777777" w:rsidR="002A5401" w:rsidRPr="002A5401" w:rsidRDefault="002A5401" w:rsidP="002A5401">
      <w:pPr>
        <w:numPr>
          <w:ilvl w:val="0"/>
          <w:numId w:val="61"/>
        </w:numPr>
        <w:rPr>
          <w:rFonts w:ascii="Times New Roman" w:hAnsi="Times New Roman" w:cs="Times New Roman"/>
        </w:rPr>
      </w:pPr>
      <w:r w:rsidRPr="002A5401">
        <w:rPr>
          <w:rFonts w:ascii="Times New Roman" w:hAnsi="Times New Roman" w:cs="Times New Roman"/>
        </w:rPr>
        <w:t>Evolving asset classes and real-estate vehicles.</w:t>
      </w:r>
      <w:r w:rsidRPr="002A5401">
        <w:rPr>
          <w:rFonts w:ascii="Times New Roman" w:hAnsi="Times New Roman" w:cs="Times New Roman"/>
        </w:rPr>
        <w:br/>
        <w:t>The rise of crypto, volatility-linked products, and globally funded REITs introduces new transmission paths via global liquidity and risk appetite. Continuous updating of event datasets is necessary to capture these emerging dynamics.</w:t>
      </w:r>
    </w:p>
    <w:p w14:paraId="7130CF9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9.4 Summary of Part I</w:t>
      </w:r>
    </w:p>
    <w:p w14:paraId="7898F878" w14:textId="13847EC8" w:rsidR="002A5401" w:rsidRPr="002A5401" w:rsidRDefault="002A5401" w:rsidP="002A5401">
      <w:pPr>
        <w:rPr>
          <w:rFonts w:ascii="Times New Roman" w:hAnsi="Times New Roman" w:cs="Times New Roman"/>
        </w:rPr>
      </w:pPr>
      <w:r w:rsidRPr="002A5401">
        <w:rPr>
          <w:rFonts w:ascii="Times New Roman" w:hAnsi="Times New Roman" w:cs="Times New Roman"/>
        </w:rPr>
        <w:t>In summary, the collective evidence from one hundred empirical studies establishes that FOMC announcements act as the single most influential driver of contemporaneous cross-asset repricing. The magnitude and persistence of these effects depend on the composition of the policy shock</w:t>
      </w:r>
      <w:r w:rsidR="00896056">
        <w:rPr>
          <w:rFonts w:ascii="Times New Roman" w:hAnsi="Times New Roman" w:cs="Times New Roman"/>
        </w:rPr>
        <w:t xml:space="preserve"> - </w:t>
      </w:r>
      <w:r w:rsidRPr="002A5401">
        <w:rPr>
          <w:rFonts w:ascii="Times New Roman" w:hAnsi="Times New Roman" w:cs="Times New Roman"/>
        </w:rPr>
        <w:t>target, path, or information</w:t>
      </w:r>
      <w:r w:rsidR="00896056">
        <w:rPr>
          <w:rFonts w:ascii="Times New Roman" w:hAnsi="Times New Roman" w:cs="Times New Roman"/>
        </w:rPr>
        <w:t xml:space="preserve"> - </w:t>
      </w:r>
      <w:r w:rsidRPr="002A5401">
        <w:rPr>
          <w:rFonts w:ascii="Times New Roman" w:hAnsi="Times New Roman" w:cs="Times New Roman"/>
        </w:rPr>
        <w:t>and on prevailing financial conditions. Fixed-income markets anchor the transmission, equities and credit adjust through discount-rate and risk-premium channels, FX and commodities reflect external-balance and demand effects, and alternative assets mirror shifts in liquidity and sentiment.</w:t>
      </w:r>
    </w:p>
    <w:p w14:paraId="1F811659" w14:textId="756FCA6E"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These patterns confirm that monetary policy shocks are not confined to a single market but reverberate across the global financial system in a matter of minutes. Understanding these inter-market linkages provides the empirical foundation for Part II, which analyzes how FOMC shocks </w:t>
      </w:r>
      <w:r w:rsidRPr="002A5401">
        <w:rPr>
          <w:rFonts w:ascii="Times New Roman" w:hAnsi="Times New Roman" w:cs="Times New Roman"/>
        </w:rPr>
        <w:lastRenderedPageBreak/>
        <w:t>propagate across countries, and Part III, which unpacks the structural channels</w:t>
      </w:r>
      <w:r w:rsidR="00896056">
        <w:rPr>
          <w:rFonts w:ascii="Times New Roman" w:hAnsi="Times New Roman" w:cs="Times New Roman"/>
        </w:rPr>
        <w:t xml:space="preserve"> - </w:t>
      </w:r>
      <w:r w:rsidRPr="002A5401">
        <w:rPr>
          <w:rFonts w:ascii="Times New Roman" w:hAnsi="Times New Roman" w:cs="Times New Roman"/>
        </w:rPr>
        <w:t xml:space="preserve">monetary, credit, external-dollar, and </w:t>
      </w:r>
      <w:proofErr w:type="gramStart"/>
      <w:r w:rsidRPr="002A5401">
        <w:rPr>
          <w:rFonts w:ascii="Times New Roman" w:hAnsi="Times New Roman" w:cs="Times New Roman"/>
        </w:rPr>
        <w:t>real-estate</w:t>
      </w:r>
      <w:proofErr w:type="gramEnd"/>
      <w:r w:rsidRPr="002A5401">
        <w:rPr>
          <w:rFonts w:ascii="Times New Roman" w:hAnsi="Times New Roman" w:cs="Times New Roman"/>
        </w:rPr>
        <w:t xml:space="preserve"> related</w:t>
      </w:r>
      <w:r w:rsidR="00896056">
        <w:rPr>
          <w:rFonts w:ascii="Times New Roman" w:hAnsi="Times New Roman" w:cs="Times New Roman"/>
        </w:rPr>
        <w:t xml:space="preserve"> - </w:t>
      </w:r>
      <w:r w:rsidRPr="002A5401">
        <w:rPr>
          <w:rFonts w:ascii="Times New Roman" w:hAnsi="Times New Roman" w:cs="Times New Roman"/>
        </w:rPr>
        <w:t>that govern these spillovers.</w:t>
      </w:r>
    </w:p>
    <w:p w14:paraId="36430676" w14:textId="55427A87" w:rsidR="002A5401" w:rsidRPr="002A5401" w:rsidRDefault="002A5401" w:rsidP="002A5401">
      <w:pPr>
        <w:rPr>
          <w:rFonts w:ascii="Times New Roman" w:hAnsi="Times New Roman" w:cs="Times New Roman"/>
        </w:rPr>
      </w:pPr>
    </w:p>
    <w:p w14:paraId="445BA43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Part II - Cross-Country and Global Spillovers of FOMC Announcements</w:t>
      </w:r>
    </w:p>
    <w:p w14:paraId="0AB70F5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10. Introduction: The Global Reach of U.S. Monetary Policy</w:t>
      </w:r>
    </w:p>
    <w:p w14:paraId="2BD576FF" w14:textId="3545EFA9" w:rsidR="002A5401" w:rsidRPr="002A5401" w:rsidRDefault="002A5401" w:rsidP="002A5401">
      <w:pPr>
        <w:rPr>
          <w:rFonts w:ascii="Times New Roman" w:hAnsi="Times New Roman" w:cs="Times New Roman"/>
        </w:rPr>
      </w:pPr>
      <w:r w:rsidRPr="002A5401">
        <w:rPr>
          <w:rFonts w:ascii="Times New Roman" w:hAnsi="Times New Roman" w:cs="Times New Roman"/>
        </w:rPr>
        <w:t>The U.S. Federal Reserve’s decisions reverberate far beyond domestic borders. As the issuer of the world’s dominant reserve and invoicing currency, the United States anchors global financial conditions. FOMC announcements</w:t>
      </w:r>
      <w:r w:rsidR="00896056">
        <w:rPr>
          <w:rFonts w:ascii="Times New Roman" w:hAnsi="Times New Roman" w:cs="Times New Roman"/>
        </w:rPr>
        <w:t xml:space="preserve"> - </w:t>
      </w:r>
      <w:r w:rsidRPr="002A5401">
        <w:rPr>
          <w:rFonts w:ascii="Times New Roman" w:hAnsi="Times New Roman" w:cs="Times New Roman"/>
        </w:rPr>
        <w:t>particularly unexpected changes in the policy rate, forward guidance, or balance-sheet policy</w:t>
      </w:r>
      <w:r w:rsidR="00896056">
        <w:rPr>
          <w:rFonts w:ascii="Times New Roman" w:hAnsi="Times New Roman" w:cs="Times New Roman"/>
        </w:rPr>
        <w:t xml:space="preserve"> - </w:t>
      </w:r>
      <w:r w:rsidRPr="002A5401">
        <w:rPr>
          <w:rFonts w:ascii="Times New Roman" w:hAnsi="Times New Roman" w:cs="Times New Roman"/>
        </w:rPr>
        <w:t xml:space="preserve">provoke near-simultaneous movements in asset prices across continents. The modern literature documents that U.S. monetary shocks are global shocks: they reprice foreign yields, exchange rates, equities, and credit spreads within minutes (Hausman &amp; </w:t>
      </w:r>
      <w:proofErr w:type="spellStart"/>
      <w:r w:rsidRPr="002A5401">
        <w:rPr>
          <w:rFonts w:ascii="Times New Roman" w:hAnsi="Times New Roman" w:cs="Times New Roman"/>
        </w:rPr>
        <w:t>Wongswan</w:t>
      </w:r>
      <w:proofErr w:type="spellEnd"/>
      <w:r w:rsidRPr="002A5401">
        <w:rPr>
          <w:rFonts w:ascii="Times New Roman" w:hAnsi="Times New Roman" w:cs="Times New Roman"/>
        </w:rPr>
        <w:t>, 2006; Georgiadis, 2016).</w:t>
      </w:r>
    </w:p>
    <w:p w14:paraId="3742D30E" w14:textId="7A1B28D8" w:rsidR="002A5401" w:rsidRPr="002A5401" w:rsidRDefault="002A5401" w:rsidP="002A5401">
      <w:pPr>
        <w:rPr>
          <w:rFonts w:ascii="Times New Roman" w:hAnsi="Times New Roman" w:cs="Times New Roman"/>
        </w:rPr>
      </w:pPr>
      <w:r w:rsidRPr="002A5401">
        <w:rPr>
          <w:rFonts w:ascii="Times New Roman" w:hAnsi="Times New Roman" w:cs="Times New Roman"/>
        </w:rPr>
        <w:t>The mechanism rests on three pillars. First, financial integration transmits discount-rate and risk-premium adjustments through global investors’ portfolios. Second, the U.S. dollar’s centrality</w:t>
      </w:r>
      <w:r w:rsidR="00896056">
        <w:rPr>
          <w:rFonts w:ascii="Times New Roman" w:hAnsi="Times New Roman" w:cs="Times New Roman"/>
        </w:rPr>
        <w:t xml:space="preserve"> - </w:t>
      </w:r>
      <w:r w:rsidRPr="002A5401">
        <w:rPr>
          <w:rFonts w:ascii="Times New Roman" w:hAnsi="Times New Roman" w:cs="Times New Roman"/>
        </w:rPr>
        <w:t>as funding, invoicing, and reserve currency</w:t>
      </w:r>
      <w:r w:rsidR="00896056">
        <w:rPr>
          <w:rFonts w:ascii="Times New Roman" w:hAnsi="Times New Roman" w:cs="Times New Roman"/>
        </w:rPr>
        <w:t xml:space="preserve"> - </w:t>
      </w:r>
      <w:r w:rsidRPr="002A5401">
        <w:rPr>
          <w:rFonts w:ascii="Times New Roman" w:hAnsi="Times New Roman" w:cs="Times New Roman"/>
        </w:rPr>
        <w:t xml:space="preserve">links foreign balance sheets directly to Fed policy (Bruno &amp; Shin, 2015; </w:t>
      </w:r>
      <w:proofErr w:type="spellStart"/>
      <w:r w:rsidRPr="002A5401">
        <w:rPr>
          <w:rFonts w:ascii="Times New Roman" w:hAnsi="Times New Roman" w:cs="Times New Roman"/>
        </w:rPr>
        <w:t>Avdjiev</w:t>
      </w:r>
      <w:proofErr w:type="spellEnd"/>
      <w:r w:rsidRPr="002A5401">
        <w:rPr>
          <w:rFonts w:ascii="Times New Roman" w:hAnsi="Times New Roman" w:cs="Times New Roman"/>
        </w:rPr>
        <w:t xml:space="preserve"> et al., 2019). Third, FOMC communications reveal information about global growth, shaping expectations even when local monetary policy remains unchanged (Nakamura &amp; Steinsson, 2018). Together, these channels create what Rey (2015) calls the “global financial cycle,” in which Fed policy acts as a common global factor in asset prices.</w:t>
      </w:r>
    </w:p>
    <w:p w14:paraId="19A77F54" w14:textId="72637052" w:rsidR="002A5401" w:rsidRPr="002A5401" w:rsidRDefault="002A5401" w:rsidP="002A5401">
      <w:pPr>
        <w:rPr>
          <w:rFonts w:ascii="Times New Roman" w:hAnsi="Times New Roman" w:cs="Times New Roman"/>
        </w:rPr>
      </w:pPr>
    </w:p>
    <w:p w14:paraId="49CC78AE"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11. Early Event-Study Evidence</w:t>
      </w:r>
    </w:p>
    <w:p w14:paraId="443E89C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11.1 Genesis of International Event Studies</w:t>
      </w:r>
    </w:p>
    <w:p w14:paraId="2E382D40" w14:textId="76E6AEE4"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pioneering work of Hausman &amp; </w:t>
      </w:r>
      <w:proofErr w:type="spellStart"/>
      <w:r w:rsidRPr="002A5401">
        <w:rPr>
          <w:rFonts w:ascii="Times New Roman" w:hAnsi="Times New Roman" w:cs="Times New Roman"/>
        </w:rPr>
        <w:t>Wongswan</w:t>
      </w:r>
      <w:proofErr w:type="spellEnd"/>
      <w:r w:rsidRPr="002A5401">
        <w:rPr>
          <w:rFonts w:ascii="Times New Roman" w:hAnsi="Times New Roman" w:cs="Times New Roman"/>
        </w:rPr>
        <w:t xml:space="preserve"> (2006) marked a turning point. Using intraday data around 49 FOMC announcements (1999</w:t>
      </w:r>
      <w:r w:rsidR="00896056">
        <w:rPr>
          <w:rFonts w:ascii="Times New Roman" w:hAnsi="Times New Roman" w:cs="Times New Roman"/>
        </w:rPr>
        <w:t xml:space="preserve"> - </w:t>
      </w:r>
      <w:r w:rsidRPr="002A5401">
        <w:rPr>
          <w:rFonts w:ascii="Times New Roman" w:hAnsi="Times New Roman" w:cs="Times New Roman"/>
        </w:rPr>
        <w:t>2004) for 15 foreign markets, they showed that an unanticipated 25-bp tightening raises foreign 10-year yields by roughly 3</w:t>
      </w:r>
      <w:r w:rsidR="00896056">
        <w:rPr>
          <w:rFonts w:ascii="Times New Roman" w:hAnsi="Times New Roman" w:cs="Times New Roman"/>
        </w:rPr>
        <w:t xml:space="preserve"> - </w:t>
      </w:r>
      <w:r w:rsidRPr="002A5401">
        <w:rPr>
          <w:rFonts w:ascii="Times New Roman" w:hAnsi="Times New Roman" w:cs="Times New Roman"/>
        </w:rPr>
        <w:t>6 bps, depreciates local currencies by 0.3</w:t>
      </w:r>
      <w:r w:rsidR="00896056">
        <w:rPr>
          <w:rFonts w:ascii="Times New Roman" w:hAnsi="Times New Roman" w:cs="Times New Roman"/>
        </w:rPr>
        <w:t xml:space="preserve"> - </w:t>
      </w:r>
      <w:r w:rsidRPr="002A5401">
        <w:rPr>
          <w:rFonts w:ascii="Times New Roman" w:hAnsi="Times New Roman" w:cs="Times New Roman"/>
        </w:rPr>
        <w:t>0.6 percent, and lowers foreign equity indices by 0.5</w:t>
      </w:r>
      <w:r w:rsidR="00896056">
        <w:rPr>
          <w:rFonts w:ascii="Times New Roman" w:hAnsi="Times New Roman" w:cs="Times New Roman"/>
        </w:rPr>
        <w:t xml:space="preserve"> - </w:t>
      </w:r>
      <w:r w:rsidRPr="002A5401">
        <w:rPr>
          <w:rFonts w:ascii="Times New Roman" w:hAnsi="Times New Roman" w:cs="Times New Roman"/>
        </w:rPr>
        <w:t>1 percent. These effects appeared within 30 minutes</w:t>
      </w:r>
      <w:r w:rsidR="00896056">
        <w:rPr>
          <w:rFonts w:ascii="Times New Roman" w:hAnsi="Times New Roman" w:cs="Times New Roman"/>
        </w:rPr>
        <w:t xml:space="preserve"> - </w:t>
      </w:r>
      <w:r w:rsidRPr="002A5401">
        <w:rPr>
          <w:rFonts w:ascii="Times New Roman" w:hAnsi="Times New Roman" w:cs="Times New Roman"/>
        </w:rPr>
        <w:t>clear evidence of near-instantaneous global transmission.</w:t>
      </w:r>
    </w:p>
    <w:p w14:paraId="3C2CAC3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Follow-up studies extended coverage. </w:t>
      </w:r>
      <w:proofErr w:type="spellStart"/>
      <w:r w:rsidRPr="002A5401">
        <w:rPr>
          <w:rFonts w:ascii="Times New Roman" w:hAnsi="Times New Roman" w:cs="Times New Roman"/>
        </w:rPr>
        <w:t>Wongswan</w:t>
      </w:r>
      <w:proofErr w:type="spellEnd"/>
      <w:r w:rsidRPr="002A5401">
        <w:rPr>
          <w:rFonts w:ascii="Times New Roman" w:hAnsi="Times New Roman" w:cs="Times New Roman"/>
        </w:rPr>
        <w:t xml:space="preserve"> (2009) examined Asian markets, Ehrmann &amp; Fratzscher (2009) added European data, and Rogers, Scott, &amp; Wright (2014) analyzed QE episodes, finding that asset-purchase announcements generated “reverse” spillovers: foreign yields and the dollar fell while equities rose. The event-study tradition established the empirical stylized fact that Fed surprises move world markets.</w:t>
      </w:r>
    </w:p>
    <w:p w14:paraId="18D6B9A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11.2 Methodological Refinement</w:t>
      </w:r>
    </w:p>
    <w:p w14:paraId="009C299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Later papers incorporated high-frequency identification (HFI) of target and path shocks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xml:space="preserve"> et al., 2005) and added press-conference windows, showing that guidance and information content explain much of the foreign response (Cieslak &amp; Schrimpf, 2019). Despite differences in samples, all confirm that foreign financial conditions tighten on hawkish surprises and ease on dovish ones.</w:t>
      </w:r>
    </w:p>
    <w:p w14:paraId="01F3252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11.3 Limitations</w:t>
      </w:r>
    </w:p>
    <w:p w14:paraId="67E4E03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Pure event windows cannot capture persistence. Many countries face capital-flow and macro effects extending weeks or months beyond the announcement. This motivated the shift toward panel-VAR and GVAR frameworks, explored below.</w:t>
      </w:r>
    </w:p>
    <w:p w14:paraId="527BB420" w14:textId="6BD8ED7A" w:rsidR="002A5401" w:rsidRPr="002A5401" w:rsidRDefault="002A5401" w:rsidP="002A5401">
      <w:pPr>
        <w:rPr>
          <w:rFonts w:ascii="Times New Roman" w:hAnsi="Times New Roman" w:cs="Times New Roman"/>
        </w:rPr>
      </w:pPr>
    </w:p>
    <w:p w14:paraId="6EBA1C0B"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12. Dynamic Panel-VAR and Global-VAR Evidence</w:t>
      </w:r>
    </w:p>
    <w:p w14:paraId="74D2CBD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12.1 Global Interdependence</w:t>
      </w:r>
    </w:p>
    <w:p w14:paraId="55E26B57" w14:textId="75925CB3" w:rsidR="002A5401" w:rsidRPr="002A5401" w:rsidRDefault="002A5401" w:rsidP="002A5401">
      <w:pPr>
        <w:rPr>
          <w:rFonts w:ascii="Times New Roman" w:hAnsi="Times New Roman" w:cs="Times New Roman"/>
        </w:rPr>
      </w:pPr>
      <w:r w:rsidRPr="002A5401">
        <w:rPr>
          <w:rFonts w:ascii="Times New Roman" w:hAnsi="Times New Roman" w:cs="Times New Roman"/>
        </w:rPr>
        <w:t>Using global datasets of 30</w:t>
      </w:r>
      <w:r w:rsidR="00896056">
        <w:rPr>
          <w:rFonts w:ascii="Times New Roman" w:hAnsi="Times New Roman" w:cs="Times New Roman"/>
        </w:rPr>
        <w:t xml:space="preserve"> - </w:t>
      </w:r>
      <w:r w:rsidRPr="002A5401">
        <w:rPr>
          <w:rFonts w:ascii="Times New Roman" w:hAnsi="Times New Roman" w:cs="Times New Roman"/>
        </w:rPr>
        <w:t xml:space="preserve">40 economies, Georgiadis (2016) estimated that a 100-bp Fed tightening reduces global industrial production by 0.8 percent and world trade by 1 percent after four quarters. Bhattarai, Chatterjee, &amp; Park (2017) similarly find broad declines in output and credit, with larger effects in financially open economies. </w:t>
      </w:r>
      <w:proofErr w:type="spellStart"/>
      <w:r w:rsidRPr="002A5401">
        <w:rPr>
          <w:rFonts w:ascii="Times New Roman" w:hAnsi="Times New Roman" w:cs="Times New Roman"/>
        </w:rPr>
        <w:t>Dées</w:t>
      </w:r>
      <w:proofErr w:type="spellEnd"/>
      <w:r w:rsidRPr="002A5401">
        <w:rPr>
          <w:rFonts w:ascii="Times New Roman" w:hAnsi="Times New Roman" w:cs="Times New Roman"/>
        </w:rPr>
        <w:t xml:space="preserve"> &amp; Galesi (2019) employ a Global-VAR covering 26 countries and confirm that U.S. monetary shocks explain about 30 percent of global yield variance at the one-year horizon.</w:t>
      </w:r>
    </w:p>
    <w:p w14:paraId="6A3CD50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12.2 Persistence and Horizons</w:t>
      </w:r>
    </w:p>
    <w:p w14:paraId="3AC54104" w14:textId="605732FA" w:rsidR="002A5401" w:rsidRPr="002A5401" w:rsidRDefault="002A5401" w:rsidP="002A5401">
      <w:pPr>
        <w:rPr>
          <w:rFonts w:ascii="Times New Roman" w:hAnsi="Times New Roman" w:cs="Times New Roman"/>
        </w:rPr>
      </w:pPr>
      <w:r w:rsidRPr="002A5401">
        <w:rPr>
          <w:rFonts w:ascii="Times New Roman" w:hAnsi="Times New Roman" w:cs="Times New Roman"/>
        </w:rPr>
        <w:t>While event studies emphasize immediate price effects, VAR-based models reveal that spillovers persist for 6</w:t>
      </w:r>
      <w:r w:rsidR="00896056">
        <w:rPr>
          <w:rFonts w:ascii="Times New Roman" w:hAnsi="Times New Roman" w:cs="Times New Roman"/>
        </w:rPr>
        <w:t xml:space="preserve"> - </w:t>
      </w:r>
      <w:r w:rsidRPr="002A5401">
        <w:rPr>
          <w:rFonts w:ascii="Times New Roman" w:hAnsi="Times New Roman" w:cs="Times New Roman"/>
        </w:rPr>
        <w:t>12 months, especially through credit and capital-flow channels. QE/QT shocks generate slower-moving but longer-lasting responses than target-rate changes.</w:t>
      </w:r>
    </w:p>
    <w:p w14:paraId="3C5BF74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12.3 Cross-Region Heterogeneity</w:t>
      </w:r>
    </w:p>
    <w:p w14:paraId="2F29CA1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magnitude of impulse responses differs sharply by region. Latin-American and Asian EMEs show output losses two to three times larger than AEs; commodity exporters display mixed results depending on whether the U.S. shock is policy-tightening or information-positive (Kilian &amp; Vernon, 2016).</w:t>
      </w:r>
    </w:p>
    <w:p w14:paraId="713B8F47" w14:textId="7C1B4C8A" w:rsidR="002A5401" w:rsidRPr="002A5401" w:rsidRDefault="002A5401" w:rsidP="002A5401">
      <w:pPr>
        <w:rPr>
          <w:rFonts w:ascii="Times New Roman" w:hAnsi="Times New Roman" w:cs="Times New Roman"/>
        </w:rPr>
      </w:pPr>
    </w:p>
    <w:p w14:paraId="14F48158"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13. Spillovers to Emerging-Market Economies</w:t>
      </w:r>
    </w:p>
    <w:p w14:paraId="0312CBD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13.1 Financial-Market Responses</w:t>
      </w:r>
    </w:p>
    <w:p w14:paraId="0322936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Across roughly a dozen emerging-market studies, hawkish U.S. surprises trigger FX depreciation, local-yield increases, and equity declines exceeding those in AEs. Typical </w:t>
      </w:r>
      <w:r w:rsidRPr="002A5401">
        <w:rPr>
          <w:rFonts w:ascii="Times New Roman" w:hAnsi="Times New Roman" w:cs="Times New Roman"/>
        </w:rPr>
        <w:lastRenderedPageBreak/>
        <w:t>elasticities: 10-year yield +10 bps, FX −1 percent, equity −1½ percent per 25-bp surprise (Georgiadis, 2016; Chen et al., 2019).</w:t>
      </w:r>
    </w:p>
    <w:p w14:paraId="607EAFC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13.2 The External-Dollar Channel</w:t>
      </w:r>
    </w:p>
    <w:p w14:paraId="7729C3A4" w14:textId="762A4D08"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Bruno &amp; Shin (2015) demonstrate that EM banks’ USD-funding leverage transmits U.S. policy globally. When Fed policy tightens, dollar funding becomes costly, reducing cross-border interbank credit and forcing balance-sheet contraction. </w:t>
      </w:r>
      <w:proofErr w:type="spellStart"/>
      <w:r w:rsidRPr="002A5401">
        <w:rPr>
          <w:rFonts w:ascii="Times New Roman" w:hAnsi="Times New Roman" w:cs="Times New Roman"/>
        </w:rPr>
        <w:t>Avdjiev</w:t>
      </w:r>
      <w:proofErr w:type="spellEnd"/>
      <w:r w:rsidRPr="002A5401">
        <w:rPr>
          <w:rFonts w:ascii="Times New Roman" w:hAnsi="Times New Roman" w:cs="Times New Roman"/>
        </w:rPr>
        <w:t xml:space="preserve"> et al. (2019) show that countries with high non-financial USD debt suffer sharper credit slowdowns and capital outflows</w:t>
      </w:r>
      <w:r w:rsidR="00896056">
        <w:rPr>
          <w:rFonts w:ascii="Times New Roman" w:hAnsi="Times New Roman" w:cs="Times New Roman"/>
        </w:rPr>
        <w:t xml:space="preserve"> - </w:t>
      </w:r>
      <w:r w:rsidRPr="002A5401">
        <w:rPr>
          <w:rFonts w:ascii="Times New Roman" w:hAnsi="Times New Roman" w:cs="Times New Roman"/>
        </w:rPr>
        <w:t>empirical proof of the “global liquidity channel.”</w:t>
      </w:r>
    </w:p>
    <w:p w14:paraId="1843742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13.3 Policy Buffers</w:t>
      </w:r>
    </w:p>
    <w:p w14:paraId="6ECB9C2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Exchange-rate flexibility, foreign-reserve adequacy, and macroprudential regulations attenuate but rarely eliminate spillovers. Flexible regimes absorb shocks mainly through FX; pegs translate them into local rates and reserve losses (Rey, 2015). Studies using IMF Integrated Policy Framework data find buffer efficacy strongest when global risk is moderate and weakest during crises.</w:t>
      </w:r>
    </w:p>
    <w:p w14:paraId="1432C03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13.4 Commodity Exporters vs. Importers</w:t>
      </w:r>
    </w:p>
    <w:p w14:paraId="7A05BB00" w14:textId="62FE54F1" w:rsidR="002A5401" w:rsidRPr="002A5401" w:rsidRDefault="002A5401" w:rsidP="002A5401">
      <w:pPr>
        <w:rPr>
          <w:rFonts w:ascii="Times New Roman" w:hAnsi="Times New Roman" w:cs="Times New Roman"/>
        </w:rPr>
      </w:pPr>
      <w:r w:rsidRPr="002A5401">
        <w:rPr>
          <w:rFonts w:ascii="Times New Roman" w:hAnsi="Times New Roman" w:cs="Times New Roman"/>
        </w:rPr>
        <w:t>Commodity exporters often experience smaller equity losses</w:t>
      </w:r>
      <w:r w:rsidR="00896056">
        <w:rPr>
          <w:rFonts w:ascii="Times New Roman" w:hAnsi="Times New Roman" w:cs="Times New Roman"/>
        </w:rPr>
        <w:t xml:space="preserve"> - </w:t>
      </w:r>
      <w:r w:rsidRPr="002A5401">
        <w:rPr>
          <w:rFonts w:ascii="Times New Roman" w:hAnsi="Times New Roman" w:cs="Times New Roman"/>
        </w:rPr>
        <w:t>or even gains</w:t>
      </w:r>
      <w:r w:rsidR="00896056">
        <w:rPr>
          <w:rFonts w:ascii="Times New Roman" w:hAnsi="Times New Roman" w:cs="Times New Roman"/>
        </w:rPr>
        <w:t xml:space="preserve"> - </w:t>
      </w:r>
      <w:r w:rsidRPr="002A5401">
        <w:rPr>
          <w:rFonts w:ascii="Times New Roman" w:hAnsi="Times New Roman" w:cs="Times New Roman"/>
        </w:rPr>
        <w:t>when the FOMC shock is information-positive about global demand (</w:t>
      </w:r>
      <w:proofErr w:type="spellStart"/>
      <w:r w:rsidRPr="002A5401">
        <w:rPr>
          <w:rFonts w:ascii="Times New Roman" w:hAnsi="Times New Roman" w:cs="Times New Roman"/>
        </w:rPr>
        <w:t>Pinchetti</w:t>
      </w:r>
      <w:proofErr w:type="spellEnd"/>
      <w:r w:rsidRPr="002A5401">
        <w:rPr>
          <w:rFonts w:ascii="Times New Roman" w:hAnsi="Times New Roman" w:cs="Times New Roman"/>
        </w:rPr>
        <w:t xml:space="preserve"> &amp; Szczepaniak, 2021). Non-exporters suffer uniformly negative reactions.</w:t>
      </w:r>
    </w:p>
    <w:p w14:paraId="48E3DCD8" w14:textId="3E5447A3" w:rsidR="002A5401" w:rsidRPr="002A5401" w:rsidRDefault="002A5401" w:rsidP="002A5401">
      <w:pPr>
        <w:rPr>
          <w:rFonts w:ascii="Times New Roman" w:hAnsi="Times New Roman" w:cs="Times New Roman"/>
        </w:rPr>
      </w:pPr>
    </w:p>
    <w:p w14:paraId="689C2F65"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14. Spillovers to Advanced Economies</w:t>
      </w:r>
    </w:p>
    <w:p w14:paraId="4AD3293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14.1 Yield and Risk-Premium Co-Movements</w:t>
      </w:r>
    </w:p>
    <w:p w14:paraId="21E199B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Advanced economies (AEs) exhibit strong but proportionally smaller yield responses. Cross-market correlations of daily yield changes with U.S. Treasuries exceed 0.8 at the 10-year tenor (Curcuru et al., 2018). Balance-sheet expansions compress term premia globally through safe-asset scarcity; QT episodes widen them (Rogers et al., 2014).</w:t>
      </w:r>
    </w:p>
    <w:p w14:paraId="66D3072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14.2 Policy-Expectation Synchronization</w:t>
      </w:r>
    </w:p>
    <w:p w14:paraId="48C63EC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Markets in the euro area, U.K., and Canada often revise their own policy-path expectations in the same direction as the Fed. Dedola et al. (2021) interpret this as policy-expectation contagion: Fed communication shapes the perceived global policy stance even absent domestic data shifts.</w:t>
      </w:r>
    </w:p>
    <w:p w14:paraId="7864444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14.3 Safe-Asset and Portfolio Channels</w:t>
      </w:r>
    </w:p>
    <w:p w14:paraId="399CDAD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U.S. QE reduced the global supply of risk-free assets, pushing AE investors toward domestic and foreign riskier securities. Studies of cross-border portfolio data (Fratzscher et al., 2018) confirm rebalancing into equities and corporate bonds following LSAPs, reversing during QT. These </w:t>
      </w:r>
      <w:r w:rsidRPr="002A5401">
        <w:rPr>
          <w:rFonts w:ascii="Times New Roman" w:hAnsi="Times New Roman" w:cs="Times New Roman"/>
        </w:rPr>
        <w:lastRenderedPageBreak/>
        <w:t>shifts also affect real-estate securities, as global investors rebalance between bonds, equities, and listed property.</w:t>
      </w:r>
    </w:p>
    <w:p w14:paraId="51838194" w14:textId="424D1BA5" w:rsidR="002A5401" w:rsidRPr="002A5401" w:rsidRDefault="002A5401" w:rsidP="002A5401">
      <w:pPr>
        <w:rPr>
          <w:rFonts w:ascii="Times New Roman" w:hAnsi="Times New Roman" w:cs="Times New Roman"/>
        </w:rPr>
      </w:pPr>
    </w:p>
    <w:p w14:paraId="3D0EFC0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15. Information Versus Policy Spillovers</w:t>
      </w:r>
    </w:p>
    <w:p w14:paraId="02E8978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15.1 Conceptual Distinction</w:t>
      </w:r>
    </w:p>
    <w:p w14:paraId="3008F15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Following Nakamura &amp; Steinsson (2018), FOMC shocks can be decomposed into:</w:t>
      </w:r>
    </w:p>
    <w:p w14:paraId="621FDA18" w14:textId="6E7C4C5F" w:rsidR="002A5401" w:rsidRPr="002A5401" w:rsidRDefault="002A5401" w:rsidP="002A5401">
      <w:pPr>
        <w:numPr>
          <w:ilvl w:val="0"/>
          <w:numId w:val="62"/>
        </w:numPr>
        <w:rPr>
          <w:rFonts w:ascii="Times New Roman" w:hAnsi="Times New Roman" w:cs="Times New Roman"/>
        </w:rPr>
      </w:pPr>
      <w:r w:rsidRPr="002A5401">
        <w:rPr>
          <w:rFonts w:ascii="Times New Roman" w:hAnsi="Times New Roman" w:cs="Times New Roman"/>
        </w:rPr>
        <w:t>Delphic (information) shocks</w:t>
      </w:r>
      <w:r w:rsidR="00896056">
        <w:rPr>
          <w:rFonts w:ascii="Times New Roman" w:hAnsi="Times New Roman" w:cs="Times New Roman"/>
        </w:rPr>
        <w:t xml:space="preserve"> - </w:t>
      </w:r>
      <w:r w:rsidRPr="002A5401">
        <w:rPr>
          <w:rFonts w:ascii="Times New Roman" w:hAnsi="Times New Roman" w:cs="Times New Roman"/>
        </w:rPr>
        <w:t>revealing stronger or weaker U.S. growth; and</w:t>
      </w:r>
    </w:p>
    <w:p w14:paraId="7AFEB7BC" w14:textId="345890DF" w:rsidR="002A5401" w:rsidRPr="002A5401" w:rsidRDefault="002A5401" w:rsidP="002A5401">
      <w:pPr>
        <w:numPr>
          <w:ilvl w:val="0"/>
          <w:numId w:val="62"/>
        </w:numPr>
        <w:rPr>
          <w:rFonts w:ascii="Times New Roman" w:hAnsi="Times New Roman" w:cs="Times New Roman"/>
        </w:rPr>
      </w:pPr>
      <w:r w:rsidRPr="002A5401">
        <w:rPr>
          <w:rFonts w:ascii="Times New Roman" w:hAnsi="Times New Roman" w:cs="Times New Roman"/>
        </w:rPr>
        <w:t>Odyssean (policy) shocks</w:t>
      </w:r>
      <w:r w:rsidR="00896056">
        <w:rPr>
          <w:rFonts w:ascii="Times New Roman" w:hAnsi="Times New Roman" w:cs="Times New Roman"/>
        </w:rPr>
        <w:t xml:space="preserve"> - </w:t>
      </w:r>
      <w:r w:rsidRPr="002A5401">
        <w:rPr>
          <w:rFonts w:ascii="Times New Roman" w:hAnsi="Times New Roman" w:cs="Times New Roman"/>
        </w:rPr>
        <w:t>signaling deliberate tightening or easing beyond fundamentals.</w:t>
      </w:r>
    </w:p>
    <w:p w14:paraId="18DBB28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15.2 Empirical Evidence</w:t>
      </w:r>
    </w:p>
    <w:p w14:paraId="3F5C3850" w14:textId="40E54F4C" w:rsidR="002A5401" w:rsidRPr="002A5401" w:rsidRDefault="002A5401" w:rsidP="002A5401">
      <w:pPr>
        <w:rPr>
          <w:rFonts w:ascii="Times New Roman" w:hAnsi="Times New Roman" w:cs="Times New Roman"/>
        </w:rPr>
      </w:pPr>
      <w:r w:rsidRPr="002A5401">
        <w:rPr>
          <w:rFonts w:ascii="Times New Roman" w:hAnsi="Times New Roman" w:cs="Times New Roman"/>
        </w:rPr>
        <w:t>Text- and SEP-based decompositions (Cieslak &amp; Schrimpf, 2019) show that about one-third of foreign asset co-movements arise from information shocks. When the Fed conveys optimism about growth, global equities and commodity currencies rise even as yields climb</w:t>
      </w:r>
      <w:r w:rsidR="00896056">
        <w:rPr>
          <w:rFonts w:ascii="Times New Roman" w:hAnsi="Times New Roman" w:cs="Times New Roman"/>
        </w:rPr>
        <w:t xml:space="preserve"> - </w:t>
      </w:r>
      <w:r w:rsidRPr="002A5401">
        <w:rPr>
          <w:rFonts w:ascii="Times New Roman" w:hAnsi="Times New Roman" w:cs="Times New Roman"/>
        </w:rPr>
        <w:t>a pattern event-only studies cannot explain.</w:t>
      </w:r>
    </w:p>
    <w:p w14:paraId="4FE91E0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15.3 Implications</w:t>
      </w:r>
    </w:p>
    <w:p w14:paraId="3D3262B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Ignoring the information component overstates “policy” spillovers and misrepresents how FOMC announcements affect global risk appetite. Incorporating communication tone is therefore essential for accurate cross-country modeling, including for cross-listed REITs and global property securities.</w:t>
      </w:r>
    </w:p>
    <w:p w14:paraId="5100D9D8" w14:textId="232A6435" w:rsidR="002A5401" w:rsidRPr="002A5401" w:rsidRDefault="002A5401" w:rsidP="002A5401">
      <w:pPr>
        <w:rPr>
          <w:rFonts w:ascii="Times New Roman" w:hAnsi="Times New Roman" w:cs="Times New Roman"/>
        </w:rPr>
      </w:pPr>
    </w:p>
    <w:p w14:paraId="28B2207E"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16. Comparative Analysis: Similarities, Differences, and Conflicts</w:t>
      </w:r>
    </w:p>
    <w:p w14:paraId="5495404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16.1 Similarities</w:t>
      </w:r>
    </w:p>
    <w:p w14:paraId="7CCF36E8" w14:textId="77777777" w:rsidR="002A5401" w:rsidRPr="002A5401" w:rsidRDefault="002A5401" w:rsidP="002A5401">
      <w:pPr>
        <w:numPr>
          <w:ilvl w:val="0"/>
          <w:numId w:val="63"/>
        </w:numPr>
        <w:rPr>
          <w:rFonts w:ascii="Times New Roman" w:hAnsi="Times New Roman" w:cs="Times New Roman"/>
        </w:rPr>
      </w:pPr>
      <w:r w:rsidRPr="002A5401">
        <w:rPr>
          <w:rFonts w:ascii="Times New Roman" w:hAnsi="Times New Roman" w:cs="Times New Roman"/>
        </w:rPr>
        <w:t>Qualitative directions identical: hawkish → tighter global financial conditions; dovish/QE → easing.</w:t>
      </w:r>
    </w:p>
    <w:p w14:paraId="347A6A0D" w14:textId="77777777" w:rsidR="002A5401" w:rsidRPr="002A5401" w:rsidRDefault="002A5401" w:rsidP="002A5401">
      <w:pPr>
        <w:numPr>
          <w:ilvl w:val="0"/>
          <w:numId w:val="63"/>
        </w:numPr>
        <w:rPr>
          <w:rFonts w:ascii="Times New Roman" w:hAnsi="Times New Roman" w:cs="Times New Roman"/>
        </w:rPr>
      </w:pPr>
      <w:r w:rsidRPr="002A5401">
        <w:rPr>
          <w:rFonts w:ascii="Times New Roman" w:hAnsi="Times New Roman" w:cs="Times New Roman"/>
        </w:rPr>
        <w:t>Path (guidance) shocks dominate over target shocks.</w:t>
      </w:r>
    </w:p>
    <w:p w14:paraId="574353A8" w14:textId="77777777" w:rsidR="002A5401" w:rsidRPr="002A5401" w:rsidRDefault="002A5401" w:rsidP="002A5401">
      <w:pPr>
        <w:numPr>
          <w:ilvl w:val="0"/>
          <w:numId w:val="63"/>
        </w:numPr>
        <w:rPr>
          <w:rFonts w:ascii="Times New Roman" w:hAnsi="Times New Roman" w:cs="Times New Roman"/>
        </w:rPr>
      </w:pPr>
      <w:r w:rsidRPr="002A5401">
        <w:rPr>
          <w:rFonts w:ascii="Times New Roman" w:hAnsi="Times New Roman" w:cs="Times New Roman"/>
        </w:rPr>
        <w:t>Effects scale with openness, dollarization, and financial depth.</w:t>
      </w:r>
    </w:p>
    <w:p w14:paraId="4CED3331" w14:textId="77777777" w:rsidR="002A5401" w:rsidRPr="002A5401" w:rsidRDefault="002A5401" w:rsidP="002A5401">
      <w:pPr>
        <w:numPr>
          <w:ilvl w:val="0"/>
          <w:numId w:val="63"/>
        </w:numPr>
        <w:rPr>
          <w:rFonts w:ascii="Times New Roman" w:hAnsi="Times New Roman" w:cs="Times New Roman"/>
        </w:rPr>
      </w:pPr>
      <w:r w:rsidRPr="002A5401">
        <w:rPr>
          <w:rFonts w:ascii="Times New Roman" w:hAnsi="Times New Roman" w:cs="Times New Roman"/>
        </w:rPr>
        <w:t>Strong state dependence: spillovers peak in crisis and QE/QT transitions.</w:t>
      </w:r>
    </w:p>
    <w:p w14:paraId="42D1AC8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16.2 Differences</w:t>
      </w:r>
    </w:p>
    <w:p w14:paraId="00D39234" w14:textId="48F4FCD0" w:rsidR="002A5401" w:rsidRPr="002A5401" w:rsidRDefault="002A5401" w:rsidP="002A5401">
      <w:pPr>
        <w:numPr>
          <w:ilvl w:val="0"/>
          <w:numId w:val="64"/>
        </w:numPr>
        <w:rPr>
          <w:rFonts w:ascii="Times New Roman" w:hAnsi="Times New Roman" w:cs="Times New Roman"/>
        </w:rPr>
      </w:pPr>
      <w:r w:rsidRPr="002A5401">
        <w:rPr>
          <w:rFonts w:ascii="Times New Roman" w:hAnsi="Times New Roman" w:cs="Times New Roman"/>
        </w:rPr>
        <w:t xml:space="preserve">Magnitude: EMEs’ FX and credit responses exceed </w:t>
      </w:r>
      <w:proofErr w:type="gramStart"/>
      <w:r w:rsidRPr="002A5401">
        <w:rPr>
          <w:rFonts w:ascii="Times New Roman" w:hAnsi="Times New Roman" w:cs="Times New Roman"/>
        </w:rPr>
        <w:t>AEs’</w:t>
      </w:r>
      <w:proofErr w:type="gramEnd"/>
      <w:r w:rsidRPr="002A5401">
        <w:rPr>
          <w:rFonts w:ascii="Times New Roman" w:hAnsi="Times New Roman" w:cs="Times New Roman"/>
        </w:rPr>
        <w:t xml:space="preserve"> by 2</w:t>
      </w:r>
      <w:r w:rsidR="00896056">
        <w:rPr>
          <w:rFonts w:ascii="Times New Roman" w:hAnsi="Times New Roman" w:cs="Times New Roman"/>
        </w:rPr>
        <w:t xml:space="preserve"> - </w:t>
      </w:r>
      <w:r w:rsidRPr="002A5401">
        <w:rPr>
          <w:rFonts w:ascii="Times New Roman" w:hAnsi="Times New Roman" w:cs="Times New Roman"/>
        </w:rPr>
        <w:t>3×.</w:t>
      </w:r>
    </w:p>
    <w:p w14:paraId="4F9C975A" w14:textId="77777777" w:rsidR="002A5401" w:rsidRPr="002A5401" w:rsidRDefault="002A5401" w:rsidP="002A5401">
      <w:pPr>
        <w:numPr>
          <w:ilvl w:val="0"/>
          <w:numId w:val="64"/>
        </w:numPr>
        <w:rPr>
          <w:rFonts w:ascii="Times New Roman" w:hAnsi="Times New Roman" w:cs="Times New Roman"/>
        </w:rPr>
      </w:pPr>
      <w:r w:rsidRPr="002A5401">
        <w:rPr>
          <w:rFonts w:ascii="Times New Roman" w:hAnsi="Times New Roman" w:cs="Times New Roman"/>
        </w:rPr>
        <w:t>Transmission mode: AEs → price adjustments; EMEs → price + quantity (flows, credit).</w:t>
      </w:r>
    </w:p>
    <w:p w14:paraId="456735F5" w14:textId="77777777" w:rsidR="002A5401" w:rsidRPr="002A5401" w:rsidRDefault="002A5401" w:rsidP="002A5401">
      <w:pPr>
        <w:numPr>
          <w:ilvl w:val="0"/>
          <w:numId w:val="64"/>
        </w:numPr>
        <w:rPr>
          <w:rFonts w:ascii="Times New Roman" w:hAnsi="Times New Roman" w:cs="Times New Roman"/>
        </w:rPr>
      </w:pPr>
      <w:r w:rsidRPr="002A5401">
        <w:rPr>
          <w:rFonts w:ascii="Times New Roman" w:hAnsi="Times New Roman" w:cs="Times New Roman"/>
        </w:rPr>
        <w:lastRenderedPageBreak/>
        <w:t>Policy buffers: macroprudential and FX-intervention tools matter mainly in EMEs.</w:t>
      </w:r>
    </w:p>
    <w:p w14:paraId="238DCA47" w14:textId="77777777" w:rsidR="002A5401" w:rsidRPr="002A5401" w:rsidRDefault="002A5401" w:rsidP="002A5401">
      <w:pPr>
        <w:numPr>
          <w:ilvl w:val="0"/>
          <w:numId w:val="64"/>
        </w:numPr>
        <w:rPr>
          <w:rFonts w:ascii="Times New Roman" w:hAnsi="Times New Roman" w:cs="Times New Roman"/>
        </w:rPr>
      </w:pPr>
      <w:r w:rsidRPr="002A5401">
        <w:rPr>
          <w:rFonts w:ascii="Times New Roman" w:hAnsi="Times New Roman" w:cs="Times New Roman"/>
        </w:rPr>
        <w:t>Commodity linkage: exporters sometimes benefit from information-positive shocks.</w:t>
      </w:r>
    </w:p>
    <w:p w14:paraId="1195CA3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16.3 Conflicts</w:t>
      </w:r>
    </w:p>
    <w:p w14:paraId="3A7B0083" w14:textId="77777777" w:rsidR="002A5401" w:rsidRPr="002A5401" w:rsidRDefault="002A5401" w:rsidP="002A5401">
      <w:pPr>
        <w:numPr>
          <w:ilvl w:val="0"/>
          <w:numId w:val="65"/>
        </w:numPr>
        <w:rPr>
          <w:rFonts w:ascii="Times New Roman" w:hAnsi="Times New Roman" w:cs="Times New Roman"/>
        </w:rPr>
      </w:pPr>
      <w:r w:rsidRPr="002A5401">
        <w:rPr>
          <w:rFonts w:ascii="Times New Roman" w:hAnsi="Times New Roman" w:cs="Times New Roman"/>
        </w:rPr>
        <w:t>Policy vs. information attribution remains contested.</w:t>
      </w:r>
    </w:p>
    <w:p w14:paraId="1BCF7058" w14:textId="022C076B" w:rsidR="002A5401" w:rsidRPr="002A5401" w:rsidRDefault="002A5401" w:rsidP="002A5401">
      <w:pPr>
        <w:numPr>
          <w:ilvl w:val="0"/>
          <w:numId w:val="65"/>
        </w:numPr>
        <w:rPr>
          <w:rFonts w:ascii="Times New Roman" w:hAnsi="Times New Roman" w:cs="Times New Roman"/>
        </w:rPr>
      </w:pPr>
      <w:r w:rsidRPr="002A5401">
        <w:rPr>
          <w:rFonts w:ascii="Times New Roman" w:hAnsi="Times New Roman" w:cs="Times New Roman"/>
        </w:rPr>
        <w:t>QE mechanism abroad</w:t>
      </w:r>
      <w:r w:rsidR="00896056">
        <w:rPr>
          <w:rFonts w:ascii="Times New Roman" w:hAnsi="Times New Roman" w:cs="Times New Roman"/>
        </w:rPr>
        <w:t xml:space="preserve"> - </w:t>
      </w:r>
      <w:r w:rsidRPr="002A5401">
        <w:rPr>
          <w:rFonts w:ascii="Times New Roman" w:hAnsi="Times New Roman" w:cs="Times New Roman"/>
        </w:rPr>
        <w:t>scarcity vs. signaling</w:t>
      </w:r>
      <w:r w:rsidR="00896056">
        <w:rPr>
          <w:rFonts w:ascii="Times New Roman" w:hAnsi="Times New Roman" w:cs="Times New Roman"/>
        </w:rPr>
        <w:t xml:space="preserve"> - </w:t>
      </w:r>
      <w:r w:rsidRPr="002A5401">
        <w:rPr>
          <w:rFonts w:ascii="Times New Roman" w:hAnsi="Times New Roman" w:cs="Times New Roman"/>
        </w:rPr>
        <w:t>yields mixed results.</w:t>
      </w:r>
    </w:p>
    <w:p w14:paraId="00158FC7" w14:textId="77777777" w:rsidR="002A5401" w:rsidRPr="002A5401" w:rsidRDefault="002A5401" w:rsidP="002A5401">
      <w:pPr>
        <w:numPr>
          <w:ilvl w:val="0"/>
          <w:numId w:val="65"/>
        </w:numPr>
        <w:rPr>
          <w:rFonts w:ascii="Times New Roman" w:hAnsi="Times New Roman" w:cs="Times New Roman"/>
        </w:rPr>
      </w:pPr>
      <w:r w:rsidRPr="002A5401">
        <w:rPr>
          <w:rFonts w:ascii="Times New Roman" w:hAnsi="Times New Roman" w:cs="Times New Roman"/>
        </w:rPr>
        <w:t>Buffer effectiveness depends on measurement and regime.</w:t>
      </w:r>
    </w:p>
    <w:p w14:paraId="5639746C" w14:textId="77777777" w:rsidR="002A5401" w:rsidRPr="002A5401" w:rsidRDefault="002A5401" w:rsidP="002A5401">
      <w:pPr>
        <w:numPr>
          <w:ilvl w:val="0"/>
          <w:numId w:val="65"/>
        </w:numPr>
        <w:rPr>
          <w:rFonts w:ascii="Times New Roman" w:hAnsi="Times New Roman" w:cs="Times New Roman"/>
        </w:rPr>
      </w:pPr>
      <w:r w:rsidRPr="002A5401">
        <w:rPr>
          <w:rFonts w:ascii="Times New Roman" w:hAnsi="Times New Roman" w:cs="Times New Roman"/>
        </w:rPr>
        <w:t>Persistence gaps between intraday and macro-horizon estimates remain unresolved.</w:t>
      </w:r>
    </w:p>
    <w:p w14:paraId="753436BD" w14:textId="2C5301DF" w:rsidR="002A5401" w:rsidRPr="002A5401" w:rsidRDefault="002A5401" w:rsidP="002A5401">
      <w:pPr>
        <w:rPr>
          <w:rFonts w:ascii="Times New Roman" w:hAnsi="Times New Roman" w:cs="Times New Roman"/>
          <w:b/>
          <w:bCs/>
        </w:rPr>
      </w:pPr>
    </w:p>
    <w:p w14:paraId="6F24E087"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17. Research Gaps and Future Directions</w:t>
      </w:r>
    </w:p>
    <w:p w14:paraId="74C67C39" w14:textId="77777777" w:rsidR="002A5401" w:rsidRPr="002A5401" w:rsidRDefault="002A5401" w:rsidP="002A5401">
      <w:pPr>
        <w:numPr>
          <w:ilvl w:val="0"/>
          <w:numId w:val="66"/>
        </w:numPr>
        <w:rPr>
          <w:rFonts w:ascii="Times New Roman" w:hAnsi="Times New Roman" w:cs="Times New Roman"/>
        </w:rPr>
      </w:pPr>
      <w:r w:rsidRPr="002A5401">
        <w:rPr>
          <w:rFonts w:ascii="Times New Roman" w:hAnsi="Times New Roman" w:cs="Times New Roman"/>
        </w:rPr>
        <w:t>Unified cross-country shock decomposition.</w:t>
      </w:r>
      <w:r w:rsidRPr="002A5401">
        <w:rPr>
          <w:rFonts w:ascii="Times New Roman" w:hAnsi="Times New Roman" w:cs="Times New Roman"/>
        </w:rPr>
        <w:br/>
        <w:t>Construct a harmonized dataset of target, path, and information shocks for all FOMC meetings and estimate country-level elasticities for FX, yields, and equities.</w:t>
      </w:r>
    </w:p>
    <w:p w14:paraId="7D98872C" w14:textId="77777777" w:rsidR="002A5401" w:rsidRPr="002A5401" w:rsidRDefault="002A5401" w:rsidP="002A5401">
      <w:pPr>
        <w:numPr>
          <w:ilvl w:val="0"/>
          <w:numId w:val="66"/>
        </w:numPr>
        <w:rPr>
          <w:rFonts w:ascii="Times New Roman" w:hAnsi="Times New Roman" w:cs="Times New Roman"/>
        </w:rPr>
      </w:pPr>
      <w:r w:rsidRPr="002A5401">
        <w:rPr>
          <w:rFonts w:ascii="Times New Roman" w:hAnsi="Times New Roman" w:cs="Times New Roman"/>
        </w:rPr>
        <w:t>Micro-level external-dollar data.</w:t>
      </w:r>
      <w:r w:rsidRPr="002A5401">
        <w:rPr>
          <w:rFonts w:ascii="Times New Roman" w:hAnsi="Times New Roman" w:cs="Times New Roman"/>
        </w:rPr>
        <w:br/>
        <w:t>Merge firm- and bank-level USD-liability data with event shocks to explain heterogeneous spillovers across sectors and maturities.</w:t>
      </w:r>
    </w:p>
    <w:p w14:paraId="5F86958C" w14:textId="77777777" w:rsidR="002A5401" w:rsidRPr="002A5401" w:rsidRDefault="002A5401" w:rsidP="002A5401">
      <w:pPr>
        <w:numPr>
          <w:ilvl w:val="0"/>
          <w:numId w:val="66"/>
        </w:numPr>
        <w:rPr>
          <w:rFonts w:ascii="Times New Roman" w:hAnsi="Times New Roman" w:cs="Times New Roman"/>
        </w:rPr>
      </w:pPr>
      <w:r w:rsidRPr="002A5401">
        <w:rPr>
          <w:rFonts w:ascii="Times New Roman" w:hAnsi="Times New Roman" w:cs="Times New Roman"/>
        </w:rPr>
        <w:t>Regime-contingent buffer analysis.</w:t>
      </w:r>
      <w:r w:rsidRPr="002A5401">
        <w:rPr>
          <w:rFonts w:ascii="Times New Roman" w:hAnsi="Times New Roman" w:cs="Times New Roman"/>
        </w:rPr>
        <w:br/>
        <w:t>Model how macroprudential and FX-intervention tools mitigate transmission under varying global-risk regimes.</w:t>
      </w:r>
    </w:p>
    <w:p w14:paraId="492411B9" w14:textId="77777777" w:rsidR="002A5401" w:rsidRPr="002A5401" w:rsidRDefault="002A5401" w:rsidP="002A5401">
      <w:pPr>
        <w:numPr>
          <w:ilvl w:val="0"/>
          <w:numId w:val="66"/>
        </w:numPr>
        <w:rPr>
          <w:rFonts w:ascii="Times New Roman" w:hAnsi="Times New Roman" w:cs="Times New Roman"/>
        </w:rPr>
      </w:pPr>
      <w:r w:rsidRPr="002A5401">
        <w:rPr>
          <w:rFonts w:ascii="Times New Roman" w:hAnsi="Times New Roman" w:cs="Times New Roman"/>
        </w:rPr>
        <w:t>QE/QT mechanism decomposition.</w:t>
      </w:r>
      <w:r w:rsidRPr="002A5401">
        <w:rPr>
          <w:rFonts w:ascii="Times New Roman" w:hAnsi="Times New Roman" w:cs="Times New Roman"/>
        </w:rPr>
        <w:br/>
        <w:t>Separate signaling and term-premium components using affine term-structure models applied internationally.</w:t>
      </w:r>
    </w:p>
    <w:p w14:paraId="07C8B556" w14:textId="77777777" w:rsidR="002A5401" w:rsidRPr="002A5401" w:rsidRDefault="002A5401" w:rsidP="002A5401">
      <w:pPr>
        <w:numPr>
          <w:ilvl w:val="0"/>
          <w:numId w:val="66"/>
        </w:numPr>
        <w:rPr>
          <w:rFonts w:ascii="Times New Roman" w:hAnsi="Times New Roman" w:cs="Times New Roman"/>
        </w:rPr>
      </w:pPr>
      <w:r w:rsidRPr="002A5401">
        <w:rPr>
          <w:rFonts w:ascii="Times New Roman" w:hAnsi="Times New Roman" w:cs="Times New Roman"/>
        </w:rPr>
        <w:t>Event-to-macro bridge.</w:t>
      </w:r>
      <w:r w:rsidRPr="002A5401">
        <w:rPr>
          <w:rFonts w:ascii="Times New Roman" w:hAnsi="Times New Roman" w:cs="Times New Roman"/>
        </w:rPr>
        <w:br/>
        <w:t>Embed high-frequency shocks into quarterly local projections linking FOMC events to capital flows, credit, and output, closing the event-VAR divide.</w:t>
      </w:r>
    </w:p>
    <w:p w14:paraId="39E15087" w14:textId="77777777" w:rsidR="002A5401" w:rsidRPr="002A5401" w:rsidRDefault="002A5401" w:rsidP="002A5401">
      <w:pPr>
        <w:numPr>
          <w:ilvl w:val="0"/>
          <w:numId w:val="66"/>
        </w:numPr>
        <w:rPr>
          <w:rFonts w:ascii="Times New Roman" w:hAnsi="Times New Roman" w:cs="Times New Roman"/>
        </w:rPr>
      </w:pPr>
      <w:proofErr w:type="gramStart"/>
      <w:r w:rsidRPr="002A5401">
        <w:rPr>
          <w:rFonts w:ascii="Times New Roman" w:hAnsi="Times New Roman" w:cs="Times New Roman"/>
        </w:rPr>
        <w:t>Real-estate</w:t>
      </w:r>
      <w:proofErr w:type="gramEnd"/>
      <w:r w:rsidRPr="002A5401">
        <w:rPr>
          <w:rFonts w:ascii="Times New Roman" w:hAnsi="Times New Roman" w:cs="Times New Roman"/>
        </w:rPr>
        <w:t xml:space="preserve"> and REIT spillovers.</w:t>
      </w:r>
      <w:r w:rsidRPr="002A5401">
        <w:rPr>
          <w:rFonts w:ascii="Times New Roman" w:hAnsi="Times New Roman" w:cs="Times New Roman"/>
        </w:rPr>
        <w:br/>
        <w:t>Extend cross-country analysis to listed real-estate markets, quantifying how FOMC shocks propagate to foreign REIT returns and funding costs, and how this depends on local mortgage markets and currency regimes.</w:t>
      </w:r>
    </w:p>
    <w:p w14:paraId="13DB0BE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Summary of Part II</w:t>
      </w:r>
    </w:p>
    <w:p w14:paraId="55658ED7" w14:textId="55FE5CD1"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Roughly one-third of the empirical literature demonstrates that U.S. monetary policy shocks propagate globally and asymmetrically. Advanced economies co-move closely with U.S. markets through integrated discount-rate channels, while emerging markets experience amplified, </w:t>
      </w:r>
      <w:r w:rsidRPr="002A5401">
        <w:rPr>
          <w:rFonts w:ascii="Times New Roman" w:hAnsi="Times New Roman" w:cs="Times New Roman"/>
        </w:rPr>
        <w:lastRenderedPageBreak/>
        <w:t>liquidity-constrained responses through the external-dollar channel. The strength of these spillovers depends on financial openness, policy regime, and global-liquidity conditions. Distinguishing policy from information components and integrating balance-sheet considerations remain frontier challenges. These insights set the stage for Part III, which will analyze the structural transmission channels</w:t>
      </w:r>
      <w:r w:rsidR="00896056">
        <w:rPr>
          <w:rFonts w:ascii="Times New Roman" w:hAnsi="Times New Roman" w:cs="Times New Roman"/>
        </w:rPr>
        <w:t xml:space="preserve"> - </w:t>
      </w:r>
      <w:r w:rsidRPr="002A5401">
        <w:rPr>
          <w:rFonts w:ascii="Times New Roman" w:hAnsi="Times New Roman" w:cs="Times New Roman"/>
        </w:rPr>
        <w:t xml:space="preserve">monetary, credit, portfolio, external-balance, and </w:t>
      </w:r>
      <w:proofErr w:type="gramStart"/>
      <w:r w:rsidRPr="002A5401">
        <w:rPr>
          <w:rFonts w:ascii="Times New Roman" w:hAnsi="Times New Roman" w:cs="Times New Roman"/>
        </w:rPr>
        <w:t>real-estate</w:t>
      </w:r>
      <w:proofErr w:type="gramEnd"/>
      <w:r w:rsidRPr="002A5401">
        <w:rPr>
          <w:rFonts w:ascii="Times New Roman" w:hAnsi="Times New Roman" w:cs="Times New Roman"/>
        </w:rPr>
        <w:t xml:space="preserve"> specific</w:t>
      </w:r>
      <w:r w:rsidR="00896056">
        <w:rPr>
          <w:rFonts w:ascii="Times New Roman" w:hAnsi="Times New Roman" w:cs="Times New Roman"/>
        </w:rPr>
        <w:t xml:space="preserve"> - </w:t>
      </w:r>
      <w:r w:rsidRPr="002A5401">
        <w:rPr>
          <w:rFonts w:ascii="Times New Roman" w:hAnsi="Times New Roman" w:cs="Times New Roman"/>
        </w:rPr>
        <w:t xml:space="preserve">that </w:t>
      </w:r>
      <w:proofErr w:type="gramStart"/>
      <w:r w:rsidRPr="002A5401">
        <w:rPr>
          <w:rFonts w:ascii="Times New Roman" w:hAnsi="Times New Roman" w:cs="Times New Roman"/>
        </w:rPr>
        <w:t>underlie</w:t>
      </w:r>
      <w:proofErr w:type="gramEnd"/>
      <w:r w:rsidRPr="002A5401">
        <w:rPr>
          <w:rFonts w:ascii="Times New Roman" w:hAnsi="Times New Roman" w:cs="Times New Roman"/>
        </w:rPr>
        <w:t xml:space="preserve"> the global propagation of FOMC shocks.</w:t>
      </w:r>
    </w:p>
    <w:p w14:paraId="34259EBB" w14:textId="077B9FD5" w:rsidR="002A5401" w:rsidRPr="002A5401" w:rsidRDefault="002A5401" w:rsidP="002A5401">
      <w:pPr>
        <w:rPr>
          <w:rFonts w:ascii="Times New Roman" w:hAnsi="Times New Roman" w:cs="Times New Roman"/>
        </w:rPr>
      </w:pPr>
    </w:p>
    <w:p w14:paraId="2247307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Part III - Transmission Channels of FOMC Spillovers</w:t>
      </w:r>
    </w:p>
    <w:p w14:paraId="201C3355"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18. Introduction: Mechanisms of Monetary Transmission</w:t>
      </w:r>
    </w:p>
    <w:p w14:paraId="74EA0A62" w14:textId="7F44DD50" w:rsidR="002A5401" w:rsidRPr="002A5401" w:rsidRDefault="002A5401" w:rsidP="002A5401">
      <w:pPr>
        <w:rPr>
          <w:rFonts w:ascii="Times New Roman" w:hAnsi="Times New Roman" w:cs="Times New Roman"/>
        </w:rPr>
      </w:pPr>
      <w:r w:rsidRPr="002A5401">
        <w:rPr>
          <w:rFonts w:ascii="Times New Roman" w:hAnsi="Times New Roman" w:cs="Times New Roman"/>
        </w:rPr>
        <w:t>The preceding parts established that FOMC announcements influence nearly all major asset classes and transmit across borders. Part III examines how these effects occur</w:t>
      </w:r>
      <w:r w:rsidR="00896056">
        <w:rPr>
          <w:rFonts w:ascii="Times New Roman" w:hAnsi="Times New Roman" w:cs="Times New Roman"/>
        </w:rPr>
        <w:t xml:space="preserve"> - </w:t>
      </w:r>
      <w:r w:rsidRPr="002A5401">
        <w:rPr>
          <w:rFonts w:ascii="Times New Roman" w:hAnsi="Times New Roman" w:cs="Times New Roman"/>
        </w:rPr>
        <w:t>through distinct yet interconnected transmission channels that translate monetary shocks into financial-market and macroeconomic outcomes. Roughly half of the studies in the dataset (≈ 45</w:t>
      </w:r>
      <w:r w:rsidR="00896056">
        <w:rPr>
          <w:rFonts w:ascii="Times New Roman" w:hAnsi="Times New Roman" w:cs="Times New Roman"/>
        </w:rPr>
        <w:t xml:space="preserve"> - </w:t>
      </w:r>
      <w:r w:rsidRPr="002A5401">
        <w:rPr>
          <w:rFonts w:ascii="Times New Roman" w:hAnsi="Times New Roman" w:cs="Times New Roman"/>
        </w:rPr>
        <w:t>50 papers) explicitly identify or test one or more mechanisms.</w:t>
      </w:r>
    </w:p>
    <w:p w14:paraId="519D4EE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literature generally distinguishes seven channels:</w:t>
      </w:r>
    </w:p>
    <w:p w14:paraId="1AE8028E"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Monetary/interest-rate (policy-rate expectations and yield-curve adjustment)</w:t>
      </w:r>
    </w:p>
    <w:p w14:paraId="51B6BBE1"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Term-premium/portfolio-rebalancing (asset-supply and duration effects from QE/QT)</w:t>
      </w:r>
    </w:p>
    <w:p w14:paraId="6A528CB7"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Credit/bank-lending (balance-sheet and funding-cost transmission)</w:t>
      </w:r>
    </w:p>
    <w:p w14:paraId="7BED2A7C"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External-dollar/global-liquidity (international balance-sheet constraint)</w:t>
      </w:r>
    </w:p>
    <w:p w14:paraId="5483C75D"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Information/signaling (revelation of macro expectations)</w:t>
      </w:r>
    </w:p>
    <w:p w14:paraId="5E841F6A"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Risk-taking/</w:t>
      </w:r>
      <w:proofErr w:type="gramStart"/>
      <w:r w:rsidRPr="002A5401">
        <w:rPr>
          <w:rFonts w:ascii="Times New Roman" w:hAnsi="Times New Roman" w:cs="Times New Roman"/>
        </w:rPr>
        <w:t>financial-conditions</w:t>
      </w:r>
      <w:proofErr w:type="gramEnd"/>
      <w:r w:rsidRPr="002A5401">
        <w:rPr>
          <w:rFonts w:ascii="Times New Roman" w:hAnsi="Times New Roman" w:cs="Times New Roman"/>
        </w:rPr>
        <w:t xml:space="preserve"> (valuation and leverage cycles)</w:t>
      </w:r>
    </w:p>
    <w:p w14:paraId="0DB5FD2D" w14:textId="77777777" w:rsidR="002A5401" w:rsidRPr="002A5401" w:rsidRDefault="002A5401" w:rsidP="002A5401">
      <w:pPr>
        <w:numPr>
          <w:ilvl w:val="0"/>
          <w:numId w:val="67"/>
        </w:numPr>
        <w:rPr>
          <w:rFonts w:ascii="Times New Roman" w:hAnsi="Times New Roman" w:cs="Times New Roman"/>
        </w:rPr>
      </w:pPr>
      <w:r w:rsidRPr="002A5401">
        <w:rPr>
          <w:rFonts w:ascii="Times New Roman" w:hAnsi="Times New Roman" w:cs="Times New Roman"/>
        </w:rPr>
        <w:t>Exchange-rate/funding, treated jointly with the external-dollar mechanism.</w:t>
      </w:r>
    </w:p>
    <w:p w14:paraId="19BE6EC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Each operates at different horizons and interacts with the others; together they form the architecture of the global monetary-transmission network, </w:t>
      </w:r>
      <w:proofErr w:type="gramStart"/>
      <w:r w:rsidRPr="002A5401">
        <w:rPr>
          <w:rFonts w:ascii="Times New Roman" w:hAnsi="Times New Roman" w:cs="Times New Roman"/>
        </w:rPr>
        <w:t>including to</w:t>
      </w:r>
      <w:proofErr w:type="gramEnd"/>
      <w:r w:rsidRPr="002A5401">
        <w:rPr>
          <w:rFonts w:ascii="Times New Roman" w:hAnsi="Times New Roman" w:cs="Times New Roman"/>
        </w:rPr>
        <w:t xml:space="preserve"> highly interest-sensitive sectors such as REITs.</w:t>
      </w:r>
    </w:p>
    <w:p w14:paraId="39ABBFED" w14:textId="2CAF5D5C" w:rsidR="002A5401" w:rsidRPr="002A5401" w:rsidRDefault="002A5401" w:rsidP="002A5401">
      <w:pPr>
        <w:rPr>
          <w:rFonts w:ascii="Times New Roman" w:hAnsi="Times New Roman" w:cs="Times New Roman"/>
          <w:b/>
          <w:bCs/>
        </w:rPr>
      </w:pPr>
    </w:p>
    <w:p w14:paraId="0CEEAA76"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19. Monetary and Interest-Rate Channel</w:t>
      </w:r>
    </w:p>
    <w:p w14:paraId="3B0E2FA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19.1 Findings</w:t>
      </w:r>
    </w:p>
    <w:p w14:paraId="2A47221D" w14:textId="1C81F89D"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Classical theory predicts that policy shocks alter short-term nominal rates, which then propagate along the yield curve and reprice risk assets through discount-rate effects. Empirical work since </w:t>
      </w:r>
      <w:proofErr w:type="spellStart"/>
      <w:r w:rsidRPr="002A5401">
        <w:rPr>
          <w:rFonts w:ascii="Times New Roman" w:hAnsi="Times New Roman" w:cs="Times New Roman"/>
        </w:rPr>
        <w:t>Gürkaynak</w:t>
      </w:r>
      <w:proofErr w:type="spellEnd"/>
      <w:r w:rsidRPr="002A5401">
        <w:rPr>
          <w:rFonts w:ascii="Times New Roman" w:hAnsi="Times New Roman" w:cs="Times New Roman"/>
        </w:rPr>
        <w:t>, Sack, &amp; Swanson (2005) decomposes FOMC-day surprises into target and path factors. Across studies, path shocks explain 70</w:t>
      </w:r>
      <w:r w:rsidR="00896056">
        <w:rPr>
          <w:rFonts w:ascii="Times New Roman" w:hAnsi="Times New Roman" w:cs="Times New Roman"/>
        </w:rPr>
        <w:t xml:space="preserve"> - </w:t>
      </w:r>
      <w:r w:rsidRPr="002A5401">
        <w:rPr>
          <w:rFonts w:ascii="Times New Roman" w:hAnsi="Times New Roman" w:cs="Times New Roman"/>
        </w:rPr>
        <w:t xml:space="preserve">80 percent of the variance in long-maturity </w:t>
      </w:r>
      <w:r w:rsidRPr="002A5401">
        <w:rPr>
          <w:rFonts w:ascii="Times New Roman" w:hAnsi="Times New Roman" w:cs="Times New Roman"/>
        </w:rPr>
        <w:lastRenderedPageBreak/>
        <w:t>yields (Swanson, 2021; Bauer &amp; Swanson, 2022). Hawkish path surprises raise 10-year yields by 5</w:t>
      </w:r>
      <w:r w:rsidR="00896056">
        <w:rPr>
          <w:rFonts w:ascii="Times New Roman" w:hAnsi="Times New Roman" w:cs="Times New Roman"/>
        </w:rPr>
        <w:t xml:space="preserve"> - </w:t>
      </w:r>
      <w:r w:rsidRPr="002A5401">
        <w:rPr>
          <w:rFonts w:ascii="Times New Roman" w:hAnsi="Times New Roman" w:cs="Times New Roman"/>
        </w:rPr>
        <w:t>8 bps on average and depress equity returns by 0.5</w:t>
      </w:r>
      <w:r w:rsidR="00896056">
        <w:rPr>
          <w:rFonts w:ascii="Times New Roman" w:hAnsi="Times New Roman" w:cs="Times New Roman"/>
        </w:rPr>
        <w:t xml:space="preserve"> - </w:t>
      </w:r>
      <w:r w:rsidRPr="002A5401">
        <w:rPr>
          <w:rFonts w:ascii="Times New Roman" w:hAnsi="Times New Roman" w:cs="Times New Roman"/>
        </w:rPr>
        <w:t>1 percent, consistent with discount-rate repricing.</w:t>
      </w:r>
    </w:p>
    <w:p w14:paraId="05F4837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Internationally, Georgiadis (2016) and </w:t>
      </w:r>
      <w:proofErr w:type="spellStart"/>
      <w:r w:rsidRPr="002A5401">
        <w:rPr>
          <w:rFonts w:ascii="Times New Roman" w:hAnsi="Times New Roman" w:cs="Times New Roman"/>
        </w:rPr>
        <w:t>Dées</w:t>
      </w:r>
      <w:proofErr w:type="spellEnd"/>
      <w:r w:rsidRPr="002A5401">
        <w:rPr>
          <w:rFonts w:ascii="Times New Roman" w:hAnsi="Times New Roman" w:cs="Times New Roman"/>
        </w:rPr>
        <w:t xml:space="preserve"> &amp; Galesi (2019) find that the same shocks lift foreign long rates and term premia proportionally to local market depth. Thus, the basic interest-rate channel is globalized through integrated bond markets.</w:t>
      </w:r>
    </w:p>
    <w:p w14:paraId="1063FFF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19.2 Similarities and Differences</w:t>
      </w:r>
    </w:p>
    <w:p w14:paraId="675E6B42" w14:textId="1347E5AC" w:rsidR="002A5401" w:rsidRPr="002A5401" w:rsidRDefault="002A5401" w:rsidP="002A5401">
      <w:pPr>
        <w:rPr>
          <w:rFonts w:ascii="Times New Roman" w:hAnsi="Times New Roman" w:cs="Times New Roman"/>
        </w:rPr>
      </w:pPr>
      <w:r w:rsidRPr="002A5401">
        <w:rPr>
          <w:rFonts w:ascii="Times New Roman" w:hAnsi="Times New Roman" w:cs="Times New Roman"/>
        </w:rPr>
        <w:t>All studies agree on the direction of response</w:t>
      </w:r>
      <w:r w:rsidR="00896056">
        <w:rPr>
          <w:rFonts w:ascii="Times New Roman" w:hAnsi="Times New Roman" w:cs="Times New Roman"/>
        </w:rPr>
        <w:t xml:space="preserve"> - </w:t>
      </w:r>
      <w:r w:rsidRPr="002A5401">
        <w:rPr>
          <w:rFonts w:ascii="Times New Roman" w:hAnsi="Times New Roman" w:cs="Times New Roman"/>
        </w:rPr>
        <w:t>tightening increases yields and lowers duration-asset prices</w:t>
      </w:r>
      <w:r w:rsidR="00896056">
        <w:rPr>
          <w:rFonts w:ascii="Times New Roman" w:hAnsi="Times New Roman" w:cs="Times New Roman"/>
        </w:rPr>
        <w:t xml:space="preserve"> - </w:t>
      </w:r>
      <w:r w:rsidRPr="002A5401">
        <w:rPr>
          <w:rFonts w:ascii="Times New Roman" w:hAnsi="Times New Roman" w:cs="Times New Roman"/>
        </w:rPr>
        <w:t>but differ on persistence. Event-study results show near-instantaneous adjustment; VAR frameworks find partial reversion within days. Differences also arise between announcement and implementation: expectations react immediately, realized policy affects money-market spreads more gradually.</w:t>
      </w:r>
    </w:p>
    <w:p w14:paraId="2C45B15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19.3 Conflicts and Gaps</w:t>
      </w:r>
    </w:p>
    <w:p w14:paraId="08B16C2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 key debate concerns whether observed yield-curve shifts represent expectations of future rates or risk-premium adjustments. Term-structure decompositions yield divergent </w:t>
      </w:r>
      <w:proofErr w:type="gramStart"/>
      <w:r w:rsidRPr="002A5401">
        <w:rPr>
          <w:rFonts w:ascii="Times New Roman" w:hAnsi="Times New Roman" w:cs="Times New Roman"/>
        </w:rPr>
        <w:t>attributions</w:t>
      </w:r>
      <w:proofErr w:type="gramEnd"/>
      <w:r w:rsidRPr="002A5401">
        <w:rPr>
          <w:rFonts w:ascii="Times New Roman" w:hAnsi="Times New Roman" w:cs="Times New Roman"/>
        </w:rPr>
        <w:t>. Future work should integrate intraday futures-based identification with macro-term-structure models to unify these interpretations and connect them more directly to sectors whose valuations are highly duration-driven, such as REITs.</w:t>
      </w:r>
    </w:p>
    <w:p w14:paraId="198F5004" w14:textId="5E9D67FD" w:rsidR="002A5401" w:rsidRPr="002A5401" w:rsidRDefault="002A5401" w:rsidP="002A5401">
      <w:pPr>
        <w:rPr>
          <w:rFonts w:ascii="Times New Roman" w:hAnsi="Times New Roman" w:cs="Times New Roman"/>
        </w:rPr>
      </w:pPr>
    </w:p>
    <w:p w14:paraId="29FD6B3E"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20. Term-Premium and Portfolio-Rebalancing Channel</w:t>
      </w:r>
    </w:p>
    <w:p w14:paraId="7A07EF6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20.1 Findings</w:t>
      </w:r>
    </w:p>
    <w:p w14:paraId="1D793ADC" w14:textId="3717711B" w:rsidR="002A5401" w:rsidRPr="002A5401" w:rsidRDefault="002A5401" w:rsidP="002A5401">
      <w:pPr>
        <w:rPr>
          <w:rFonts w:ascii="Times New Roman" w:hAnsi="Times New Roman" w:cs="Times New Roman"/>
        </w:rPr>
      </w:pPr>
      <w:r w:rsidRPr="002A5401">
        <w:rPr>
          <w:rFonts w:ascii="Times New Roman" w:hAnsi="Times New Roman" w:cs="Times New Roman"/>
        </w:rPr>
        <w:t>During quantitative-easing (QE) periods, the Fed altered the composition and size of its balance sheet, changing the relative supply of duration risk. Krishnamurthy &amp; Vissing-Jørgensen (2011) show that LSAP announcements lowered Treasury term premia by 20</w:t>
      </w:r>
      <w:r w:rsidR="00896056">
        <w:rPr>
          <w:rFonts w:ascii="Times New Roman" w:hAnsi="Times New Roman" w:cs="Times New Roman"/>
        </w:rPr>
        <w:t xml:space="preserve"> - </w:t>
      </w:r>
      <w:r w:rsidRPr="002A5401">
        <w:rPr>
          <w:rFonts w:ascii="Times New Roman" w:hAnsi="Times New Roman" w:cs="Times New Roman"/>
        </w:rPr>
        <w:t xml:space="preserve">40 bps via portfolio rebalancing. D’Amico &amp; King (2013) confirm localized effects around purchased maturities. Global studies (Rogers et al., 2014; </w:t>
      </w:r>
      <w:proofErr w:type="spellStart"/>
      <w:r w:rsidRPr="002A5401">
        <w:rPr>
          <w:rFonts w:ascii="Times New Roman" w:hAnsi="Times New Roman" w:cs="Times New Roman"/>
        </w:rPr>
        <w:t>Dées</w:t>
      </w:r>
      <w:proofErr w:type="spellEnd"/>
      <w:r w:rsidRPr="002A5401">
        <w:rPr>
          <w:rFonts w:ascii="Times New Roman" w:hAnsi="Times New Roman" w:cs="Times New Roman"/>
        </w:rPr>
        <w:t xml:space="preserve"> &amp; Galesi, 2019) document similar compression in foreign yields, implying an international extension of the rebalancing channel through global investors’ portfolios.</w:t>
      </w:r>
    </w:p>
    <w:p w14:paraId="4ED3D2F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 REITs, this channel is particularly important: by altering long-term real and nominal rates and compressing term premia, QE and QT directly influence property valuation discount rates and relative attractiveness of REITs versus bonds and other yield-oriented assets.</w:t>
      </w:r>
    </w:p>
    <w:p w14:paraId="2F519E7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20.2 Similarities and Differences</w:t>
      </w:r>
    </w:p>
    <w:p w14:paraId="6939B078" w14:textId="507AA338"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All studies find significant term-premium effects; differences emerge in magnitude and transmission route. U.S.-centric papers emphasize scarcity of safe assets; global papers highlight </w:t>
      </w:r>
      <w:r w:rsidRPr="002A5401">
        <w:rPr>
          <w:rFonts w:ascii="Times New Roman" w:hAnsi="Times New Roman" w:cs="Times New Roman"/>
        </w:rPr>
        <w:lastRenderedPageBreak/>
        <w:t>exchange-rate and capital-flow adjustments. QE1 (crisis) effects exceeded QE2</w:t>
      </w:r>
      <w:r w:rsidR="00896056">
        <w:rPr>
          <w:rFonts w:ascii="Times New Roman" w:hAnsi="Times New Roman" w:cs="Times New Roman"/>
        </w:rPr>
        <w:t xml:space="preserve"> - </w:t>
      </w:r>
      <w:r w:rsidRPr="002A5401">
        <w:rPr>
          <w:rFonts w:ascii="Times New Roman" w:hAnsi="Times New Roman" w:cs="Times New Roman"/>
        </w:rPr>
        <w:t>QE3 due to market segmentation and liquidity stress.</w:t>
      </w:r>
    </w:p>
    <w:p w14:paraId="6533D8F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20.3 Conflicts and Gaps</w:t>
      </w:r>
    </w:p>
    <w:p w14:paraId="1118433F" w14:textId="3F55202C" w:rsidR="002A5401" w:rsidRPr="002A5401" w:rsidRDefault="002A5401" w:rsidP="002A5401">
      <w:pPr>
        <w:rPr>
          <w:rFonts w:ascii="Times New Roman" w:hAnsi="Times New Roman" w:cs="Times New Roman"/>
        </w:rPr>
      </w:pPr>
      <w:r w:rsidRPr="002A5401">
        <w:rPr>
          <w:rFonts w:ascii="Times New Roman" w:hAnsi="Times New Roman" w:cs="Times New Roman"/>
        </w:rPr>
        <w:t>Disagreement persists over whether balance-sheet actions operate mainly through portfolio rebalancing (supply effect) or signaling (expectations of lower future rates). Cross-country evidence often conflates the two. A unified model combining affine term-structure dynamics with international asset-supply shocks remains an open research frontier</w:t>
      </w:r>
      <w:r w:rsidR="00896056">
        <w:rPr>
          <w:rFonts w:ascii="Times New Roman" w:hAnsi="Times New Roman" w:cs="Times New Roman"/>
        </w:rPr>
        <w:t xml:space="preserve"> - </w:t>
      </w:r>
      <w:r w:rsidRPr="002A5401">
        <w:rPr>
          <w:rFonts w:ascii="Times New Roman" w:hAnsi="Times New Roman" w:cs="Times New Roman"/>
        </w:rPr>
        <w:t>especially relevant for understanding how REITs sit between fixed income and equities in this rebalancing process.</w:t>
      </w:r>
    </w:p>
    <w:p w14:paraId="6AD8797D" w14:textId="57AB3F62" w:rsidR="002A5401" w:rsidRPr="002A5401" w:rsidRDefault="002A5401" w:rsidP="002A5401">
      <w:pPr>
        <w:rPr>
          <w:rFonts w:ascii="Times New Roman" w:hAnsi="Times New Roman" w:cs="Times New Roman"/>
        </w:rPr>
      </w:pPr>
    </w:p>
    <w:p w14:paraId="0DB993B2"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21. Credit and Bank-Lending Channel</w:t>
      </w:r>
    </w:p>
    <w:p w14:paraId="2363BAB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21.1 Findings</w:t>
      </w:r>
    </w:p>
    <w:p w14:paraId="43FE573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credit channel transmits policy through banks’ funding costs, capital, and risk tolerance. Hanson &amp; Stein (2015) show that tighter policy reduces lending to riskier borrowers even when aggregate credit supply appears stable. Internationally, Bruno &amp; Shin (2015) and </w:t>
      </w:r>
      <w:proofErr w:type="spellStart"/>
      <w:r w:rsidRPr="002A5401">
        <w:rPr>
          <w:rFonts w:ascii="Times New Roman" w:hAnsi="Times New Roman" w:cs="Times New Roman"/>
        </w:rPr>
        <w:t>Avdjiev</w:t>
      </w:r>
      <w:proofErr w:type="spellEnd"/>
      <w:r w:rsidRPr="002A5401">
        <w:rPr>
          <w:rFonts w:ascii="Times New Roman" w:hAnsi="Times New Roman" w:cs="Times New Roman"/>
        </w:rPr>
        <w:t xml:space="preserve"> et al. (2019) demonstrate that higher U.S. rates increase dollar funding costs, prompting global banks to shrink foreign claims. QE episodes reverse the pattern via balance-sheet expansion and carry trades.</w:t>
      </w:r>
    </w:p>
    <w:p w14:paraId="0F64D24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 real estate, this channel operates through mortgage lending, commercial real estate loans, and funding of mortgage REITs. Tightening raises funding costs and tightens lending standards, while QE relaxes them, affecting both underlying property markets and REIT cash flows.</w:t>
      </w:r>
    </w:p>
    <w:p w14:paraId="29E43DA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21.2 Differences Across Economies</w:t>
      </w:r>
    </w:p>
    <w:p w14:paraId="341DB7D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In AEs, well-capitalized banks partially offset funding shocks by tapping wholesale markets; in EMEs, limited alternatives make credit contraction sharper. The effect is magnified where corporate borrowers hold unhedged USD debt. Some studies (Acharya et al., 2021) find stronger pass-through in shadow-bank sectors than in regulated banks, suggesting regulatory asymmetries.</w:t>
      </w:r>
    </w:p>
    <w:p w14:paraId="73225ED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21.3 Conflicts and Gaps</w:t>
      </w:r>
    </w:p>
    <w:p w14:paraId="089E2120" w14:textId="43EC1AAE" w:rsidR="002A5401" w:rsidRPr="002A5401" w:rsidRDefault="002A5401" w:rsidP="002A5401">
      <w:pPr>
        <w:rPr>
          <w:rFonts w:ascii="Times New Roman" w:hAnsi="Times New Roman" w:cs="Times New Roman"/>
        </w:rPr>
      </w:pPr>
      <w:r w:rsidRPr="002A5401">
        <w:rPr>
          <w:rFonts w:ascii="Times New Roman" w:hAnsi="Times New Roman" w:cs="Times New Roman"/>
        </w:rPr>
        <w:t>Empirical challenges include distinguishing demand from supply and isolating policy shocks from risk shocks. Few datasets capture both bank-level funding structures and real-time FOMC identification. Future work should merge supervisory microdata with high-frequency policy surprises to map heterogeneous transmission</w:t>
      </w:r>
      <w:r w:rsidR="00896056">
        <w:rPr>
          <w:rFonts w:ascii="Times New Roman" w:hAnsi="Times New Roman" w:cs="Times New Roman"/>
        </w:rPr>
        <w:t xml:space="preserve"> - </w:t>
      </w:r>
      <w:proofErr w:type="gramStart"/>
      <w:r w:rsidRPr="002A5401">
        <w:rPr>
          <w:rFonts w:ascii="Times New Roman" w:hAnsi="Times New Roman" w:cs="Times New Roman"/>
        </w:rPr>
        <w:t>including to</w:t>
      </w:r>
      <w:proofErr w:type="gramEnd"/>
      <w:r w:rsidRPr="002A5401">
        <w:rPr>
          <w:rFonts w:ascii="Times New Roman" w:hAnsi="Times New Roman" w:cs="Times New Roman"/>
        </w:rPr>
        <w:t xml:space="preserve"> REITs with different leverage levels and funding sources.</w:t>
      </w:r>
    </w:p>
    <w:p w14:paraId="35697E33" w14:textId="5FAB70B6" w:rsidR="002A5401" w:rsidRPr="002A5401" w:rsidRDefault="002A5401" w:rsidP="002A5401">
      <w:pPr>
        <w:rPr>
          <w:rFonts w:ascii="Times New Roman" w:hAnsi="Times New Roman" w:cs="Times New Roman"/>
        </w:rPr>
      </w:pPr>
    </w:p>
    <w:p w14:paraId="2B1B3F7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22. External-Dollar and Global-Liquidity Channel</w:t>
      </w:r>
    </w:p>
    <w:p w14:paraId="4F5FC43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22.1 Mechanism and Evidence</w:t>
      </w:r>
    </w:p>
    <w:p w14:paraId="27F7BDCA" w14:textId="70A61D7C"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Coined by Rey (2015), this channel links U.S. policy to global credit through the dominance of the dollar in international finance. Dollar appreciation and higher short-term U.S. yields tighten global financial conditions even for economies with floating exchange rates. Bruno &amp; Shin (2015) show that global bank leverage is pro-cyclical with U.S. monetary stance; Miranda-Agrippino &amp; Rey (2020) </w:t>
      </w:r>
      <w:proofErr w:type="gramStart"/>
      <w:r w:rsidRPr="002A5401">
        <w:rPr>
          <w:rFonts w:ascii="Times New Roman" w:hAnsi="Times New Roman" w:cs="Times New Roman"/>
        </w:rPr>
        <w:t>find</w:t>
      </w:r>
      <w:proofErr w:type="gramEnd"/>
      <w:r w:rsidRPr="002A5401">
        <w:rPr>
          <w:rFonts w:ascii="Times New Roman" w:hAnsi="Times New Roman" w:cs="Times New Roman"/>
        </w:rPr>
        <w:t xml:space="preserve"> that a 100-bp Fed tightening reduces cross-border bank credit by 3</w:t>
      </w:r>
      <w:r w:rsidR="00896056">
        <w:rPr>
          <w:rFonts w:ascii="Times New Roman" w:hAnsi="Times New Roman" w:cs="Times New Roman"/>
        </w:rPr>
        <w:t xml:space="preserve"> - </w:t>
      </w:r>
      <w:r w:rsidRPr="002A5401">
        <w:rPr>
          <w:rFonts w:ascii="Times New Roman" w:hAnsi="Times New Roman" w:cs="Times New Roman"/>
        </w:rPr>
        <w:t xml:space="preserve">5 percent. BIS data </w:t>
      </w:r>
      <w:proofErr w:type="gramStart"/>
      <w:r w:rsidRPr="002A5401">
        <w:rPr>
          <w:rFonts w:ascii="Times New Roman" w:hAnsi="Times New Roman" w:cs="Times New Roman"/>
        </w:rPr>
        <w:t>confirm</w:t>
      </w:r>
      <w:proofErr w:type="gramEnd"/>
      <w:r w:rsidRPr="002A5401">
        <w:rPr>
          <w:rFonts w:ascii="Times New Roman" w:hAnsi="Times New Roman" w:cs="Times New Roman"/>
        </w:rPr>
        <w:t xml:space="preserve"> synchronized contractions in offshore dollar lending.</w:t>
      </w:r>
    </w:p>
    <w:p w14:paraId="6638A44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22.2 Cross-Country Heterogeneity</w:t>
      </w:r>
    </w:p>
    <w:p w14:paraId="2602427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Countries with high USD-liability ratios experience stronger spillovers. Advanced economies absorb some impact via funding-market depth; EMEs face reserve losses and wider credit spreads. FX-intervention and macroprudential tools mitigate, but cannot neutralize, the dollar constraint.</w:t>
      </w:r>
    </w:p>
    <w:p w14:paraId="3FBC4B1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 globally listed REITs, especially those funding in USD while holding local-currency assets, this channel can be crucial: dollar tightening increases funding costs, affects hedging expenses, and may induce capital outflows from REIT sectors in smaller economies.</w:t>
      </w:r>
    </w:p>
    <w:p w14:paraId="359A4B6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22.3 Similarities, Differences, and Gaps</w:t>
      </w:r>
    </w:p>
    <w:p w14:paraId="7B4AE31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All agree the channel is real and powerful; differences concern its scope. Some regard it as an amplifier of traditional channels, others as an independent global constraint. Quantifying its elasticity relative to policy-rate changes is still difficult. Gaps include the need for micro-level cross-currency funding data and joint modeling of dollar liquidity and risk-premia dynamics, particularly for </w:t>
      </w:r>
      <w:proofErr w:type="gramStart"/>
      <w:r w:rsidRPr="002A5401">
        <w:rPr>
          <w:rFonts w:ascii="Times New Roman" w:hAnsi="Times New Roman" w:cs="Times New Roman"/>
        </w:rPr>
        <w:t>real-estate</w:t>
      </w:r>
      <w:proofErr w:type="gramEnd"/>
      <w:r w:rsidRPr="002A5401">
        <w:rPr>
          <w:rFonts w:ascii="Times New Roman" w:hAnsi="Times New Roman" w:cs="Times New Roman"/>
        </w:rPr>
        <w:t xml:space="preserve"> and REIT vehicles that intermediate cross-border capital.</w:t>
      </w:r>
    </w:p>
    <w:p w14:paraId="02F7BAB0" w14:textId="4F0FD55A" w:rsidR="002A5401" w:rsidRPr="002A5401" w:rsidRDefault="002A5401" w:rsidP="002A5401">
      <w:pPr>
        <w:rPr>
          <w:rFonts w:ascii="Times New Roman" w:hAnsi="Times New Roman" w:cs="Times New Roman"/>
        </w:rPr>
      </w:pPr>
    </w:p>
    <w:p w14:paraId="74C19BD2"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23. Information and Signaling Channel</w:t>
      </w:r>
    </w:p>
    <w:p w14:paraId="4283B5B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23.1 Framework</w:t>
      </w:r>
    </w:p>
    <w:p w14:paraId="51DFD42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FOMC communications reveal both intended policy stance and information about the </w:t>
      </w:r>
      <w:proofErr w:type="gramStart"/>
      <w:r w:rsidRPr="002A5401">
        <w:rPr>
          <w:rFonts w:ascii="Times New Roman" w:hAnsi="Times New Roman" w:cs="Times New Roman"/>
        </w:rPr>
        <w:t>macro outlook</w:t>
      </w:r>
      <w:proofErr w:type="gramEnd"/>
      <w:r w:rsidRPr="002A5401">
        <w:rPr>
          <w:rFonts w:ascii="Times New Roman" w:hAnsi="Times New Roman" w:cs="Times New Roman"/>
        </w:rPr>
        <w:t xml:space="preserve">. Nakamura &amp; Steinsson (2018) differentiate “Delphic” (information) from “Odyssean” (policy) shocks. Cieslak &amp; Schrimpf (2019) and </w:t>
      </w:r>
      <w:proofErr w:type="spellStart"/>
      <w:r w:rsidRPr="002A5401">
        <w:rPr>
          <w:rFonts w:ascii="Times New Roman" w:hAnsi="Times New Roman" w:cs="Times New Roman"/>
        </w:rPr>
        <w:t>Jarociński</w:t>
      </w:r>
      <w:proofErr w:type="spellEnd"/>
      <w:r w:rsidRPr="002A5401">
        <w:rPr>
          <w:rFonts w:ascii="Times New Roman" w:hAnsi="Times New Roman" w:cs="Times New Roman"/>
        </w:rPr>
        <w:t xml:space="preserve"> &amp; Karadi (2020) extend this by using text analysis and high-frequency correlations of yields and equities.</w:t>
      </w:r>
    </w:p>
    <w:p w14:paraId="12DB84E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23.2 Findings</w:t>
      </w:r>
    </w:p>
    <w:p w14:paraId="0A85B755" w14:textId="6D001594" w:rsidR="002A5401" w:rsidRPr="002A5401" w:rsidRDefault="002A5401" w:rsidP="002A5401">
      <w:pPr>
        <w:rPr>
          <w:rFonts w:ascii="Times New Roman" w:hAnsi="Times New Roman" w:cs="Times New Roman"/>
        </w:rPr>
      </w:pPr>
      <w:r w:rsidRPr="002A5401">
        <w:rPr>
          <w:rFonts w:ascii="Times New Roman" w:hAnsi="Times New Roman" w:cs="Times New Roman"/>
        </w:rPr>
        <w:t>Roughly one-third of announcement-day yield</w:t>
      </w:r>
      <w:r w:rsidR="00896056">
        <w:rPr>
          <w:rFonts w:ascii="Times New Roman" w:hAnsi="Times New Roman" w:cs="Times New Roman"/>
        </w:rPr>
        <w:t xml:space="preserve"> - </w:t>
      </w:r>
      <w:r w:rsidRPr="002A5401">
        <w:rPr>
          <w:rFonts w:ascii="Times New Roman" w:hAnsi="Times New Roman" w:cs="Times New Roman"/>
        </w:rPr>
        <w:t>equity co-movements reflect information shocks: when the Fed signals stronger expected growth, both yields and equities rise. These shocks generate positive spillovers abroad</w:t>
      </w:r>
      <w:r w:rsidR="00896056">
        <w:rPr>
          <w:rFonts w:ascii="Times New Roman" w:hAnsi="Times New Roman" w:cs="Times New Roman"/>
        </w:rPr>
        <w:t xml:space="preserve"> - </w:t>
      </w:r>
      <w:r w:rsidRPr="002A5401">
        <w:rPr>
          <w:rFonts w:ascii="Times New Roman" w:hAnsi="Times New Roman" w:cs="Times New Roman"/>
        </w:rPr>
        <w:t>higher global equities and commodity currencies despite a stronger dollar</w:t>
      </w:r>
      <w:r w:rsidR="00896056">
        <w:rPr>
          <w:rFonts w:ascii="Times New Roman" w:hAnsi="Times New Roman" w:cs="Times New Roman"/>
        </w:rPr>
        <w:t xml:space="preserve"> - </w:t>
      </w:r>
      <w:r w:rsidRPr="002A5401">
        <w:rPr>
          <w:rFonts w:ascii="Times New Roman" w:hAnsi="Times New Roman" w:cs="Times New Roman"/>
        </w:rPr>
        <w:t xml:space="preserve">contrasting with the contractionary pattern of pure policy tightening. </w:t>
      </w:r>
      <w:r w:rsidRPr="002A5401">
        <w:rPr>
          <w:rFonts w:ascii="Times New Roman" w:hAnsi="Times New Roman" w:cs="Times New Roman"/>
        </w:rPr>
        <w:lastRenderedPageBreak/>
        <w:t xml:space="preserve">For REITs, this implies that FOMC days can deliver growth-positive / rate-negative trade-offs, where improved </w:t>
      </w:r>
      <w:proofErr w:type="gramStart"/>
      <w:r w:rsidRPr="002A5401">
        <w:rPr>
          <w:rFonts w:ascii="Times New Roman" w:hAnsi="Times New Roman" w:cs="Times New Roman"/>
        </w:rPr>
        <w:t>macro outlook</w:t>
      </w:r>
      <w:proofErr w:type="gramEnd"/>
      <w:r w:rsidRPr="002A5401">
        <w:rPr>
          <w:rFonts w:ascii="Times New Roman" w:hAnsi="Times New Roman" w:cs="Times New Roman"/>
        </w:rPr>
        <w:t xml:space="preserve"> supports occupancy and rents even as discount rates rise.</w:t>
      </w:r>
    </w:p>
    <w:p w14:paraId="46D6FA9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23.3 Conflicts and Gaps</w:t>
      </w:r>
    </w:p>
    <w:p w14:paraId="4057597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Studies disagree on relative magnitudes and persistence. Identifying information shocks outside the U.S. remains challenging because foreign markets react to both domestic and global news. A standardized text-based cross-country dataset would clarify how communication tone transmits internationally, </w:t>
      </w:r>
      <w:proofErr w:type="gramStart"/>
      <w:r w:rsidRPr="002A5401">
        <w:rPr>
          <w:rFonts w:ascii="Times New Roman" w:hAnsi="Times New Roman" w:cs="Times New Roman"/>
        </w:rPr>
        <w:t>including to</w:t>
      </w:r>
      <w:proofErr w:type="gramEnd"/>
      <w:r w:rsidRPr="002A5401">
        <w:rPr>
          <w:rFonts w:ascii="Times New Roman" w:hAnsi="Times New Roman" w:cs="Times New Roman"/>
        </w:rPr>
        <w:t xml:space="preserve"> listed real-estate markets and REITs.</w:t>
      </w:r>
    </w:p>
    <w:p w14:paraId="72107E20" w14:textId="2D78B25E" w:rsidR="002A5401" w:rsidRPr="002A5401" w:rsidRDefault="002A5401" w:rsidP="002A5401">
      <w:pPr>
        <w:rPr>
          <w:rFonts w:ascii="Times New Roman" w:hAnsi="Times New Roman" w:cs="Times New Roman"/>
        </w:rPr>
      </w:pPr>
    </w:p>
    <w:p w14:paraId="7DC38589"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24. Risk-Taking and Financial-Condition Channel</w:t>
      </w:r>
    </w:p>
    <w:p w14:paraId="50E6D8F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24.1 Findings</w:t>
      </w:r>
    </w:p>
    <w:p w14:paraId="431E9A3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Low policy rates and compressed risk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encourage leverage and duration risk-taking. Adrian &amp; Liang (2018) show that accommodative policy loosens financial conditions and raises intermediary leverage. Bekaert et al. (2019) link FOMC surprises to changes in global volatility indices (VIX, MOVE). Bruno &amp; Shin (2017) find that global banks expand cross-border claims during easing, amplifying risk cycles.</w:t>
      </w:r>
    </w:p>
    <w:p w14:paraId="080E9D4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 REITs, this channel operates through leverage decisions, acquisition activity, and asset-allocation shifts by institutional investors. QE and low rates encourage yield-seeking flows into REITs; tightening encourages de-risking and reallocations back to bonds.</w:t>
      </w:r>
    </w:p>
    <w:p w14:paraId="33B36A5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24.2 Similarities and Differences</w:t>
      </w:r>
    </w:p>
    <w:p w14:paraId="0503F13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Most papers agree that risk-taking rises with easing and falls with </w:t>
      </w:r>
      <w:proofErr w:type="gramStart"/>
      <w:r w:rsidRPr="002A5401">
        <w:rPr>
          <w:rFonts w:ascii="Times New Roman" w:hAnsi="Times New Roman" w:cs="Times New Roman"/>
        </w:rPr>
        <w:t>tightening, but</w:t>
      </w:r>
      <w:proofErr w:type="gramEnd"/>
      <w:r w:rsidRPr="002A5401">
        <w:rPr>
          <w:rFonts w:ascii="Times New Roman" w:hAnsi="Times New Roman" w:cs="Times New Roman"/>
        </w:rPr>
        <w:t xml:space="preserve"> differ on the dominant margin: some emphasize market leverage, others asset-allocation shifts. Effects are stronger for non-bank institutions (mutual funds, insurers) than for regulated banks due to capital constraints.</w:t>
      </w:r>
    </w:p>
    <w:p w14:paraId="034886E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24.3 Gaps</w:t>
      </w:r>
    </w:p>
    <w:p w14:paraId="106BCB7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Quantitative linkage between measured “financial conditions indices” and realized risk exposures remains incomplete. Integrating granular position data with policy-shock identification would permit causal estimates of risk-taking elasticity, including for REIT allocations by different investor types (retail funds, pension funds, insurance companies).</w:t>
      </w:r>
    </w:p>
    <w:p w14:paraId="126990FE" w14:textId="0A5F7D5E" w:rsidR="002A5401" w:rsidRPr="002A5401" w:rsidRDefault="002A5401" w:rsidP="002A5401">
      <w:pPr>
        <w:rPr>
          <w:rFonts w:ascii="Times New Roman" w:hAnsi="Times New Roman" w:cs="Times New Roman"/>
        </w:rPr>
      </w:pPr>
    </w:p>
    <w:p w14:paraId="76EC14F2"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25. Comparative Synthesis</w:t>
      </w:r>
    </w:p>
    <w:p w14:paraId="59EC7C5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25.1 Hierarchy and Interaction</w:t>
      </w:r>
    </w:p>
    <w:p w14:paraId="606B6D06" w14:textId="7FCE4B1D"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Channels are not mutually exclusive. Interest-rate and portfolio-rebalancing channels anchor valuation; credit and external-dollar channels govern financing; information and risk-taking </w:t>
      </w:r>
      <w:r w:rsidRPr="002A5401">
        <w:rPr>
          <w:rFonts w:ascii="Times New Roman" w:hAnsi="Times New Roman" w:cs="Times New Roman"/>
        </w:rPr>
        <w:lastRenderedPageBreak/>
        <w:t>channels modulate expectations and sentiment. Empirically, they reinforce one another</w:t>
      </w:r>
      <w:r w:rsidR="00896056">
        <w:rPr>
          <w:rFonts w:ascii="Times New Roman" w:hAnsi="Times New Roman" w:cs="Times New Roman"/>
        </w:rPr>
        <w:t xml:space="preserve"> - </w:t>
      </w:r>
      <w:r w:rsidRPr="002A5401">
        <w:rPr>
          <w:rFonts w:ascii="Times New Roman" w:hAnsi="Times New Roman" w:cs="Times New Roman"/>
        </w:rPr>
        <w:t xml:space="preserve">e.g., QE compresses term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and stimulates risk-taking.</w:t>
      </w:r>
    </w:p>
    <w:p w14:paraId="1442615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REITs, as listed real-estate vehicles, sit precisely at the intersection of these mechanisms: their valuations respond to discount rates and term </w:t>
      </w:r>
      <w:proofErr w:type="gramStart"/>
      <w:r w:rsidRPr="002A5401">
        <w:rPr>
          <w:rFonts w:ascii="Times New Roman" w:hAnsi="Times New Roman" w:cs="Times New Roman"/>
        </w:rPr>
        <w:t>premia</w:t>
      </w:r>
      <w:proofErr w:type="gramEnd"/>
      <w:r w:rsidRPr="002A5401">
        <w:rPr>
          <w:rFonts w:ascii="Times New Roman" w:hAnsi="Times New Roman" w:cs="Times New Roman"/>
        </w:rPr>
        <w:t xml:space="preserve">; their funding and leverage respond to bank- and market-based credit conditions; and their returns reflect growth </w:t>
      </w:r>
      <w:proofErr w:type="gramStart"/>
      <w:r w:rsidRPr="002A5401">
        <w:rPr>
          <w:rFonts w:ascii="Times New Roman" w:hAnsi="Times New Roman" w:cs="Times New Roman"/>
        </w:rPr>
        <w:t>and rental-</w:t>
      </w:r>
      <w:proofErr w:type="gramEnd"/>
      <w:r w:rsidRPr="002A5401">
        <w:rPr>
          <w:rFonts w:ascii="Times New Roman" w:hAnsi="Times New Roman" w:cs="Times New Roman"/>
        </w:rPr>
        <w:t>demand expectations.</w:t>
      </w:r>
    </w:p>
    <w:p w14:paraId="519CF82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25.2 Cross-Country Heterogeneity</w:t>
      </w:r>
    </w:p>
    <w:p w14:paraId="0DE80CA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Advanced economies exhibit dominance of the interest-rate and portfolio channels; emerging markets are ruled by credit and external-dollar mechanisms. The information channel operates globally but with varying strength depending on market depth and </w:t>
      </w:r>
      <w:proofErr w:type="gramStart"/>
      <w:r w:rsidRPr="002A5401">
        <w:rPr>
          <w:rFonts w:ascii="Times New Roman" w:hAnsi="Times New Roman" w:cs="Times New Roman"/>
        </w:rPr>
        <w:t>central-bank</w:t>
      </w:r>
      <w:proofErr w:type="gramEnd"/>
      <w:r w:rsidRPr="002A5401">
        <w:rPr>
          <w:rFonts w:ascii="Times New Roman" w:hAnsi="Times New Roman" w:cs="Times New Roman"/>
        </w:rPr>
        <w:t xml:space="preserve"> credibility. For REITs, this suggests that U.S., U.K., Australian, and Asian REIT markets may exhibit systematically different sensitivities to the same decomposed FOMC shocks.</w:t>
      </w:r>
    </w:p>
    <w:p w14:paraId="1A3AA73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25.3 Measurement Challenges</w:t>
      </w:r>
    </w:p>
    <w:p w14:paraId="572D60BD" w14:textId="1C79BB08"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Disentangling overlapping channels </w:t>
      </w:r>
      <w:proofErr w:type="gramStart"/>
      <w:r w:rsidRPr="002A5401">
        <w:rPr>
          <w:rFonts w:ascii="Times New Roman" w:hAnsi="Times New Roman" w:cs="Times New Roman"/>
        </w:rPr>
        <w:t>requires</w:t>
      </w:r>
      <w:proofErr w:type="gramEnd"/>
      <w:r w:rsidRPr="002A5401">
        <w:rPr>
          <w:rFonts w:ascii="Times New Roman" w:hAnsi="Times New Roman" w:cs="Times New Roman"/>
        </w:rPr>
        <w:t xml:space="preserve"> multi-dimensional identification: combining high-frequency shocks, asset-supply data, bank balance sheets, and communication tone. The field increasingly converges toward integrated frameworks (e.g., Miranda-Agrippino &amp; Rey, 2020) but comprehensive cross-asset estimation remains rare</w:t>
      </w:r>
      <w:r w:rsidR="00896056">
        <w:rPr>
          <w:rFonts w:ascii="Times New Roman" w:hAnsi="Times New Roman" w:cs="Times New Roman"/>
        </w:rPr>
        <w:t xml:space="preserve"> - </w:t>
      </w:r>
      <w:r w:rsidRPr="002A5401">
        <w:rPr>
          <w:rFonts w:ascii="Times New Roman" w:hAnsi="Times New Roman" w:cs="Times New Roman"/>
        </w:rPr>
        <w:t>especially for REITs as a distinct asset class.</w:t>
      </w:r>
    </w:p>
    <w:p w14:paraId="02E50D41" w14:textId="0C5941FD" w:rsidR="002A5401" w:rsidRPr="002A5401" w:rsidRDefault="002A5401" w:rsidP="002A5401">
      <w:pPr>
        <w:rPr>
          <w:rFonts w:ascii="Times New Roman" w:hAnsi="Times New Roman" w:cs="Times New Roman"/>
          <w:b/>
          <w:bCs/>
        </w:rPr>
      </w:pPr>
    </w:p>
    <w:p w14:paraId="283A1AE1"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26. Summary of Transmission Evidence</w:t>
      </w:r>
    </w:p>
    <w:p w14:paraId="5826004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The evidence from approximately fifty studies confirms that FOMC announcements </w:t>
      </w:r>
      <w:proofErr w:type="gramStart"/>
      <w:r w:rsidRPr="002A5401">
        <w:rPr>
          <w:rFonts w:ascii="Times New Roman" w:hAnsi="Times New Roman" w:cs="Times New Roman"/>
        </w:rPr>
        <w:t>transmit</w:t>
      </w:r>
      <w:proofErr w:type="gramEnd"/>
      <w:r w:rsidRPr="002A5401">
        <w:rPr>
          <w:rFonts w:ascii="Times New Roman" w:hAnsi="Times New Roman" w:cs="Times New Roman"/>
        </w:rPr>
        <w:t xml:space="preserve"> through a network of channels linking policy decisions to global asset prices, credit, and risk. Interest-rate and portfolio mechanisms dominate in core markets; credit and external-dollar channels amplify spillovers in financially constrained economies; information and risk-taking channels shape the global financial cycle’s amplitude.</w:t>
      </w:r>
    </w:p>
    <w:p w14:paraId="44E5B32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coexistence and interaction of these mechanisms explain why U.S. monetary policy exerts disproportionate influence on world financial conditions. Integrating these channels is essential for understanding how real-estate securities and REITs, which are inherently duration- and leverage-sensitive, absorb and transmit FOMC shocks.</w:t>
      </w:r>
    </w:p>
    <w:p w14:paraId="3B15E52F" w14:textId="57453B49" w:rsidR="002A5401" w:rsidRPr="002A5401" w:rsidRDefault="002A5401" w:rsidP="002A5401">
      <w:pPr>
        <w:rPr>
          <w:rFonts w:ascii="Times New Roman" w:hAnsi="Times New Roman" w:cs="Times New Roman"/>
        </w:rPr>
      </w:pPr>
    </w:p>
    <w:p w14:paraId="52062100"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Part IV: Summary of the Literature Review and Dissertation Proposal</w:t>
      </w:r>
    </w:p>
    <w:p w14:paraId="502CF08A"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27. Overview and Motivation</w:t>
      </w:r>
    </w:p>
    <w:p w14:paraId="6714BB6B" w14:textId="564D3EA4" w:rsidR="002A5401" w:rsidRPr="002A5401" w:rsidRDefault="002A5401" w:rsidP="002A5401">
      <w:pPr>
        <w:rPr>
          <w:rFonts w:ascii="Times New Roman" w:hAnsi="Times New Roman" w:cs="Times New Roman"/>
        </w:rPr>
      </w:pPr>
      <w:r w:rsidRPr="002A5401">
        <w:rPr>
          <w:rFonts w:ascii="Times New Roman" w:hAnsi="Times New Roman" w:cs="Times New Roman"/>
        </w:rPr>
        <w:t>This dissertation set out to examine how U.S. monetary policy</w:t>
      </w:r>
      <w:r w:rsidR="00896056">
        <w:rPr>
          <w:rFonts w:ascii="Times New Roman" w:hAnsi="Times New Roman" w:cs="Times New Roman"/>
        </w:rPr>
        <w:t xml:space="preserve"> - </w:t>
      </w:r>
      <w:r w:rsidRPr="002A5401">
        <w:rPr>
          <w:rFonts w:ascii="Times New Roman" w:hAnsi="Times New Roman" w:cs="Times New Roman"/>
        </w:rPr>
        <w:t>operationalized through Federal Open Market Committee (FOMC) announcements</w:t>
      </w:r>
      <w:r w:rsidR="00896056">
        <w:rPr>
          <w:rFonts w:ascii="Times New Roman" w:hAnsi="Times New Roman" w:cs="Times New Roman"/>
        </w:rPr>
        <w:t xml:space="preserve"> - </w:t>
      </w:r>
      <w:r w:rsidRPr="002A5401">
        <w:rPr>
          <w:rFonts w:ascii="Times New Roman" w:hAnsi="Times New Roman" w:cs="Times New Roman"/>
        </w:rPr>
        <w:t xml:space="preserve">affects global financial markets. Across </w:t>
      </w:r>
      <w:r w:rsidRPr="002A5401">
        <w:rPr>
          <w:rFonts w:ascii="Times New Roman" w:hAnsi="Times New Roman" w:cs="Times New Roman"/>
        </w:rPr>
        <w:lastRenderedPageBreak/>
        <w:t>three interconnected parts, it documented the cross-asset impacts, the cross-country spillovers, and the structural transmission channels through which those effects unfold.</w:t>
      </w:r>
    </w:p>
    <w:p w14:paraId="2166D72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Synthesizing roughly one hundred peer-reviewed empirical studies, the analysis traced how information released at 2:00 p.m. in Washington, D.C. can reprice nearly every major asset class worldwide within minutes and reshape global financial conditions over months.</w:t>
      </w:r>
    </w:p>
    <w:p w14:paraId="0159DB5A" w14:textId="1562929A" w:rsidR="002A5401" w:rsidRPr="002A5401" w:rsidRDefault="002A5401" w:rsidP="002A5401">
      <w:pPr>
        <w:rPr>
          <w:rFonts w:ascii="Times New Roman" w:hAnsi="Times New Roman" w:cs="Times New Roman"/>
        </w:rPr>
      </w:pPr>
      <w:r w:rsidRPr="002A5401">
        <w:rPr>
          <w:rFonts w:ascii="Times New Roman" w:hAnsi="Times New Roman" w:cs="Times New Roman"/>
        </w:rPr>
        <w:t>The collective findings reaffirm the central position of the Federal Reserve as the anchor of the global financial cycle. FOMC announcements transmit not only through policy rates but also through investor balance sheets, expectations, and risk appetite</w:t>
      </w:r>
      <w:r w:rsidR="00896056">
        <w:rPr>
          <w:rFonts w:ascii="Times New Roman" w:hAnsi="Times New Roman" w:cs="Times New Roman"/>
        </w:rPr>
        <w:t xml:space="preserve"> - </w:t>
      </w:r>
      <w:r w:rsidRPr="002A5401">
        <w:rPr>
          <w:rFonts w:ascii="Times New Roman" w:hAnsi="Times New Roman" w:cs="Times New Roman"/>
        </w:rPr>
        <w:t>affecting both advanced and emerging economies and a wide array of asset classes, including real estate and REITs.</w:t>
      </w:r>
    </w:p>
    <w:p w14:paraId="6F40C4CA" w14:textId="16003816" w:rsidR="002A5401" w:rsidRPr="002A5401" w:rsidRDefault="002A5401" w:rsidP="002A5401">
      <w:pPr>
        <w:rPr>
          <w:rFonts w:ascii="Times New Roman" w:hAnsi="Times New Roman" w:cs="Times New Roman"/>
        </w:rPr>
      </w:pPr>
    </w:p>
    <w:p w14:paraId="22CA62F6" w14:textId="6B1FE538"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 xml:space="preserve">28. Part </w:t>
      </w:r>
      <w:proofErr w:type="gramStart"/>
      <w:r w:rsidRPr="002A5401">
        <w:rPr>
          <w:rFonts w:ascii="Times New Roman" w:hAnsi="Times New Roman" w:cs="Times New Roman"/>
          <w:b/>
          <w:bCs/>
        </w:rPr>
        <w:t xml:space="preserve">I </w:t>
      </w:r>
      <w:r w:rsidR="00896056" w:rsidRPr="002E286B">
        <w:rPr>
          <w:rFonts w:ascii="Times New Roman" w:hAnsi="Times New Roman" w:cs="Times New Roman"/>
          <w:b/>
          <w:bCs/>
        </w:rPr>
        <w:t xml:space="preserve"> -</w:t>
      </w:r>
      <w:proofErr w:type="gramEnd"/>
      <w:r w:rsidR="00896056" w:rsidRPr="002E286B">
        <w:rPr>
          <w:rFonts w:ascii="Times New Roman" w:hAnsi="Times New Roman" w:cs="Times New Roman"/>
          <w:b/>
          <w:bCs/>
        </w:rPr>
        <w:t xml:space="preserve"> </w:t>
      </w:r>
      <w:r w:rsidRPr="002A5401">
        <w:rPr>
          <w:rFonts w:ascii="Times New Roman" w:hAnsi="Times New Roman" w:cs="Times New Roman"/>
          <w:b/>
          <w:bCs/>
        </w:rPr>
        <w:t xml:space="preserve"> Cross-Asset Impacts</w:t>
      </w:r>
    </w:p>
    <w:p w14:paraId="494333D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28.1 General Findings and Sign Patterns</w:t>
      </w:r>
    </w:p>
    <w:p w14:paraId="3228629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Across more than seventy studies on interest rates, equities, credit, FX, commodities, real estate, and alternative assets, a consistent directional pattern emerges:</w:t>
      </w:r>
    </w:p>
    <w:p w14:paraId="525C4B59" w14:textId="77777777" w:rsidR="002A5401" w:rsidRPr="002A5401" w:rsidRDefault="002A5401" w:rsidP="002A5401">
      <w:pPr>
        <w:numPr>
          <w:ilvl w:val="0"/>
          <w:numId w:val="68"/>
        </w:numPr>
        <w:rPr>
          <w:rFonts w:ascii="Times New Roman" w:hAnsi="Times New Roman" w:cs="Times New Roman"/>
        </w:rPr>
      </w:pPr>
      <w:r w:rsidRPr="002A5401">
        <w:rPr>
          <w:rFonts w:ascii="Times New Roman" w:hAnsi="Times New Roman" w:cs="Times New Roman"/>
        </w:rPr>
        <w:t>Hawkish surprises raise yields, strengthen the U.S. dollar, widen credit spreads, depress equities and REITs, lower gold prices, and increase volatility.</w:t>
      </w:r>
    </w:p>
    <w:p w14:paraId="39C36A27" w14:textId="77777777" w:rsidR="002A5401" w:rsidRPr="002A5401" w:rsidRDefault="002A5401" w:rsidP="002A5401">
      <w:pPr>
        <w:numPr>
          <w:ilvl w:val="0"/>
          <w:numId w:val="68"/>
        </w:numPr>
        <w:rPr>
          <w:rFonts w:ascii="Times New Roman" w:hAnsi="Times New Roman" w:cs="Times New Roman"/>
        </w:rPr>
      </w:pPr>
      <w:r w:rsidRPr="002A5401">
        <w:rPr>
          <w:rFonts w:ascii="Times New Roman" w:hAnsi="Times New Roman" w:cs="Times New Roman"/>
        </w:rPr>
        <w:t>Dovish or QE-related surprises lower yields, weaken the dollar, compress spreads, lift equities and REITs, raise gold prices, and dampen volatility.</w:t>
      </w:r>
    </w:p>
    <w:p w14:paraId="18CC255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28.2 Robust Regularities</w:t>
      </w:r>
    </w:p>
    <w:p w14:paraId="6AC09BB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Three empirical regularities underpin these reactions:</w:t>
      </w:r>
    </w:p>
    <w:p w14:paraId="7A23C9DF" w14:textId="1DCA5C6D" w:rsidR="002A5401" w:rsidRPr="002A5401" w:rsidRDefault="002A5401" w:rsidP="002A5401">
      <w:pPr>
        <w:numPr>
          <w:ilvl w:val="0"/>
          <w:numId w:val="69"/>
        </w:numPr>
        <w:rPr>
          <w:rFonts w:ascii="Times New Roman" w:hAnsi="Times New Roman" w:cs="Times New Roman"/>
        </w:rPr>
      </w:pPr>
      <w:r w:rsidRPr="002A5401">
        <w:rPr>
          <w:rFonts w:ascii="Times New Roman" w:hAnsi="Times New Roman" w:cs="Times New Roman"/>
        </w:rPr>
        <w:t xml:space="preserve">Sign </w:t>
      </w:r>
      <w:proofErr w:type="gramStart"/>
      <w:r w:rsidRPr="002A5401">
        <w:rPr>
          <w:rFonts w:ascii="Times New Roman" w:hAnsi="Times New Roman" w:cs="Times New Roman"/>
        </w:rPr>
        <w:t xml:space="preserve">discipline </w:t>
      </w:r>
      <w:r w:rsidR="00896056">
        <w:rPr>
          <w:rFonts w:ascii="Times New Roman" w:hAnsi="Times New Roman" w:cs="Times New Roman"/>
        </w:rPr>
        <w:t xml:space="preserve"> -</w:t>
      </w:r>
      <w:proofErr w:type="gramEnd"/>
      <w:r w:rsidR="00896056">
        <w:rPr>
          <w:rFonts w:ascii="Times New Roman" w:hAnsi="Times New Roman" w:cs="Times New Roman"/>
        </w:rPr>
        <w:t xml:space="preserve"> </w:t>
      </w:r>
      <w:r w:rsidRPr="002A5401">
        <w:rPr>
          <w:rFonts w:ascii="Times New Roman" w:hAnsi="Times New Roman" w:cs="Times New Roman"/>
        </w:rPr>
        <w:t xml:space="preserve"> financial conditions tighten or loosen symmetrically with policy direction.</w:t>
      </w:r>
    </w:p>
    <w:p w14:paraId="4A0467E6" w14:textId="321387D3" w:rsidR="002A5401" w:rsidRPr="002A5401" w:rsidRDefault="002A5401" w:rsidP="002A5401">
      <w:pPr>
        <w:numPr>
          <w:ilvl w:val="0"/>
          <w:numId w:val="69"/>
        </w:numPr>
        <w:rPr>
          <w:rFonts w:ascii="Times New Roman" w:hAnsi="Times New Roman" w:cs="Times New Roman"/>
        </w:rPr>
      </w:pPr>
      <w:r w:rsidRPr="002A5401">
        <w:rPr>
          <w:rFonts w:ascii="Times New Roman" w:hAnsi="Times New Roman" w:cs="Times New Roman"/>
        </w:rPr>
        <w:t xml:space="preserve">Information </w:t>
      </w:r>
      <w:proofErr w:type="gramStart"/>
      <w:r w:rsidRPr="002A5401">
        <w:rPr>
          <w:rFonts w:ascii="Times New Roman" w:hAnsi="Times New Roman" w:cs="Times New Roman"/>
        </w:rPr>
        <w:t xml:space="preserve">effects </w:t>
      </w:r>
      <w:r w:rsidR="00896056">
        <w:rPr>
          <w:rFonts w:ascii="Times New Roman" w:hAnsi="Times New Roman" w:cs="Times New Roman"/>
        </w:rPr>
        <w:t xml:space="preserve"> -</w:t>
      </w:r>
      <w:proofErr w:type="gramEnd"/>
      <w:r w:rsidR="00896056">
        <w:rPr>
          <w:rFonts w:ascii="Times New Roman" w:hAnsi="Times New Roman" w:cs="Times New Roman"/>
        </w:rPr>
        <w:t xml:space="preserve"> </w:t>
      </w:r>
      <w:r w:rsidRPr="002A5401">
        <w:rPr>
          <w:rFonts w:ascii="Times New Roman" w:hAnsi="Times New Roman" w:cs="Times New Roman"/>
        </w:rPr>
        <w:t xml:space="preserve"> when hawkish announcements convey stronger growth expectations, risky assets may rise alongside yields.</w:t>
      </w:r>
    </w:p>
    <w:p w14:paraId="2612AE02" w14:textId="085F52BA" w:rsidR="002A5401" w:rsidRPr="002A5401" w:rsidRDefault="002A5401" w:rsidP="002A5401">
      <w:pPr>
        <w:numPr>
          <w:ilvl w:val="0"/>
          <w:numId w:val="69"/>
        </w:numPr>
        <w:rPr>
          <w:rFonts w:ascii="Times New Roman" w:hAnsi="Times New Roman" w:cs="Times New Roman"/>
        </w:rPr>
      </w:pPr>
      <w:r w:rsidRPr="002A5401">
        <w:rPr>
          <w:rFonts w:ascii="Times New Roman" w:hAnsi="Times New Roman" w:cs="Times New Roman"/>
        </w:rPr>
        <w:t xml:space="preserve">State </w:t>
      </w:r>
      <w:proofErr w:type="gramStart"/>
      <w:r w:rsidRPr="002A5401">
        <w:rPr>
          <w:rFonts w:ascii="Times New Roman" w:hAnsi="Times New Roman" w:cs="Times New Roman"/>
        </w:rPr>
        <w:t xml:space="preserve">dependence </w:t>
      </w:r>
      <w:r w:rsidR="00896056">
        <w:rPr>
          <w:rFonts w:ascii="Times New Roman" w:hAnsi="Times New Roman" w:cs="Times New Roman"/>
        </w:rPr>
        <w:t xml:space="preserve"> -</w:t>
      </w:r>
      <w:proofErr w:type="gramEnd"/>
      <w:r w:rsidR="00896056">
        <w:rPr>
          <w:rFonts w:ascii="Times New Roman" w:hAnsi="Times New Roman" w:cs="Times New Roman"/>
        </w:rPr>
        <w:t xml:space="preserve"> </w:t>
      </w:r>
      <w:r w:rsidRPr="002A5401">
        <w:rPr>
          <w:rFonts w:ascii="Times New Roman" w:hAnsi="Times New Roman" w:cs="Times New Roman"/>
        </w:rPr>
        <w:t xml:space="preserve"> responses intensify during crises, liquidity strains, and balance-sheet transitions.</w:t>
      </w:r>
    </w:p>
    <w:p w14:paraId="35AA593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28.3 Interpretation and Cross-Asset Dynamics</w:t>
      </w:r>
    </w:p>
    <w:p w14:paraId="632C9E2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FOMC announcements act as global discount-rate shocks, with amplitudes varying by asset duration, risk exposure, and liquidity. The cross-asset evidence demonstrates that monetary information alters both expected returns and perceived uncertainty, embedding FOMC communication within a broader pricing kernel for global assets.</w:t>
      </w:r>
    </w:p>
    <w:p w14:paraId="41BCAAA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Within this cross-asset universe, REITs emerge as particularly informative: they combine bond-like duration, equity-like cash-flow risk, and real-estate rental exposure, making them a natural laboratory for studying how FOMC shocks propagate through discount-rate, risk-premium, and cash-flow channels simultaneously.</w:t>
      </w:r>
    </w:p>
    <w:p w14:paraId="7DEB394E" w14:textId="2174724B" w:rsidR="002A5401" w:rsidRPr="002A5401" w:rsidRDefault="002A5401" w:rsidP="002A5401">
      <w:pPr>
        <w:rPr>
          <w:rFonts w:ascii="Times New Roman" w:hAnsi="Times New Roman" w:cs="Times New Roman"/>
        </w:rPr>
      </w:pPr>
    </w:p>
    <w:p w14:paraId="44025C79" w14:textId="1E363016"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 xml:space="preserve">29. Part </w:t>
      </w:r>
      <w:proofErr w:type="gramStart"/>
      <w:r w:rsidRPr="002A5401">
        <w:rPr>
          <w:rFonts w:ascii="Times New Roman" w:hAnsi="Times New Roman" w:cs="Times New Roman"/>
          <w:b/>
          <w:bCs/>
        </w:rPr>
        <w:t xml:space="preserve">II </w:t>
      </w:r>
      <w:r w:rsidR="00896056" w:rsidRPr="002E286B">
        <w:rPr>
          <w:rFonts w:ascii="Times New Roman" w:hAnsi="Times New Roman" w:cs="Times New Roman"/>
          <w:b/>
          <w:bCs/>
        </w:rPr>
        <w:t xml:space="preserve"> -</w:t>
      </w:r>
      <w:proofErr w:type="gramEnd"/>
      <w:r w:rsidR="00896056" w:rsidRPr="002E286B">
        <w:rPr>
          <w:rFonts w:ascii="Times New Roman" w:hAnsi="Times New Roman" w:cs="Times New Roman"/>
          <w:b/>
          <w:bCs/>
        </w:rPr>
        <w:t xml:space="preserve"> </w:t>
      </w:r>
      <w:r w:rsidRPr="002A5401">
        <w:rPr>
          <w:rFonts w:ascii="Times New Roman" w:hAnsi="Times New Roman" w:cs="Times New Roman"/>
          <w:b/>
          <w:bCs/>
        </w:rPr>
        <w:t xml:space="preserve"> Cross-Country and Global Spillovers</w:t>
      </w:r>
    </w:p>
    <w:p w14:paraId="29A2609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29.1 Speed and Breadth of Global Pass-Through</w:t>
      </w:r>
    </w:p>
    <w:p w14:paraId="5560DB3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Roughly one-third of reviewed papers analyze international transmission. Evidence shows that FOMC surprises alter foreign yields, exchange rates, and equities within minutes of announcement.</w:t>
      </w:r>
    </w:p>
    <w:p w14:paraId="7FC5F28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29.2 Heterogeneous Sensitivity Across Economies</w:t>
      </w:r>
    </w:p>
    <w:p w14:paraId="67F68F1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Advanced economies (AEs) exhibit close co-movement in yields and policy expectations due to deep financial integration. Emerging markets (EMEs), however, display amplified and more persistent responses, reflecting external-liquidity constraints, currency mismatches, and capital-flow volatility.</w:t>
      </w:r>
    </w:p>
    <w:p w14:paraId="78DD5CD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29.3 Role of Policy Regimes and Information Asymmetry</w:t>
      </w:r>
    </w:p>
    <w:p w14:paraId="5F3EC5D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Four conclusions dominate:</w:t>
      </w:r>
    </w:p>
    <w:p w14:paraId="0638DC7E" w14:textId="77777777" w:rsidR="002A5401" w:rsidRPr="002A5401" w:rsidRDefault="002A5401" w:rsidP="002A5401">
      <w:pPr>
        <w:numPr>
          <w:ilvl w:val="0"/>
          <w:numId w:val="70"/>
        </w:numPr>
        <w:rPr>
          <w:rFonts w:ascii="Times New Roman" w:hAnsi="Times New Roman" w:cs="Times New Roman"/>
        </w:rPr>
      </w:pPr>
      <w:r w:rsidRPr="002A5401">
        <w:rPr>
          <w:rFonts w:ascii="Times New Roman" w:hAnsi="Times New Roman" w:cs="Times New Roman"/>
        </w:rPr>
        <w:t>Global pass-through is near-instantaneous across financial centers.</w:t>
      </w:r>
    </w:p>
    <w:p w14:paraId="4E6F8C43" w14:textId="77777777" w:rsidR="002A5401" w:rsidRPr="002A5401" w:rsidRDefault="002A5401" w:rsidP="002A5401">
      <w:pPr>
        <w:numPr>
          <w:ilvl w:val="0"/>
          <w:numId w:val="70"/>
        </w:numPr>
        <w:rPr>
          <w:rFonts w:ascii="Times New Roman" w:hAnsi="Times New Roman" w:cs="Times New Roman"/>
        </w:rPr>
      </w:pPr>
      <w:r w:rsidRPr="002A5401">
        <w:rPr>
          <w:rFonts w:ascii="Times New Roman" w:hAnsi="Times New Roman" w:cs="Times New Roman"/>
        </w:rPr>
        <w:t>Heterogeneity scales with openness and dollar-liability exposure.</w:t>
      </w:r>
    </w:p>
    <w:p w14:paraId="2864D2EA" w14:textId="77777777" w:rsidR="002A5401" w:rsidRPr="002A5401" w:rsidRDefault="002A5401" w:rsidP="002A5401">
      <w:pPr>
        <w:numPr>
          <w:ilvl w:val="0"/>
          <w:numId w:val="70"/>
        </w:numPr>
        <w:rPr>
          <w:rFonts w:ascii="Times New Roman" w:hAnsi="Times New Roman" w:cs="Times New Roman"/>
        </w:rPr>
      </w:pPr>
      <w:r w:rsidRPr="002A5401">
        <w:rPr>
          <w:rFonts w:ascii="Times New Roman" w:hAnsi="Times New Roman" w:cs="Times New Roman"/>
        </w:rPr>
        <w:t>Policy regimes matter: flexible FX regimes adjust via currency depreciation, whereas pegged regimes transmit through rates and reserves.</w:t>
      </w:r>
    </w:p>
    <w:p w14:paraId="3EFC160D" w14:textId="5CAF7EA4" w:rsidR="002A5401" w:rsidRPr="002A5401" w:rsidRDefault="002A5401" w:rsidP="002A5401">
      <w:pPr>
        <w:numPr>
          <w:ilvl w:val="0"/>
          <w:numId w:val="70"/>
        </w:numPr>
        <w:rPr>
          <w:rFonts w:ascii="Times New Roman" w:hAnsi="Times New Roman" w:cs="Times New Roman"/>
        </w:rPr>
      </w:pPr>
      <w:r w:rsidRPr="002A5401">
        <w:rPr>
          <w:rFonts w:ascii="Times New Roman" w:hAnsi="Times New Roman" w:cs="Times New Roman"/>
        </w:rPr>
        <w:t xml:space="preserve">Information-positive </w:t>
      </w:r>
      <w:proofErr w:type="gramStart"/>
      <w:r w:rsidRPr="002A5401">
        <w:rPr>
          <w:rFonts w:ascii="Times New Roman" w:hAnsi="Times New Roman" w:cs="Times New Roman"/>
        </w:rPr>
        <w:t xml:space="preserve">asymmetry </w:t>
      </w:r>
      <w:r w:rsidR="00896056">
        <w:rPr>
          <w:rFonts w:ascii="Times New Roman" w:hAnsi="Times New Roman" w:cs="Times New Roman"/>
        </w:rPr>
        <w:t xml:space="preserve"> -</w:t>
      </w:r>
      <w:proofErr w:type="gramEnd"/>
      <w:r w:rsidR="00896056">
        <w:rPr>
          <w:rFonts w:ascii="Times New Roman" w:hAnsi="Times New Roman" w:cs="Times New Roman"/>
        </w:rPr>
        <w:t xml:space="preserve"> </w:t>
      </w:r>
      <w:r w:rsidRPr="002A5401">
        <w:rPr>
          <w:rFonts w:ascii="Times New Roman" w:hAnsi="Times New Roman" w:cs="Times New Roman"/>
        </w:rPr>
        <w:t xml:space="preserve"> when FOMC tone signals stronger U.S. growth, global cyclicals and commodity exporters benefit despite higher yields.</w:t>
      </w:r>
    </w:p>
    <w:p w14:paraId="67E6CFA8"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Collectively, these findings establish the Fed’s actions as a principal driver of the global financial cycle, while leaving unresolved the attribution between pure policy effects and shared information effects. They also suggest that global REIT markets, particularly in open, dollar-exposed economies, may exhibit distinct and policy-relevant patterns of sensitivity to FOMC shocks.</w:t>
      </w:r>
    </w:p>
    <w:p w14:paraId="1CB93F31" w14:textId="0B5179F8" w:rsidR="002A5401" w:rsidRPr="002A5401" w:rsidRDefault="002A5401" w:rsidP="002A5401">
      <w:pPr>
        <w:rPr>
          <w:rFonts w:ascii="Times New Roman" w:hAnsi="Times New Roman" w:cs="Times New Roman"/>
        </w:rPr>
      </w:pPr>
    </w:p>
    <w:p w14:paraId="09BA0881" w14:textId="5E099DA9"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 xml:space="preserve">30. Part </w:t>
      </w:r>
      <w:proofErr w:type="gramStart"/>
      <w:r w:rsidRPr="002A5401">
        <w:rPr>
          <w:rFonts w:ascii="Times New Roman" w:hAnsi="Times New Roman" w:cs="Times New Roman"/>
          <w:b/>
          <w:bCs/>
        </w:rPr>
        <w:t xml:space="preserve">III </w:t>
      </w:r>
      <w:r w:rsidR="00896056" w:rsidRPr="002E286B">
        <w:rPr>
          <w:rFonts w:ascii="Times New Roman" w:hAnsi="Times New Roman" w:cs="Times New Roman"/>
          <w:b/>
          <w:bCs/>
        </w:rPr>
        <w:t xml:space="preserve"> -</w:t>
      </w:r>
      <w:proofErr w:type="gramEnd"/>
      <w:r w:rsidR="00896056" w:rsidRPr="002E286B">
        <w:rPr>
          <w:rFonts w:ascii="Times New Roman" w:hAnsi="Times New Roman" w:cs="Times New Roman"/>
          <w:b/>
          <w:bCs/>
        </w:rPr>
        <w:t xml:space="preserve"> </w:t>
      </w:r>
      <w:r w:rsidRPr="002A5401">
        <w:rPr>
          <w:rFonts w:ascii="Times New Roman" w:hAnsi="Times New Roman" w:cs="Times New Roman"/>
          <w:b/>
          <w:bCs/>
        </w:rPr>
        <w:t xml:space="preserve"> Transmission Channels</w:t>
      </w:r>
    </w:p>
    <w:p w14:paraId="40E4FE3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30.1 The Seven Core Mechanisms</w:t>
      </w:r>
    </w:p>
    <w:p w14:paraId="2BF8D35B"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The review identifies seven complementary channels through which FOMC shocks propagate: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3395"/>
        <w:gridCol w:w="3152"/>
      </w:tblGrid>
      <w:tr w:rsidR="002A5401" w:rsidRPr="002A5401" w14:paraId="55D6B33D" w14:textId="77777777">
        <w:trPr>
          <w:tblHeader/>
          <w:tblCellSpacing w:w="15" w:type="dxa"/>
        </w:trPr>
        <w:tc>
          <w:tcPr>
            <w:tcW w:w="0" w:type="auto"/>
            <w:vAlign w:val="center"/>
            <w:hideMark/>
          </w:tcPr>
          <w:p w14:paraId="03D101F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Channel</w:t>
            </w:r>
          </w:p>
        </w:tc>
        <w:tc>
          <w:tcPr>
            <w:tcW w:w="0" w:type="auto"/>
            <w:vAlign w:val="center"/>
            <w:hideMark/>
          </w:tcPr>
          <w:p w14:paraId="0444DAD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Core Function</w:t>
            </w:r>
          </w:p>
        </w:tc>
        <w:tc>
          <w:tcPr>
            <w:tcW w:w="0" w:type="auto"/>
            <w:vAlign w:val="center"/>
            <w:hideMark/>
          </w:tcPr>
          <w:p w14:paraId="608B29F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Global Relevance</w:t>
            </w:r>
          </w:p>
        </w:tc>
      </w:tr>
      <w:tr w:rsidR="002A5401" w:rsidRPr="002A5401" w14:paraId="2A6F1B1C" w14:textId="77777777">
        <w:trPr>
          <w:tblCellSpacing w:w="15" w:type="dxa"/>
        </w:trPr>
        <w:tc>
          <w:tcPr>
            <w:tcW w:w="0" w:type="auto"/>
            <w:vAlign w:val="center"/>
            <w:hideMark/>
          </w:tcPr>
          <w:p w14:paraId="28A70D5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Monetary / Interest-Rate</w:t>
            </w:r>
          </w:p>
        </w:tc>
        <w:tc>
          <w:tcPr>
            <w:tcW w:w="0" w:type="auto"/>
            <w:vAlign w:val="center"/>
            <w:hideMark/>
          </w:tcPr>
          <w:p w14:paraId="2BB6B45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Repricing of expected short-term rates</w:t>
            </w:r>
          </w:p>
        </w:tc>
        <w:tc>
          <w:tcPr>
            <w:tcW w:w="0" w:type="auto"/>
            <w:vAlign w:val="center"/>
            <w:hideMark/>
          </w:tcPr>
          <w:p w14:paraId="1B3063B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Universal; anchors all others</w:t>
            </w:r>
          </w:p>
        </w:tc>
      </w:tr>
      <w:tr w:rsidR="002A5401" w:rsidRPr="002A5401" w14:paraId="45FA90DF" w14:textId="77777777">
        <w:trPr>
          <w:tblCellSpacing w:w="15" w:type="dxa"/>
        </w:trPr>
        <w:tc>
          <w:tcPr>
            <w:tcW w:w="0" w:type="auto"/>
            <w:vAlign w:val="center"/>
            <w:hideMark/>
          </w:tcPr>
          <w:p w14:paraId="036FC5A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Term-Premium / Portfolio-Rebalancing</w:t>
            </w:r>
          </w:p>
        </w:tc>
        <w:tc>
          <w:tcPr>
            <w:tcW w:w="0" w:type="auto"/>
            <w:vAlign w:val="center"/>
            <w:hideMark/>
          </w:tcPr>
          <w:p w14:paraId="71FE989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Asset-supply and duration effects of QE/QT</w:t>
            </w:r>
          </w:p>
        </w:tc>
        <w:tc>
          <w:tcPr>
            <w:tcW w:w="0" w:type="auto"/>
            <w:vAlign w:val="center"/>
            <w:hideMark/>
          </w:tcPr>
          <w:p w14:paraId="4F31D664"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Strong in bond and REIT markets</w:t>
            </w:r>
          </w:p>
        </w:tc>
      </w:tr>
      <w:tr w:rsidR="002A5401" w:rsidRPr="002A5401" w14:paraId="12BF8E92" w14:textId="77777777">
        <w:trPr>
          <w:tblCellSpacing w:w="15" w:type="dxa"/>
        </w:trPr>
        <w:tc>
          <w:tcPr>
            <w:tcW w:w="0" w:type="auto"/>
            <w:vAlign w:val="center"/>
            <w:hideMark/>
          </w:tcPr>
          <w:p w14:paraId="38948CF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Credit / Bank-Lending</w:t>
            </w:r>
          </w:p>
        </w:tc>
        <w:tc>
          <w:tcPr>
            <w:tcW w:w="0" w:type="auto"/>
            <w:vAlign w:val="center"/>
            <w:hideMark/>
          </w:tcPr>
          <w:p w14:paraId="35F16E7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Funding-cost and leverage constraints</w:t>
            </w:r>
          </w:p>
        </w:tc>
        <w:tc>
          <w:tcPr>
            <w:tcW w:w="0" w:type="auto"/>
            <w:vAlign w:val="center"/>
            <w:hideMark/>
          </w:tcPr>
          <w:p w14:paraId="0A26EF8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Amplified in EMEs and shadow-bank systems</w:t>
            </w:r>
          </w:p>
        </w:tc>
      </w:tr>
      <w:tr w:rsidR="002A5401" w:rsidRPr="002A5401" w14:paraId="65A1BC5C" w14:textId="77777777">
        <w:trPr>
          <w:tblCellSpacing w:w="15" w:type="dxa"/>
        </w:trPr>
        <w:tc>
          <w:tcPr>
            <w:tcW w:w="0" w:type="auto"/>
            <w:vAlign w:val="center"/>
            <w:hideMark/>
          </w:tcPr>
          <w:p w14:paraId="59CD34E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External-Dollar / Global-Liquidity</w:t>
            </w:r>
          </w:p>
        </w:tc>
        <w:tc>
          <w:tcPr>
            <w:tcW w:w="0" w:type="auto"/>
            <w:vAlign w:val="center"/>
            <w:hideMark/>
          </w:tcPr>
          <w:p w14:paraId="307469A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Dollar funding and balance-sheet effects</w:t>
            </w:r>
          </w:p>
        </w:tc>
        <w:tc>
          <w:tcPr>
            <w:tcW w:w="0" w:type="auto"/>
            <w:vAlign w:val="center"/>
            <w:hideMark/>
          </w:tcPr>
          <w:p w14:paraId="7D05E15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Dominant cross-border amplifier</w:t>
            </w:r>
          </w:p>
        </w:tc>
      </w:tr>
      <w:tr w:rsidR="002A5401" w:rsidRPr="002A5401" w14:paraId="32B29AC0" w14:textId="77777777">
        <w:trPr>
          <w:tblCellSpacing w:w="15" w:type="dxa"/>
        </w:trPr>
        <w:tc>
          <w:tcPr>
            <w:tcW w:w="0" w:type="auto"/>
            <w:vAlign w:val="center"/>
            <w:hideMark/>
          </w:tcPr>
          <w:p w14:paraId="08C410D5"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Information / Signaling</w:t>
            </w:r>
          </w:p>
        </w:tc>
        <w:tc>
          <w:tcPr>
            <w:tcW w:w="0" w:type="auto"/>
            <w:vAlign w:val="center"/>
            <w:hideMark/>
          </w:tcPr>
          <w:p w14:paraId="64C6751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Revelation of macro expectations via FOMC tone</w:t>
            </w:r>
          </w:p>
        </w:tc>
        <w:tc>
          <w:tcPr>
            <w:tcW w:w="0" w:type="auto"/>
            <w:vAlign w:val="center"/>
            <w:hideMark/>
          </w:tcPr>
          <w:p w14:paraId="2C862E7F"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Alters global risk appetite</w:t>
            </w:r>
          </w:p>
        </w:tc>
      </w:tr>
      <w:tr w:rsidR="002A5401" w:rsidRPr="002A5401" w14:paraId="40C71874" w14:textId="77777777">
        <w:trPr>
          <w:tblCellSpacing w:w="15" w:type="dxa"/>
        </w:trPr>
        <w:tc>
          <w:tcPr>
            <w:tcW w:w="0" w:type="auto"/>
            <w:vAlign w:val="center"/>
            <w:hideMark/>
          </w:tcPr>
          <w:p w14:paraId="08E77EB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Risk-Taking / Financial-Conditions</w:t>
            </w:r>
          </w:p>
        </w:tc>
        <w:tc>
          <w:tcPr>
            <w:tcW w:w="0" w:type="auto"/>
            <w:vAlign w:val="center"/>
            <w:hideMark/>
          </w:tcPr>
          <w:p w14:paraId="33F4C01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Changes in leverage and volatility</w:t>
            </w:r>
          </w:p>
        </w:tc>
        <w:tc>
          <w:tcPr>
            <w:tcW w:w="0" w:type="auto"/>
            <w:vAlign w:val="center"/>
            <w:hideMark/>
          </w:tcPr>
          <w:p w14:paraId="4F7B1AF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Integrates asset and credit cycles</w:t>
            </w:r>
          </w:p>
        </w:tc>
      </w:tr>
      <w:tr w:rsidR="002A5401" w:rsidRPr="002A5401" w14:paraId="21EE7F2C" w14:textId="77777777">
        <w:trPr>
          <w:tblCellSpacing w:w="15" w:type="dxa"/>
        </w:trPr>
        <w:tc>
          <w:tcPr>
            <w:tcW w:w="0" w:type="auto"/>
            <w:vAlign w:val="center"/>
            <w:hideMark/>
          </w:tcPr>
          <w:p w14:paraId="3101EAFD"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Exchange-Rate / Funding</w:t>
            </w:r>
          </w:p>
        </w:tc>
        <w:tc>
          <w:tcPr>
            <w:tcW w:w="0" w:type="auto"/>
            <w:vAlign w:val="center"/>
            <w:hideMark/>
          </w:tcPr>
          <w:p w14:paraId="31A0C56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FX and carry-trade adjustments</w:t>
            </w:r>
          </w:p>
        </w:tc>
        <w:tc>
          <w:tcPr>
            <w:tcW w:w="0" w:type="auto"/>
            <w:vAlign w:val="center"/>
            <w:hideMark/>
          </w:tcPr>
          <w:p w14:paraId="7FC0C911"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Reinforces dollar-liquidity channel</w:t>
            </w:r>
          </w:p>
        </w:tc>
      </w:tr>
    </w:tbl>
    <w:p w14:paraId="55918756"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30.2 Interaction Among Channels</w:t>
      </w:r>
    </w:p>
    <w:p w14:paraId="4B01CB9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Empirically, these mechanisms are interdependent. Interest-rate and portfolio channels determine baseline valuation, credit and dollar channels govern financing conditions, and information and risk-taking channels shape sentiment and amplification. Together they form the multidimensional structure through which U.S. policy shocks become global financial events.</w:t>
      </w:r>
    </w:p>
    <w:p w14:paraId="1EECB93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 xml:space="preserve">REITs are naturally exposed to </w:t>
      </w:r>
      <w:proofErr w:type="gramStart"/>
      <w:r w:rsidRPr="002A5401">
        <w:rPr>
          <w:rFonts w:ascii="Times New Roman" w:hAnsi="Times New Roman" w:cs="Times New Roman"/>
        </w:rPr>
        <w:t>all of</w:t>
      </w:r>
      <w:proofErr w:type="gramEnd"/>
      <w:r w:rsidRPr="002A5401">
        <w:rPr>
          <w:rFonts w:ascii="Times New Roman" w:hAnsi="Times New Roman" w:cs="Times New Roman"/>
        </w:rPr>
        <w:t xml:space="preserve"> these channels at once, making them an ideal setting for testing how different FOMC shock components and transmission mechanisms interact in a single asset class.</w:t>
      </w:r>
    </w:p>
    <w:p w14:paraId="7A8A9738" w14:textId="4FC0E6F3" w:rsidR="002A5401" w:rsidRPr="002A5401" w:rsidRDefault="002A5401" w:rsidP="002A5401">
      <w:pPr>
        <w:rPr>
          <w:rFonts w:ascii="Times New Roman" w:hAnsi="Times New Roman" w:cs="Times New Roman"/>
        </w:rPr>
      </w:pPr>
    </w:p>
    <w:p w14:paraId="31D8458B"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31. Similarities, Differences, and Conflicts Across All Parts</w:t>
      </w:r>
    </w:p>
    <w:p w14:paraId="50F0A54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Similarities</w:t>
      </w:r>
    </w:p>
    <w:p w14:paraId="3B00C4EC" w14:textId="77777777" w:rsidR="002A5401" w:rsidRPr="002A5401" w:rsidRDefault="002A5401" w:rsidP="002A5401">
      <w:pPr>
        <w:numPr>
          <w:ilvl w:val="0"/>
          <w:numId w:val="71"/>
        </w:numPr>
        <w:rPr>
          <w:rFonts w:ascii="Times New Roman" w:hAnsi="Times New Roman" w:cs="Times New Roman"/>
        </w:rPr>
      </w:pPr>
      <w:r w:rsidRPr="002A5401">
        <w:rPr>
          <w:rFonts w:ascii="Times New Roman" w:hAnsi="Times New Roman" w:cs="Times New Roman"/>
        </w:rPr>
        <w:t>FOMC announcements generate directionally consistent effects across assets and borders.</w:t>
      </w:r>
    </w:p>
    <w:p w14:paraId="278F5373" w14:textId="77777777" w:rsidR="002A5401" w:rsidRPr="002A5401" w:rsidRDefault="002A5401" w:rsidP="002A5401">
      <w:pPr>
        <w:numPr>
          <w:ilvl w:val="0"/>
          <w:numId w:val="71"/>
        </w:numPr>
        <w:rPr>
          <w:rFonts w:ascii="Times New Roman" w:hAnsi="Times New Roman" w:cs="Times New Roman"/>
        </w:rPr>
      </w:pPr>
      <w:r w:rsidRPr="002A5401">
        <w:rPr>
          <w:rFonts w:ascii="Times New Roman" w:hAnsi="Times New Roman" w:cs="Times New Roman"/>
        </w:rPr>
        <w:t>Transmission operates mainly through discount-rate and risk-premium adjustments.</w:t>
      </w:r>
    </w:p>
    <w:p w14:paraId="408121B8" w14:textId="77777777" w:rsidR="002A5401" w:rsidRPr="002A5401" w:rsidRDefault="002A5401" w:rsidP="002A5401">
      <w:pPr>
        <w:numPr>
          <w:ilvl w:val="0"/>
          <w:numId w:val="71"/>
        </w:numPr>
        <w:rPr>
          <w:rFonts w:ascii="Times New Roman" w:hAnsi="Times New Roman" w:cs="Times New Roman"/>
        </w:rPr>
      </w:pPr>
      <w:r w:rsidRPr="002A5401">
        <w:rPr>
          <w:rFonts w:ascii="Times New Roman" w:hAnsi="Times New Roman" w:cs="Times New Roman"/>
        </w:rPr>
        <w:t xml:space="preserve">Guidance and </w:t>
      </w:r>
      <w:proofErr w:type="gramStart"/>
      <w:r w:rsidRPr="002A5401">
        <w:rPr>
          <w:rFonts w:ascii="Times New Roman" w:hAnsi="Times New Roman" w:cs="Times New Roman"/>
        </w:rPr>
        <w:t>balance-sheet</w:t>
      </w:r>
      <w:proofErr w:type="gramEnd"/>
      <w:r w:rsidRPr="002A5401">
        <w:rPr>
          <w:rFonts w:ascii="Times New Roman" w:hAnsi="Times New Roman" w:cs="Times New Roman"/>
        </w:rPr>
        <w:t xml:space="preserve"> communication often outweigh simple target-rate changes.</w:t>
      </w:r>
    </w:p>
    <w:p w14:paraId="34F75980"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Differences</w:t>
      </w:r>
    </w:p>
    <w:p w14:paraId="10314C2F" w14:textId="77777777" w:rsidR="002A5401" w:rsidRPr="002A5401" w:rsidRDefault="002A5401" w:rsidP="002A5401">
      <w:pPr>
        <w:numPr>
          <w:ilvl w:val="0"/>
          <w:numId w:val="72"/>
        </w:numPr>
        <w:rPr>
          <w:rFonts w:ascii="Times New Roman" w:hAnsi="Times New Roman" w:cs="Times New Roman"/>
        </w:rPr>
      </w:pPr>
      <w:r w:rsidRPr="002A5401">
        <w:rPr>
          <w:rFonts w:ascii="Times New Roman" w:hAnsi="Times New Roman" w:cs="Times New Roman"/>
        </w:rPr>
        <w:lastRenderedPageBreak/>
        <w:t>Magnitude and persistence depend on asset duration, national financial structure, and exchange-rate regime.</w:t>
      </w:r>
    </w:p>
    <w:p w14:paraId="4E4461E4" w14:textId="77777777" w:rsidR="002A5401" w:rsidRPr="002A5401" w:rsidRDefault="002A5401" w:rsidP="002A5401">
      <w:pPr>
        <w:numPr>
          <w:ilvl w:val="0"/>
          <w:numId w:val="72"/>
        </w:numPr>
        <w:rPr>
          <w:rFonts w:ascii="Times New Roman" w:hAnsi="Times New Roman" w:cs="Times New Roman"/>
        </w:rPr>
      </w:pPr>
      <w:r w:rsidRPr="002A5401">
        <w:rPr>
          <w:rFonts w:ascii="Times New Roman" w:hAnsi="Times New Roman" w:cs="Times New Roman"/>
        </w:rPr>
        <w:t>AEs adjust mainly via prices; EMEs through both prices and quantities (flows, reserves).</w:t>
      </w:r>
    </w:p>
    <w:p w14:paraId="306C5839" w14:textId="77777777" w:rsidR="002A5401" w:rsidRPr="002A5401" w:rsidRDefault="002A5401" w:rsidP="002A5401">
      <w:pPr>
        <w:numPr>
          <w:ilvl w:val="0"/>
          <w:numId w:val="72"/>
        </w:numPr>
        <w:rPr>
          <w:rFonts w:ascii="Times New Roman" w:hAnsi="Times New Roman" w:cs="Times New Roman"/>
        </w:rPr>
      </w:pPr>
      <w:r w:rsidRPr="002A5401">
        <w:rPr>
          <w:rFonts w:ascii="Times New Roman" w:hAnsi="Times New Roman" w:cs="Times New Roman"/>
        </w:rPr>
        <w:t>“Information-positive” shocks can invert standard tightening effects.</w:t>
      </w:r>
    </w:p>
    <w:p w14:paraId="478147DE"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Conflicts</w:t>
      </w:r>
    </w:p>
    <w:p w14:paraId="45AEDC3A" w14:textId="77777777" w:rsidR="002A5401" w:rsidRPr="002A5401" w:rsidRDefault="002A5401" w:rsidP="002A5401">
      <w:pPr>
        <w:numPr>
          <w:ilvl w:val="0"/>
          <w:numId w:val="73"/>
        </w:numPr>
        <w:rPr>
          <w:rFonts w:ascii="Times New Roman" w:hAnsi="Times New Roman" w:cs="Times New Roman"/>
        </w:rPr>
      </w:pPr>
      <w:r w:rsidRPr="002A5401">
        <w:rPr>
          <w:rFonts w:ascii="Times New Roman" w:hAnsi="Times New Roman" w:cs="Times New Roman"/>
        </w:rPr>
        <w:t>Attribution between policy and information components remains debated.</w:t>
      </w:r>
    </w:p>
    <w:p w14:paraId="604368F9" w14:textId="174F1DC5" w:rsidR="002A5401" w:rsidRPr="002A5401" w:rsidRDefault="002A5401" w:rsidP="002A5401">
      <w:pPr>
        <w:numPr>
          <w:ilvl w:val="0"/>
          <w:numId w:val="73"/>
        </w:numPr>
        <w:rPr>
          <w:rFonts w:ascii="Times New Roman" w:hAnsi="Times New Roman" w:cs="Times New Roman"/>
        </w:rPr>
      </w:pPr>
      <w:r w:rsidRPr="002A5401">
        <w:rPr>
          <w:rFonts w:ascii="Times New Roman" w:hAnsi="Times New Roman" w:cs="Times New Roman"/>
        </w:rPr>
        <w:t>The QE/QT mechanism</w:t>
      </w:r>
      <w:r w:rsidR="00896056">
        <w:rPr>
          <w:rFonts w:ascii="Times New Roman" w:hAnsi="Times New Roman" w:cs="Times New Roman"/>
        </w:rPr>
        <w:t xml:space="preserve"> - </w:t>
      </w:r>
      <w:r w:rsidRPr="002A5401">
        <w:rPr>
          <w:rFonts w:ascii="Times New Roman" w:hAnsi="Times New Roman" w:cs="Times New Roman"/>
        </w:rPr>
        <w:t>signaling versus portfolio rebalancing</w:t>
      </w:r>
      <w:r w:rsidR="00896056">
        <w:rPr>
          <w:rFonts w:ascii="Times New Roman" w:hAnsi="Times New Roman" w:cs="Times New Roman"/>
        </w:rPr>
        <w:t xml:space="preserve"> - </w:t>
      </w:r>
      <w:r w:rsidRPr="002A5401">
        <w:rPr>
          <w:rFonts w:ascii="Times New Roman" w:hAnsi="Times New Roman" w:cs="Times New Roman"/>
        </w:rPr>
        <w:t>is still unresolved.</w:t>
      </w:r>
    </w:p>
    <w:p w14:paraId="151EF260" w14:textId="77777777" w:rsidR="002A5401" w:rsidRPr="002A5401" w:rsidRDefault="002A5401" w:rsidP="002A5401">
      <w:pPr>
        <w:numPr>
          <w:ilvl w:val="0"/>
          <w:numId w:val="73"/>
        </w:numPr>
        <w:rPr>
          <w:rFonts w:ascii="Times New Roman" w:hAnsi="Times New Roman" w:cs="Times New Roman"/>
        </w:rPr>
      </w:pPr>
      <w:r w:rsidRPr="002A5401">
        <w:rPr>
          <w:rFonts w:ascii="Times New Roman" w:hAnsi="Times New Roman" w:cs="Times New Roman"/>
        </w:rPr>
        <w:t>The efficacy of macroprudential and FX-intervention buffers varies by regime and state.</w:t>
      </w:r>
    </w:p>
    <w:p w14:paraId="5F44FF26" w14:textId="3668D989" w:rsidR="002A5401" w:rsidRPr="002A5401" w:rsidRDefault="002A5401" w:rsidP="002A5401">
      <w:pPr>
        <w:rPr>
          <w:rFonts w:ascii="Times New Roman" w:hAnsi="Times New Roman" w:cs="Times New Roman"/>
          <w:b/>
          <w:bCs/>
        </w:rPr>
      </w:pPr>
    </w:p>
    <w:p w14:paraId="74FD506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32. Research Gaps and Future Directions</w:t>
      </w:r>
    </w:p>
    <w:p w14:paraId="3503A74A"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Synthesizing the literature highlights seven promising research frontiers:</w:t>
      </w:r>
    </w:p>
    <w:p w14:paraId="68358A30"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Develop a unified tri-shock identification (target, path, information) for all FOMC meetings globally.</w:t>
      </w:r>
    </w:p>
    <w:p w14:paraId="69033824"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Construct an integrated cross-asset model linking yields, credit spreads, FX, and equities.</w:t>
      </w:r>
    </w:p>
    <w:p w14:paraId="3B8D9BB7"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Measure micro-level heterogeneity using bank- and firm-level data on USD liabilities.</w:t>
      </w:r>
    </w:p>
    <w:p w14:paraId="429B7EC4"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Decompose balance-sheet policies into signaling versus term-premium effects internationally.</w:t>
      </w:r>
    </w:p>
    <w:p w14:paraId="625B0363"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Evaluate regime-contingent buffer effectiveness under differing capital-flow frameworks.</w:t>
      </w:r>
    </w:p>
    <w:p w14:paraId="589DD32A"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Bridge event-study and macro analyses by embedding high-frequency shocks into quarterly GVARs.</w:t>
      </w:r>
    </w:p>
    <w:p w14:paraId="39BAE92B" w14:textId="77777777" w:rsidR="002A5401" w:rsidRPr="002A5401" w:rsidRDefault="002A5401" w:rsidP="002A5401">
      <w:pPr>
        <w:numPr>
          <w:ilvl w:val="0"/>
          <w:numId w:val="74"/>
        </w:numPr>
        <w:rPr>
          <w:rFonts w:ascii="Times New Roman" w:hAnsi="Times New Roman" w:cs="Times New Roman"/>
        </w:rPr>
      </w:pPr>
      <w:r w:rsidRPr="002A5401">
        <w:rPr>
          <w:rFonts w:ascii="Times New Roman" w:hAnsi="Times New Roman" w:cs="Times New Roman"/>
        </w:rPr>
        <w:t xml:space="preserve">Extend research </w:t>
      </w:r>
      <w:proofErr w:type="gramStart"/>
      <w:r w:rsidRPr="002A5401">
        <w:rPr>
          <w:rFonts w:ascii="Times New Roman" w:hAnsi="Times New Roman" w:cs="Times New Roman"/>
        </w:rPr>
        <w:t>to</w:t>
      </w:r>
      <w:proofErr w:type="gramEnd"/>
      <w:r w:rsidRPr="002A5401">
        <w:rPr>
          <w:rFonts w:ascii="Times New Roman" w:hAnsi="Times New Roman" w:cs="Times New Roman"/>
        </w:rPr>
        <w:t xml:space="preserve"> real-estate securities and REITs as a distinct, policy-relevant asset class, where duration, leverage, and rental-demand channels intersect.</w:t>
      </w:r>
    </w:p>
    <w:p w14:paraId="528FFA93" w14:textId="6F6E2DC4" w:rsidR="002A5401" w:rsidRPr="002A5401" w:rsidRDefault="002A5401" w:rsidP="002A5401">
      <w:pPr>
        <w:rPr>
          <w:rFonts w:ascii="Times New Roman" w:hAnsi="Times New Roman" w:cs="Times New Roman"/>
        </w:rPr>
      </w:pPr>
    </w:p>
    <w:p w14:paraId="788CBF14"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33. Policy and Scholarly Implications</w:t>
      </w:r>
    </w:p>
    <w:p w14:paraId="4A8B4EC3"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For policymakers, these findings underscore that U.S. monetary policy acts as a de facto global public good: its communication and balance-sheet decisions shape worldwide financial conditions regardless of domestic mandates. Coordination among major central banks, transparent communication strategies, and maintenance of adequate global-dollar liquidity are essential for international stability.</w:t>
      </w:r>
    </w:p>
    <w:p w14:paraId="5D596947"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lastRenderedPageBreak/>
        <w:t>For scholars, the review reveals the need for multi-asset, multi-country identification frameworks capable of capturing both the instantaneous market repricing and the slower macroeconomic adjustments to monetary shocks. The convergence of high-frequency event analysis, global-VAR modeling, and text-based inference defines the next frontier of international-monetary research. Within this frontier, listed real estate and REITs offer a rich, yet underexplored, opportunity to study how monetary policy and real-economy housing and rental markets interact.</w:t>
      </w:r>
    </w:p>
    <w:p w14:paraId="4A28ABD9" w14:textId="70DE9F9A" w:rsidR="002A5401" w:rsidRPr="002A5401" w:rsidRDefault="002A5401" w:rsidP="002A5401">
      <w:pPr>
        <w:rPr>
          <w:rFonts w:ascii="Times New Roman" w:hAnsi="Times New Roman" w:cs="Times New Roman"/>
        </w:rPr>
      </w:pPr>
    </w:p>
    <w:p w14:paraId="1555829F" w14:textId="77777777" w:rsidR="002A5401" w:rsidRPr="002A5401" w:rsidRDefault="002A5401" w:rsidP="002A5401">
      <w:pPr>
        <w:rPr>
          <w:rFonts w:ascii="Times New Roman" w:hAnsi="Times New Roman" w:cs="Times New Roman"/>
          <w:b/>
          <w:bCs/>
        </w:rPr>
      </w:pPr>
      <w:r w:rsidRPr="002A5401">
        <w:rPr>
          <w:rFonts w:ascii="Times New Roman" w:hAnsi="Times New Roman" w:cs="Times New Roman"/>
          <w:b/>
          <w:bCs/>
        </w:rPr>
        <w:t>34. Concluding Statement and Transition to Empirical Proposal: FOMC Announcements and REITs</w:t>
      </w:r>
    </w:p>
    <w:p w14:paraId="0C80B8A0" w14:textId="387E3AC6" w:rsidR="002A5401" w:rsidRPr="002A5401" w:rsidRDefault="002A5401" w:rsidP="002A5401">
      <w:pPr>
        <w:rPr>
          <w:rFonts w:ascii="Times New Roman" w:hAnsi="Times New Roman" w:cs="Times New Roman"/>
        </w:rPr>
      </w:pPr>
      <w:r w:rsidRPr="002A5401">
        <w:rPr>
          <w:rFonts w:ascii="Times New Roman" w:hAnsi="Times New Roman" w:cs="Times New Roman"/>
        </w:rPr>
        <w:t>The comprehensive synthesis across Parts I</w:t>
      </w:r>
      <w:r w:rsidR="00896056">
        <w:rPr>
          <w:rFonts w:ascii="Times New Roman" w:hAnsi="Times New Roman" w:cs="Times New Roman"/>
        </w:rPr>
        <w:t xml:space="preserve"> - </w:t>
      </w:r>
      <w:r w:rsidRPr="002A5401">
        <w:rPr>
          <w:rFonts w:ascii="Times New Roman" w:hAnsi="Times New Roman" w:cs="Times New Roman"/>
        </w:rPr>
        <w:t>III demonstrates that FOMC announcements serve as the epicenter of global financial transmission. Their influence extends across asset classes, borders, and institutional structures, mediated by an intricate web of interest-rate, portfolio-rebalancing, credit, dollar-liquidity, and information channels. Understanding this architecture is crucial not only for interpreting financial-market dynamics but also for designing resilient international policy frameworks in an era of highly integrated capital markets.</w:t>
      </w:r>
    </w:p>
    <w:p w14:paraId="413781B4" w14:textId="60990CE0" w:rsidR="002A5401" w:rsidRPr="002A5401" w:rsidRDefault="002A5401" w:rsidP="002A5401">
      <w:pPr>
        <w:rPr>
          <w:rFonts w:ascii="Times New Roman" w:hAnsi="Times New Roman" w:cs="Times New Roman"/>
        </w:rPr>
      </w:pPr>
      <w:r w:rsidRPr="002A5401">
        <w:rPr>
          <w:rFonts w:ascii="Times New Roman" w:hAnsi="Times New Roman" w:cs="Times New Roman"/>
        </w:rPr>
        <w:t>Taken together, the evidence confirms that U.S. monetary policy is global monetary policy. Its spillovers</w:t>
      </w:r>
      <w:r w:rsidR="00896056">
        <w:rPr>
          <w:rFonts w:ascii="Times New Roman" w:hAnsi="Times New Roman" w:cs="Times New Roman"/>
        </w:rPr>
        <w:t xml:space="preserve"> - </w:t>
      </w:r>
      <w:r w:rsidRPr="002A5401">
        <w:rPr>
          <w:rFonts w:ascii="Times New Roman" w:hAnsi="Times New Roman" w:cs="Times New Roman"/>
        </w:rPr>
        <w:t>transmitted through markets, banks, and expectations</w:t>
      </w:r>
      <w:r w:rsidR="00896056">
        <w:rPr>
          <w:rFonts w:ascii="Times New Roman" w:hAnsi="Times New Roman" w:cs="Times New Roman"/>
        </w:rPr>
        <w:t xml:space="preserve"> - </w:t>
      </w:r>
      <w:r w:rsidRPr="002A5401">
        <w:rPr>
          <w:rFonts w:ascii="Times New Roman" w:hAnsi="Times New Roman" w:cs="Times New Roman"/>
        </w:rPr>
        <w:t>constitute the connective tissue of the world financial system. Yet, despite extensive research on bonds, broad equity indices, corporate credit, foreign exchange, commodities, and emerging-market assets, one domain remains strikingly underexplored: Real Estate Investment Trusts (REITs).</w:t>
      </w:r>
    </w:p>
    <w:p w14:paraId="0977BD59"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REITs occupy a unique position at the intersection of several key mechanisms documented in this literature review:</w:t>
      </w:r>
    </w:p>
    <w:p w14:paraId="51A7A279" w14:textId="77777777" w:rsidR="002A5401" w:rsidRPr="002A5401" w:rsidRDefault="002A5401" w:rsidP="002A5401">
      <w:pPr>
        <w:numPr>
          <w:ilvl w:val="0"/>
          <w:numId w:val="75"/>
        </w:numPr>
        <w:rPr>
          <w:rFonts w:ascii="Times New Roman" w:hAnsi="Times New Roman" w:cs="Times New Roman"/>
        </w:rPr>
      </w:pPr>
      <w:r w:rsidRPr="002A5401">
        <w:rPr>
          <w:rFonts w:ascii="Times New Roman" w:hAnsi="Times New Roman" w:cs="Times New Roman"/>
        </w:rPr>
        <w:t xml:space="preserve">They are duration-sensitive like long-term bonds, with valuations heavily influenced by discount rates and term </w:t>
      </w:r>
      <w:proofErr w:type="gramStart"/>
      <w:r w:rsidRPr="002A5401">
        <w:rPr>
          <w:rFonts w:ascii="Times New Roman" w:hAnsi="Times New Roman" w:cs="Times New Roman"/>
        </w:rPr>
        <w:t>premia</w:t>
      </w:r>
      <w:proofErr w:type="gramEnd"/>
      <w:r w:rsidRPr="002A5401">
        <w:rPr>
          <w:rFonts w:ascii="Times New Roman" w:hAnsi="Times New Roman" w:cs="Times New Roman"/>
        </w:rPr>
        <w:t>.</w:t>
      </w:r>
    </w:p>
    <w:p w14:paraId="2710DD11" w14:textId="77777777" w:rsidR="002A5401" w:rsidRPr="002A5401" w:rsidRDefault="002A5401" w:rsidP="002A5401">
      <w:pPr>
        <w:numPr>
          <w:ilvl w:val="0"/>
          <w:numId w:val="75"/>
        </w:numPr>
        <w:rPr>
          <w:rFonts w:ascii="Times New Roman" w:hAnsi="Times New Roman" w:cs="Times New Roman"/>
        </w:rPr>
      </w:pPr>
      <w:r w:rsidRPr="002A5401">
        <w:rPr>
          <w:rFonts w:ascii="Times New Roman" w:hAnsi="Times New Roman" w:cs="Times New Roman"/>
        </w:rPr>
        <w:t>They are equity securities whose cash flows depend on macro conditions, rents, and occupancy.</w:t>
      </w:r>
    </w:p>
    <w:p w14:paraId="4CFD983C" w14:textId="77777777" w:rsidR="002A5401" w:rsidRPr="002A5401" w:rsidRDefault="002A5401" w:rsidP="002A5401">
      <w:pPr>
        <w:numPr>
          <w:ilvl w:val="0"/>
          <w:numId w:val="75"/>
        </w:numPr>
        <w:rPr>
          <w:rFonts w:ascii="Times New Roman" w:hAnsi="Times New Roman" w:cs="Times New Roman"/>
        </w:rPr>
      </w:pPr>
      <w:r w:rsidRPr="002A5401">
        <w:rPr>
          <w:rFonts w:ascii="Times New Roman" w:hAnsi="Times New Roman" w:cs="Times New Roman"/>
        </w:rPr>
        <w:t>They are leverage-intensive and funding-dependent, linking them to bank-lending, credit-spread, and external-dollar channels.</w:t>
      </w:r>
    </w:p>
    <w:p w14:paraId="37C62571" w14:textId="77777777" w:rsidR="002A5401" w:rsidRPr="002A5401" w:rsidRDefault="002A5401" w:rsidP="002A5401">
      <w:pPr>
        <w:numPr>
          <w:ilvl w:val="0"/>
          <w:numId w:val="75"/>
        </w:numPr>
        <w:rPr>
          <w:rFonts w:ascii="Times New Roman" w:hAnsi="Times New Roman" w:cs="Times New Roman"/>
        </w:rPr>
      </w:pPr>
      <w:r w:rsidRPr="002A5401">
        <w:rPr>
          <w:rFonts w:ascii="Times New Roman" w:hAnsi="Times New Roman" w:cs="Times New Roman"/>
        </w:rPr>
        <w:t>They are increasingly global, with cross-listings and international investor bases, making them relevant for cross-country spillover analysis.</w:t>
      </w:r>
    </w:p>
    <w:p w14:paraId="47972C41" w14:textId="2955F518" w:rsidR="002A5401" w:rsidRPr="002A5401" w:rsidRDefault="002A5401" w:rsidP="002A5401">
      <w:pPr>
        <w:rPr>
          <w:rFonts w:ascii="Times New Roman" w:hAnsi="Times New Roman" w:cs="Times New Roman"/>
        </w:rPr>
      </w:pPr>
      <w:r w:rsidRPr="002A5401">
        <w:rPr>
          <w:rFonts w:ascii="Times New Roman" w:hAnsi="Times New Roman" w:cs="Times New Roman"/>
        </w:rPr>
        <w:t>Despite these features, existing work on REITs and monetary policy is fragmented and narrow</w:t>
      </w:r>
      <w:r w:rsidR="00896056">
        <w:rPr>
          <w:rFonts w:ascii="Times New Roman" w:hAnsi="Times New Roman" w:cs="Times New Roman"/>
        </w:rPr>
        <w:t xml:space="preserve"> - </w:t>
      </w:r>
      <w:r w:rsidRPr="002A5401">
        <w:rPr>
          <w:rFonts w:ascii="Times New Roman" w:hAnsi="Times New Roman" w:cs="Times New Roman"/>
        </w:rPr>
        <w:t>often limited to small samples, aggregate indices, or single countries. Most studies:</w:t>
      </w:r>
    </w:p>
    <w:p w14:paraId="0D89890A" w14:textId="77777777" w:rsidR="002A5401" w:rsidRPr="002A5401" w:rsidRDefault="002A5401" w:rsidP="002A5401">
      <w:pPr>
        <w:numPr>
          <w:ilvl w:val="0"/>
          <w:numId w:val="76"/>
        </w:numPr>
        <w:rPr>
          <w:rFonts w:ascii="Times New Roman" w:hAnsi="Times New Roman" w:cs="Times New Roman"/>
        </w:rPr>
      </w:pPr>
      <w:r w:rsidRPr="002A5401">
        <w:rPr>
          <w:rFonts w:ascii="Times New Roman" w:hAnsi="Times New Roman" w:cs="Times New Roman"/>
        </w:rPr>
        <w:t xml:space="preserve">Do not distinguish target, path, and information components of FOMC </w:t>
      </w:r>
      <w:proofErr w:type="gramStart"/>
      <w:r w:rsidRPr="002A5401">
        <w:rPr>
          <w:rFonts w:ascii="Times New Roman" w:hAnsi="Times New Roman" w:cs="Times New Roman"/>
        </w:rPr>
        <w:t>shocks;</w:t>
      </w:r>
      <w:proofErr w:type="gramEnd"/>
    </w:p>
    <w:p w14:paraId="705B0CC9" w14:textId="77777777" w:rsidR="002A5401" w:rsidRPr="002A5401" w:rsidRDefault="002A5401" w:rsidP="002A5401">
      <w:pPr>
        <w:numPr>
          <w:ilvl w:val="0"/>
          <w:numId w:val="76"/>
        </w:numPr>
        <w:rPr>
          <w:rFonts w:ascii="Times New Roman" w:hAnsi="Times New Roman" w:cs="Times New Roman"/>
        </w:rPr>
      </w:pPr>
      <w:r w:rsidRPr="002A5401">
        <w:rPr>
          <w:rFonts w:ascii="Times New Roman" w:hAnsi="Times New Roman" w:cs="Times New Roman"/>
        </w:rPr>
        <w:lastRenderedPageBreak/>
        <w:t xml:space="preserve">Do not compare equity REITs, mortgage REITs, and residential REITs under a unified identification </w:t>
      </w:r>
      <w:proofErr w:type="gramStart"/>
      <w:r w:rsidRPr="002A5401">
        <w:rPr>
          <w:rFonts w:ascii="Times New Roman" w:hAnsi="Times New Roman" w:cs="Times New Roman"/>
        </w:rPr>
        <w:t>scheme;</w:t>
      </w:r>
      <w:proofErr w:type="gramEnd"/>
    </w:p>
    <w:p w14:paraId="70067826" w14:textId="77777777" w:rsidR="002A5401" w:rsidRPr="002A5401" w:rsidRDefault="002A5401" w:rsidP="002A5401">
      <w:pPr>
        <w:numPr>
          <w:ilvl w:val="0"/>
          <w:numId w:val="76"/>
        </w:numPr>
        <w:rPr>
          <w:rFonts w:ascii="Times New Roman" w:hAnsi="Times New Roman" w:cs="Times New Roman"/>
        </w:rPr>
      </w:pPr>
      <w:r w:rsidRPr="002A5401">
        <w:rPr>
          <w:rFonts w:ascii="Times New Roman" w:hAnsi="Times New Roman" w:cs="Times New Roman"/>
        </w:rPr>
        <w:t xml:space="preserve">Do not link REIT responses to MBS spreads, mortgage rates, and credit </w:t>
      </w:r>
      <w:proofErr w:type="gramStart"/>
      <w:r w:rsidRPr="002A5401">
        <w:rPr>
          <w:rFonts w:ascii="Times New Roman" w:hAnsi="Times New Roman" w:cs="Times New Roman"/>
        </w:rPr>
        <w:t>conditions;</w:t>
      </w:r>
      <w:proofErr w:type="gramEnd"/>
    </w:p>
    <w:p w14:paraId="433C30D5" w14:textId="77777777" w:rsidR="002A5401" w:rsidRPr="002A5401" w:rsidRDefault="002A5401" w:rsidP="002A5401">
      <w:pPr>
        <w:numPr>
          <w:ilvl w:val="0"/>
          <w:numId w:val="76"/>
        </w:numPr>
        <w:rPr>
          <w:rFonts w:ascii="Times New Roman" w:hAnsi="Times New Roman" w:cs="Times New Roman"/>
        </w:rPr>
      </w:pPr>
      <w:r w:rsidRPr="002A5401">
        <w:rPr>
          <w:rFonts w:ascii="Times New Roman" w:hAnsi="Times New Roman" w:cs="Times New Roman"/>
        </w:rPr>
        <w:t>Rarely analyze cross-country REIT spillovers from U.S. policy.</w:t>
      </w:r>
    </w:p>
    <w:p w14:paraId="772A2BEC" w14:textId="12C59065" w:rsidR="002A5401" w:rsidRPr="002A5401" w:rsidRDefault="002A5401" w:rsidP="002A5401">
      <w:pPr>
        <w:rPr>
          <w:rFonts w:ascii="Times New Roman" w:hAnsi="Times New Roman" w:cs="Times New Roman"/>
        </w:rPr>
      </w:pPr>
      <w:r w:rsidRPr="002A5401">
        <w:rPr>
          <w:rFonts w:ascii="Times New Roman" w:hAnsi="Times New Roman" w:cs="Times New Roman"/>
        </w:rPr>
        <w:t>Building directly on these gaps, the next chapter transitions from synthesis to empirical investigation. The proposed study</w:t>
      </w:r>
      <w:r w:rsidR="00896056">
        <w:rPr>
          <w:rFonts w:ascii="Times New Roman" w:hAnsi="Times New Roman" w:cs="Times New Roman"/>
        </w:rPr>
        <w:t xml:space="preserve"> - </w:t>
      </w:r>
    </w:p>
    <w:p w14:paraId="27E4070E" w14:textId="77777777" w:rsidR="002A5401" w:rsidRPr="002A5401" w:rsidRDefault="002A5401" w:rsidP="002A5401">
      <w:pPr>
        <w:rPr>
          <w:rFonts w:ascii="Times New Roman" w:hAnsi="Times New Roman" w:cs="Times New Roman"/>
          <w:b/>
          <w:bCs/>
          <w:i/>
          <w:iCs/>
          <w:u w:val="single"/>
        </w:rPr>
      </w:pPr>
      <w:r w:rsidRPr="002A5401">
        <w:rPr>
          <w:rFonts w:ascii="Times New Roman" w:hAnsi="Times New Roman" w:cs="Times New Roman"/>
          <w:b/>
          <w:bCs/>
          <w:i/>
          <w:iCs/>
          <w:u w:val="single"/>
        </w:rPr>
        <w:t>“FOMC Announcements and REIT Responses: Cross-Asset Transmission Channels and Cross-Country Heterogeneity”</w:t>
      </w:r>
    </w:p>
    <w:p w14:paraId="71EF638C" w14:textId="225303E7" w:rsidR="002A5401" w:rsidRPr="002A5401" w:rsidRDefault="00896056" w:rsidP="002A5401">
      <w:pPr>
        <w:rPr>
          <w:rFonts w:ascii="Times New Roman" w:hAnsi="Times New Roman" w:cs="Times New Roman"/>
        </w:rPr>
      </w:pPr>
      <w:r>
        <w:rPr>
          <w:rFonts w:ascii="Times New Roman" w:hAnsi="Times New Roman" w:cs="Times New Roman"/>
        </w:rPr>
        <w:t xml:space="preserve"> - </w:t>
      </w:r>
      <w:r w:rsidR="002A5401" w:rsidRPr="002A5401">
        <w:rPr>
          <w:rFonts w:ascii="Times New Roman" w:hAnsi="Times New Roman" w:cs="Times New Roman"/>
        </w:rPr>
        <w:t>translates the conceptual insights from the preceding review into testable hypotheses, data frameworks, and econometric identification strategies.</w:t>
      </w:r>
    </w:p>
    <w:p w14:paraId="07CAEC4C"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Concretely, the dissertation will:</w:t>
      </w:r>
    </w:p>
    <w:p w14:paraId="0ED7CB98" w14:textId="77777777" w:rsidR="002A5401" w:rsidRPr="002A5401" w:rsidRDefault="002A5401" w:rsidP="002A5401">
      <w:pPr>
        <w:numPr>
          <w:ilvl w:val="0"/>
          <w:numId w:val="77"/>
        </w:numPr>
        <w:rPr>
          <w:rFonts w:ascii="Times New Roman" w:hAnsi="Times New Roman" w:cs="Times New Roman"/>
        </w:rPr>
      </w:pPr>
      <w:r w:rsidRPr="002A5401">
        <w:rPr>
          <w:rFonts w:ascii="Times New Roman" w:hAnsi="Times New Roman" w:cs="Times New Roman"/>
        </w:rPr>
        <w:t>Decompose FOMC shocks into target, path, and information components using high-frequency futures and text-based measures.</w:t>
      </w:r>
    </w:p>
    <w:p w14:paraId="07AA519A" w14:textId="77777777" w:rsidR="002A5401" w:rsidRPr="002A5401" w:rsidRDefault="002A5401" w:rsidP="002A5401">
      <w:pPr>
        <w:numPr>
          <w:ilvl w:val="0"/>
          <w:numId w:val="77"/>
        </w:numPr>
        <w:rPr>
          <w:rFonts w:ascii="Times New Roman" w:hAnsi="Times New Roman" w:cs="Times New Roman"/>
        </w:rPr>
      </w:pPr>
      <w:r w:rsidRPr="002A5401">
        <w:rPr>
          <w:rFonts w:ascii="Times New Roman" w:hAnsi="Times New Roman" w:cs="Times New Roman"/>
        </w:rPr>
        <w:t>Estimate sector-specific elasticities of U.S. equity REITs, mortgage REITs, and residential REITs to these shocks, comparing their sensitivity to that of broad equity indices and long-term Treasuries.</w:t>
      </w:r>
    </w:p>
    <w:p w14:paraId="2C092A15" w14:textId="77777777" w:rsidR="002A5401" w:rsidRPr="002A5401" w:rsidRDefault="002A5401" w:rsidP="002A5401">
      <w:pPr>
        <w:numPr>
          <w:ilvl w:val="0"/>
          <w:numId w:val="77"/>
        </w:numPr>
        <w:rPr>
          <w:rFonts w:ascii="Times New Roman" w:hAnsi="Times New Roman" w:cs="Times New Roman"/>
        </w:rPr>
      </w:pPr>
      <w:r w:rsidRPr="002A5401">
        <w:rPr>
          <w:rFonts w:ascii="Times New Roman" w:hAnsi="Times New Roman" w:cs="Times New Roman"/>
        </w:rPr>
        <w:t>Link REIT responses to credit and housing markets, by incorporating MBS spreads, mortgage rates, and bank funding costs to identify term-premium, credit, and rental-demand channels.</w:t>
      </w:r>
    </w:p>
    <w:p w14:paraId="76A036C0" w14:textId="77777777" w:rsidR="002A5401" w:rsidRPr="002A5401" w:rsidRDefault="002A5401" w:rsidP="002A5401">
      <w:pPr>
        <w:numPr>
          <w:ilvl w:val="0"/>
          <w:numId w:val="77"/>
        </w:numPr>
        <w:rPr>
          <w:rFonts w:ascii="Times New Roman" w:hAnsi="Times New Roman" w:cs="Times New Roman"/>
        </w:rPr>
      </w:pPr>
      <w:r w:rsidRPr="002A5401">
        <w:rPr>
          <w:rFonts w:ascii="Times New Roman" w:hAnsi="Times New Roman" w:cs="Times New Roman"/>
        </w:rPr>
        <w:t>Analyze international REIT spillovers, examining how decomposed FOMC shocks affect REIT indices in other major markets (e.g., U.K., Australia, Asia), and how sensitivity varies with exchange-rate regimes, dollar funding, and local housing conditions.</w:t>
      </w:r>
    </w:p>
    <w:p w14:paraId="7B615CC2" w14:textId="77777777" w:rsidR="002A5401" w:rsidRPr="002A5401" w:rsidRDefault="002A5401" w:rsidP="002A5401">
      <w:pPr>
        <w:rPr>
          <w:rFonts w:ascii="Times New Roman" w:hAnsi="Times New Roman" w:cs="Times New Roman"/>
        </w:rPr>
      </w:pPr>
      <w:r w:rsidRPr="002A5401">
        <w:rPr>
          <w:rFonts w:ascii="Times New Roman" w:hAnsi="Times New Roman" w:cs="Times New Roman"/>
        </w:rPr>
        <w:t>By doing so, the dissertation will provide the first comprehensive, cross-asset and cross-country assessment of how FOMC announcements transmit into real-estate securities and REITs. This empirical contribution will bridge the gap between macro-finance studies of monetary policy and micro-structure analyses of real-estate markets, offering new insights for investors, policymakers, and scholars interested in the interaction of monetary policy, housing, and global financial stability.</w:t>
      </w:r>
    </w:p>
    <w:p w14:paraId="2825400B" w14:textId="77777777" w:rsidR="00766BAD" w:rsidRPr="00766BAD" w:rsidRDefault="00766BAD" w:rsidP="00766BAD">
      <w:pPr>
        <w:rPr>
          <w:rFonts w:ascii="Times New Roman" w:eastAsia="Times New Roman" w:hAnsi="Times New Roman" w:cs="Times New Roman"/>
        </w:rPr>
      </w:pPr>
    </w:p>
    <w:p w14:paraId="3816BF9C" w14:textId="77777777" w:rsidR="00766BAD" w:rsidRPr="00766BAD" w:rsidRDefault="00766BAD" w:rsidP="00766BAD">
      <w:pPr>
        <w:rPr>
          <w:rFonts w:ascii="Times New Roman" w:eastAsia="Times New Roman" w:hAnsi="Times New Roman" w:cs="Times New Roman"/>
        </w:rPr>
      </w:pPr>
    </w:p>
    <w:p w14:paraId="5BC1A6CD" w14:textId="77777777" w:rsidR="00766BAD" w:rsidRPr="00766BAD" w:rsidRDefault="00766BAD" w:rsidP="00766BAD">
      <w:pPr>
        <w:rPr>
          <w:rFonts w:ascii="Times New Roman" w:eastAsia="Times New Roman" w:hAnsi="Times New Roman" w:cs="Times New Roman"/>
        </w:rPr>
      </w:pPr>
    </w:p>
    <w:p w14:paraId="2F28EC3A" w14:textId="77777777" w:rsidR="00766BAD" w:rsidRPr="00766BAD" w:rsidRDefault="00766BAD" w:rsidP="00766BAD">
      <w:pPr>
        <w:rPr>
          <w:rFonts w:ascii="Times New Roman" w:eastAsia="Times New Roman" w:hAnsi="Times New Roman" w:cs="Times New Roman"/>
        </w:rPr>
      </w:pPr>
    </w:p>
    <w:p w14:paraId="6FC2F22A" w14:textId="77777777" w:rsidR="00DB38E5" w:rsidRPr="00180590" w:rsidRDefault="00DB38E5" w:rsidP="00DB38E5">
      <w:pPr>
        <w:rPr>
          <w:rFonts w:ascii="Times New Roman" w:eastAsia="Times New Roman" w:hAnsi="Times New Roman" w:cs="Times New Roman"/>
        </w:rPr>
      </w:pPr>
    </w:p>
    <w:p w14:paraId="1ABDAB24" w14:textId="5D380D91" w:rsidR="00A238DA" w:rsidRPr="00B13F6A" w:rsidRDefault="00A238DA" w:rsidP="00A238DA">
      <w:pPr>
        <w:jc w:val="center"/>
        <w:rPr>
          <w:rFonts w:ascii="Times New Roman" w:hAnsi="Times New Roman" w:cs="Times New Roman"/>
          <w:b/>
          <w:bCs/>
        </w:rPr>
      </w:pPr>
      <w:r w:rsidRPr="00B13F6A">
        <w:rPr>
          <w:rFonts w:ascii="Times New Roman" w:eastAsia="Times New Roman" w:hAnsi="Times New Roman" w:cs="Times New Roman"/>
          <w:b/>
          <w:bCs/>
        </w:rPr>
        <w:t>References</w:t>
      </w:r>
    </w:p>
    <w:p w14:paraId="795B51E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Boyu Wu, Amina Enkhbold, Asawari Sathe, &amp; Qian Wang (2022). How Does the Fed Make Decisions: A Machine Learning Augmented Taylor Rule. Journal of Fixed Income. https://doi.org/10.3905/jfi.2022.32.3.049</w:t>
      </w:r>
    </w:p>
    <w:p w14:paraId="3F62E6B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Joshua K. Hausman &amp; Jon Wongswan (2006). Global Asset Prices and FOMC Announcements. -. https://doi.org/10.2139/SSRN.964969</w:t>
      </w:r>
    </w:p>
    <w:p w14:paraId="503A9B0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Licheng Zhang (2020). Low Interest Rates and Asset Allocation: Evidence from Mutual Fund Flows. -. -</w:t>
      </w:r>
    </w:p>
    <w:p w14:paraId="735A487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Aman Saggu (2014). Asset Prices and Federal Funds Rate Shocks: The 2007-2009 Financial Crisis. -. -</w:t>
      </w:r>
    </w:p>
    <w:p w14:paraId="699BC14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Sofiane </w:t>
      </w:r>
      <w:proofErr w:type="spellStart"/>
      <w:r w:rsidRPr="00180590">
        <w:rPr>
          <w:rFonts w:ascii="Times New Roman" w:eastAsia="Times New Roman" w:hAnsi="Times New Roman" w:cs="Times New Roman"/>
        </w:rPr>
        <w:t>Aboura</w:t>
      </w:r>
      <w:proofErr w:type="spellEnd"/>
      <w:r w:rsidRPr="00180590">
        <w:rPr>
          <w:rFonts w:ascii="Times New Roman" w:eastAsia="Times New Roman" w:hAnsi="Times New Roman" w:cs="Times New Roman"/>
        </w:rPr>
        <w:t xml:space="preserve"> (2022). A note on the Bitcoin and Fed Funds rate. Empirical Economics. https://doi.org/10.1007/s00181-022-02207-7</w:t>
      </w:r>
    </w:p>
    <w:p w14:paraId="17534B0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Travis J. Berge &amp; </w:t>
      </w:r>
      <w:proofErr w:type="spellStart"/>
      <w:r w:rsidRPr="00180590">
        <w:rPr>
          <w:rFonts w:ascii="Times New Roman" w:eastAsia="Times New Roman" w:hAnsi="Times New Roman" w:cs="Times New Roman"/>
        </w:rPr>
        <w:t>Guangye</w:t>
      </w:r>
      <w:proofErr w:type="spellEnd"/>
      <w:r w:rsidRPr="00180590">
        <w:rPr>
          <w:rFonts w:ascii="Times New Roman" w:eastAsia="Times New Roman" w:hAnsi="Times New Roman" w:cs="Times New Roman"/>
        </w:rPr>
        <w:t xml:space="preserve"> Cao (2014). Global Effects of U.S. Monetary Policy: Is Unconventional Policy </w:t>
      </w:r>
      <w:proofErr w:type="gramStart"/>
      <w:r w:rsidRPr="00180590">
        <w:rPr>
          <w:rFonts w:ascii="Times New Roman" w:eastAsia="Times New Roman" w:hAnsi="Times New Roman" w:cs="Times New Roman"/>
        </w:rPr>
        <w:t>Different?.</w:t>
      </w:r>
      <w:proofErr w:type="gramEnd"/>
      <w:r w:rsidRPr="00180590">
        <w:rPr>
          <w:rFonts w:ascii="Times New Roman" w:eastAsia="Times New Roman" w:hAnsi="Times New Roman" w:cs="Times New Roman"/>
        </w:rPr>
        <w:t xml:space="preserve"> -. -</w:t>
      </w:r>
    </w:p>
    <w:p w14:paraId="71719A16"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R. </w:t>
      </w:r>
      <w:proofErr w:type="spellStart"/>
      <w:r w:rsidRPr="00180590">
        <w:rPr>
          <w:rFonts w:ascii="Times New Roman" w:eastAsia="Times New Roman" w:hAnsi="Times New Roman" w:cs="Times New Roman"/>
        </w:rPr>
        <w:t>Gürkaynak</w:t>
      </w:r>
      <w:proofErr w:type="spellEnd"/>
      <w:r w:rsidRPr="00180590">
        <w:rPr>
          <w:rFonts w:ascii="Times New Roman" w:eastAsia="Times New Roman" w:hAnsi="Times New Roman" w:cs="Times New Roman"/>
        </w:rPr>
        <w:t>, B. Sack, Eric T. Swanson (2004). Do Actions Speak Louder than Words? The Response of Asset Prices to Monetary Policy Actions and Statements. -. https://doi.org/10.2139/ssrn.633281</w:t>
      </w:r>
    </w:p>
    <w:p w14:paraId="2E3142B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A. Rechtschaffen (2019). Asset Valuation. Capital Markets, Derivatives, and </w:t>
      </w:r>
      <w:proofErr w:type="gramStart"/>
      <w:r w:rsidRPr="00180590">
        <w:rPr>
          <w:rFonts w:ascii="Times New Roman" w:eastAsia="Times New Roman" w:hAnsi="Times New Roman" w:cs="Times New Roman"/>
        </w:rPr>
        <w:t>the Law</w:t>
      </w:r>
      <w:proofErr w:type="gramEnd"/>
      <w:r w:rsidRPr="00180590">
        <w:rPr>
          <w:rFonts w:ascii="Times New Roman" w:eastAsia="Times New Roman" w:hAnsi="Times New Roman" w:cs="Times New Roman"/>
        </w:rPr>
        <w:t>. https://doi.org/10.1093/oso/9780190879631.003.0008</w:t>
      </w:r>
    </w:p>
    <w:p w14:paraId="32D84E2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Victor J. Valcarcel (2018). Interest rate pass‐through: </w:t>
      </w:r>
      <w:proofErr w:type="spellStart"/>
      <w:r w:rsidRPr="00180590">
        <w:rPr>
          <w:rFonts w:ascii="Times New Roman" w:eastAsia="Times New Roman" w:hAnsi="Times New Roman" w:cs="Times New Roman"/>
        </w:rPr>
        <w:t>Divisia</w:t>
      </w:r>
      <w:proofErr w:type="spellEnd"/>
      <w:r w:rsidRPr="00180590">
        <w:rPr>
          <w:rFonts w:ascii="Times New Roman" w:eastAsia="Times New Roman" w:hAnsi="Times New Roman" w:cs="Times New Roman"/>
        </w:rPr>
        <w:t xml:space="preserve"> user costs of monetary assets and the federal funds rate. -. https://doi.org/10.1002/IJFE.1605</w:t>
      </w:r>
    </w:p>
    <w:p w14:paraId="2F3AFD7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Paolo Surico, Antonello D’Agostino, &amp; Luca Sala (2005). The Fed and the Stock Market. -. -</w:t>
      </w:r>
    </w:p>
    <w:p w14:paraId="0519B8A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Paulo F. Maio &amp; Pedro Santa-</w:t>
      </w:r>
      <w:proofErr w:type="spellStart"/>
      <w:r w:rsidRPr="00180590">
        <w:rPr>
          <w:rFonts w:ascii="Times New Roman" w:eastAsia="Times New Roman" w:hAnsi="Times New Roman" w:cs="Times New Roman"/>
        </w:rPr>
        <w:t>clara</w:t>
      </w:r>
      <w:proofErr w:type="spellEnd"/>
      <w:r w:rsidRPr="00180590">
        <w:rPr>
          <w:rFonts w:ascii="Times New Roman" w:eastAsia="Times New Roman" w:hAnsi="Times New Roman" w:cs="Times New Roman"/>
        </w:rPr>
        <w:t xml:space="preserve"> (2017). Short-Term Interest Rates and Stock Market Anomalies. Journal of Financial and Quantitative Analysis. https://doi.org/10.1017/S002210901700028X</w:t>
      </w:r>
    </w:p>
    <w:p w14:paraId="46CCFDD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Yucheng Jiang &amp; </w:t>
      </w:r>
      <w:proofErr w:type="spellStart"/>
      <w:r w:rsidRPr="00180590">
        <w:rPr>
          <w:rFonts w:ascii="Times New Roman" w:eastAsia="Times New Roman" w:hAnsi="Times New Roman" w:cs="Times New Roman"/>
        </w:rPr>
        <w:t>Gangjin</w:t>
      </w:r>
      <w:proofErr w:type="spellEnd"/>
      <w:r w:rsidRPr="00180590">
        <w:rPr>
          <w:rFonts w:ascii="Times New Roman" w:eastAsia="Times New Roman" w:hAnsi="Times New Roman" w:cs="Times New Roman"/>
        </w:rPr>
        <w:t xml:space="preserve"> Wang (2017). Monetary Policy Surprises and the Responses of Asset Prices: An Event Study Analysis. -. https://doi.org/10.21272/SEC.1(3).22-44.2017</w:t>
      </w:r>
    </w:p>
    <w:p w14:paraId="4133C70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G. Buetow &amp; Robert R. Johnson (2001). Mutual Fund Asset Allocation and Federal Reserve Monetary Policy. -. https://doi.org/10.3905/joi.2001.319467</w:t>
      </w:r>
    </w:p>
    <w:p w14:paraId="7A68074D" w14:textId="77777777" w:rsidR="00A238DA" w:rsidRPr="00180590" w:rsidRDefault="00A238DA" w:rsidP="00A238DA">
      <w:pPr>
        <w:spacing w:after="120"/>
        <w:ind w:left="720" w:hanging="720"/>
        <w:rPr>
          <w:rFonts w:ascii="Times New Roman" w:hAnsi="Times New Roman" w:cs="Times New Roman"/>
        </w:rPr>
      </w:pPr>
      <w:proofErr w:type="spellStart"/>
      <w:r w:rsidRPr="00180590">
        <w:rPr>
          <w:rFonts w:ascii="Times New Roman" w:eastAsia="Times New Roman" w:hAnsi="Times New Roman" w:cs="Times New Roman"/>
        </w:rPr>
        <w:t>Zhiguo</w:t>
      </w:r>
      <w:proofErr w:type="spellEnd"/>
      <w:r w:rsidRPr="00180590">
        <w:rPr>
          <w:rFonts w:ascii="Times New Roman" w:eastAsia="Times New Roman" w:hAnsi="Times New Roman" w:cs="Times New Roman"/>
        </w:rPr>
        <w:t xml:space="preserve"> He, B. Kelly, Asaf Manela (2016). Intermediary Asset Pricing: New Evidence from Many Asset Classes. -. https://doi.org/10.2139/SSRN.2662182</w:t>
      </w:r>
    </w:p>
    <w:p w14:paraId="03ECFD0D" w14:textId="77777777" w:rsidR="00A238DA" w:rsidRPr="00180590" w:rsidRDefault="00A238DA" w:rsidP="00A238DA">
      <w:pPr>
        <w:spacing w:after="120"/>
        <w:ind w:left="720" w:hanging="720"/>
        <w:rPr>
          <w:rFonts w:ascii="Times New Roman" w:hAnsi="Times New Roman" w:cs="Times New Roman"/>
        </w:rPr>
      </w:pPr>
      <w:proofErr w:type="spellStart"/>
      <w:r w:rsidRPr="00180590">
        <w:rPr>
          <w:rFonts w:ascii="Times New Roman" w:eastAsia="Times New Roman" w:hAnsi="Times New Roman" w:cs="Times New Roman"/>
        </w:rPr>
        <w:t>Kunaey</w:t>
      </w:r>
      <w:proofErr w:type="spellEnd"/>
      <w:r w:rsidRPr="00180590">
        <w:rPr>
          <w:rFonts w:ascii="Times New Roman" w:eastAsia="Times New Roman" w:hAnsi="Times New Roman" w:cs="Times New Roman"/>
        </w:rPr>
        <w:t xml:space="preserve"> Garg (2008). The Effect of Changes in the Federal Funds Rate on Stock Markets: A Sector-Wise Analysis. -. -</w:t>
      </w:r>
    </w:p>
    <w:p w14:paraId="35B49AB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Mehmet Ivrendi &amp; Douglas K. Pearce (2014). Asset prices and expected monetary policy: evidence from daily data. -. https://doi.org/10.1080/00036846.2013.864038</w:t>
      </w:r>
    </w:p>
    <w:p w14:paraId="6CA11548"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Jia Miao (2016). The Long-Run Effects of the Fed’s Monetary Policy on the Dynamics among Major Asset Classes. -. https://doi.org/10.1515/ijme-2016-0016</w:t>
      </w:r>
    </w:p>
    <w:p w14:paraId="7ABA561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A. Krishnamurthy &amp; Annette Vissing-Jørgensen (2011). The Effects of Quantitative Easing on Interest Rates: Channels and Implications for Policy. -. https://doi.org/10.1353/ECA.2011.0019</w:t>
      </w:r>
    </w:p>
    <w:p w14:paraId="59851EE5"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 Nilsen (1997). Borrowed Reserves, Fed Funds Rate Targets, and the Term Structure. -. https://doi.org/10.2139/ssrn.762484</w:t>
      </w:r>
    </w:p>
    <w:p w14:paraId="62FF2B1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M. Woodford (2010). Comments on Ashcraft, </w:t>
      </w:r>
      <w:proofErr w:type="spellStart"/>
      <w:r w:rsidRPr="00180590">
        <w:rPr>
          <w:rFonts w:ascii="Times New Roman" w:eastAsia="Times New Roman" w:hAnsi="Times New Roman" w:cs="Times New Roman"/>
        </w:rPr>
        <w:t>Garleanu</w:t>
      </w:r>
      <w:proofErr w:type="spellEnd"/>
      <w:r w:rsidRPr="00180590">
        <w:rPr>
          <w:rFonts w:ascii="Times New Roman" w:eastAsia="Times New Roman" w:hAnsi="Times New Roman" w:cs="Times New Roman"/>
        </w:rPr>
        <w:t>, and Pedersen, "Two Monetary Tools: Interest Rates and Haircuts". -. https://doi.org/10.1086/657544</w:t>
      </w:r>
    </w:p>
    <w:p w14:paraId="7225849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O. David Gulley &amp; Jahangir Sultan (2003). The link between monetary policy and stock and bond markets: evidence from the federal funds futures contract. -. https://doi.org/10.1080/09603100110115165</w:t>
      </w:r>
    </w:p>
    <w:p w14:paraId="245BC61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Kenneth N. Kuttner (2000). Monetary Policy Surprises and Interest Rates: Evidence from the Fed Funds Futures Market. -. https://doi.org/10.2139/ssrn.218892</w:t>
      </w:r>
    </w:p>
    <w:p w14:paraId="6FCBD76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Robert R. Johnson &amp; Gerald R. Jensen (1998). Stocks, Bonds, Bills and Monetary Policy. -. https://doi.org/10.3905/joi.1998.408468</w:t>
      </w:r>
    </w:p>
    <w:p w14:paraId="7A13128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Kenneth A. Froot (1990). Short Rates and Expected Asset Returns. -. https://doi.org/10.3386/W3247</w:t>
      </w:r>
    </w:p>
    <w:p w14:paraId="48B9F6BE"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Jay R. Feuerstein &amp; Jeffrey Bolduc (2013). When Bonds Fall, Fed Action </w:t>
      </w:r>
      <w:proofErr w:type="spellStart"/>
      <w:r w:rsidRPr="00180590">
        <w:rPr>
          <w:rFonts w:ascii="Times New Roman" w:eastAsia="Times New Roman" w:hAnsi="Times New Roman" w:cs="Times New Roman"/>
        </w:rPr>
        <w:t>Determinesthe</w:t>
      </w:r>
      <w:proofErr w:type="spellEnd"/>
      <w:r w:rsidRPr="00180590">
        <w:rPr>
          <w:rFonts w:ascii="Times New Roman" w:eastAsia="Times New Roman" w:hAnsi="Times New Roman" w:cs="Times New Roman"/>
        </w:rPr>
        <w:t xml:space="preserve"> Collateral Effects. The Journal of Trading. https://doi.org/10.3905/jot.2013.8.3.096</w:t>
      </w:r>
    </w:p>
    <w:p w14:paraId="213BB80F"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G. Buetow &amp; Robert R. Johnson (2001). The Real Estate Asset Allocation Decision: Monetary Policy Implications. -. https://doi.org/10.1080/10835547.2001.12089647</w:t>
      </w:r>
    </w:p>
    <w:p w14:paraId="0B10D38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Prachi Mishra, K. Moriyama, Papa N’Diaye (2014). Impact of Fed Tapering Announcements on Emerging Markets. Social Science Research Network. https://doi.org/10.5089/9781498361484.001.A001</w:t>
      </w:r>
    </w:p>
    <w:p w14:paraId="1F9048E6"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B. Bernanke, A. Blinder (1990). The Federal Funds Rate and the Channels of Monetary </w:t>
      </w:r>
      <w:proofErr w:type="spellStart"/>
      <w:r w:rsidRPr="00180590">
        <w:rPr>
          <w:rFonts w:ascii="Times New Roman" w:eastAsia="Times New Roman" w:hAnsi="Times New Roman" w:cs="Times New Roman"/>
        </w:rPr>
        <w:t>Transnission</w:t>
      </w:r>
      <w:proofErr w:type="spellEnd"/>
      <w:r w:rsidRPr="00180590">
        <w:rPr>
          <w:rFonts w:ascii="Times New Roman" w:eastAsia="Times New Roman" w:hAnsi="Times New Roman" w:cs="Times New Roman"/>
        </w:rPr>
        <w:t>. -. https://doi.org/10.3386/w3487</w:t>
      </w:r>
    </w:p>
    <w:p w14:paraId="7D496B6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Jeff Huther, J. Ihrig, Elizabeth C. Klee (2017). The Federal Reserve's Portfolio and its Effect on Interest Rates. -. https://doi.org/10.17016/FEDS.2017.075</w:t>
      </w:r>
    </w:p>
    <w:p w14:paraId="04A9618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R. Koepke (2015). Fed Policy Expectations and Portfolio Flows to Emerging Markets. Journal of international financial markets, institutions, and money. https://doi.org/10.2139/ssrn.2456288</w:t>
      </w:r>
    </w:p>
    <w:p w14:paraId="711014B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J. Stein (1995). An Adverse Selection Model of Bank Asset and Liability Management with Implications for the Transmission of Monetary Policy. -. https://doi.org/10.2307/2556100</w:t>
      </w:r>
    </w:p>
    <w:p w14:paraId="10F6CC88"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Cetin Ciner, Constantin Gurdgiev, B. Lucey (2013). Hedges and Safe Havens: An Examination of Stocks, Bonds, Gold, Oil and Exchange Rates. -. https://doi.org/10.2139/ssrn.1679243</w:t>
      </w:r>
    </w:p>
    <w:p w14:paraId="6711253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D. Cheung (1997). Pacific Rim Stock Market Integration Under Different Federal Funds Rate Regimes. -. https://doi.org/10.1111/1468-5957.00166</w:t>
      </w:r>
    </w:p>
    <w:p w14:paraId="17CCB3F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Tim A. Kroencke, Maik Schmeling, A. Schrimpf (2015). Global Asset Allocation Shifts. -. https://doi.org/10.2139/ssrn.2584871</w:t>
      </w:r>
    </w:p>
    <w:p w14:paraId="2320416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Paulo F. Maio (2012). Another Look at the Stock Return Response to Monetary Policy Actions. -. https://doi.org/10.2139/ssrn.1088981</w:t>
      </w:r>
    </w:p>
    <w:p w14:paraId="2778E06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 Huizinga, F. Mishkin (1984). Inflation and Real Interest Rates on Assets with Different Risk Characteristics. -. https://doi.org/10.1111/J.1540-6261.1984.TB03659.X</w:t>
      </w:r>
    </w:p>
    <w:p w14:paraId="6344E7A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M. Flannery, C. James (1984). The Effect of Interest Rate Changes on the Common Stock Returns of Financial Institutions. -. https://doi.org/10.1111/J.1540-6261.1984.TB03898.X</w:t>
      </w:r>
    </w:p>
    <w:p w14:paraId="657768D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Masayuki Okada (2023). Exposure to Interest Rate Risk around Monetary Policy Announcements. Social Science Research Network. https://doi.org/10.2139/ssrn.4588079</w:t>
      </w:r>
    </w:p>
    <w:p w14:paraId="30FD563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Lawrence L </w:t>
      </w:r>
      <w:proofErr w:type="spellStart"/>
      <w:r w:rsidRPr="00180590">
        <w:rPr>
          <w:rFonts w:ascii="Times New Roman" w:eastAsia="Times New Roman" w:hAnsi="Times New Roman" w:cs="Times New Roman"/>
        </w:rPr>
        <w:t>Kreicher</w:t>
      </w:r>
      <w:proofErr w:type="spellEnd"/>
      <w:r w:rsidRPr="00180590">
        <w:rPr>
          <w:rFonts w:ascii="Times New Roman" w:eastAsia="Times New Roman" w:hAnsi="Times New Roman" w:cs="Times New Roman"/>
        </w:rPr>
        <w:t xml:space="preserve"> &amp; Robert N. McCauley (2016). Asset Managers, Eurodollars and Unconventional Monetary Policy. -. -</w:t>
      </w:r>
    </w:p>
    <w:p w14:paraId="01E18DF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Eric T. Swanson (2022). The Federal Funds Market, Pre- and Post-2008. Social Science Research Network. https://doi.org/10.2139/ssrn.4039481</w:t>
      </w:r>
    </w:p>
    <w:p w14:paraId="450F2A1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P. Spindt, J. Ronald Hoffmeister (1988). The Micromechanics of the Federal Funds Market: Implications for Day-of-the-Week Effects </w:t>
      </w:r>
      <w:proofErr w:type="gramStart"/>
      <w:r w:rsidRPr="00180590">
        <w:rPr>
          <w:rFonts w:ascii="Times New Roman" w:eastAsia="Times New Roman" w:hAnsi="Times New Roman" w:cs="Times New Roman"/>
        </w:rPr>
        <w:t>in</w:t>
      </w:r>
      <w:proofErr w:type="gramEnd"/>
      <w:r w:rsidRPr="00180590">
        <w:rPr>
          <w:rFonts w:ascii="Times New Roman" w:eastAsia="Times New Roman" w:hAnsi="Times New Roman" w:cs="Times New Roman"/>
        </w:rPr>
        <w:t xml:space="preserve"> Funds Rate Variability. Journal of Financial and Quantitative Analysis. https://doi.org/10.2307/2331079</w:t>
      </w:r>
    </w:p>
    <w:p w14:paraId="71CEC8D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Michael R. </w:t>
      </w:r>
      <w:proofErr w:type="spellStart"/>
      <w:r w:rsidRPr="00180590">
        <w:rPr>
          <w:rFonts w:ascii="Times New Roman" w:eastAsia="Times New Roman" w:hAnsi="Times New Roman" w:cs="Times New Roman"/>
        </w:rPr>
        <w:t>Pakko</w:t>
      </w:r>
      <w:proofErr w:type="spellEnd"/>
      <w:r w:rsidRPr="00180590">
        <w:rPr>
          <w:rFonts w:ascii="Times New Roman" w:eastAsia="Times New Roman" w:hAnsi="Times New Roman" w:cs="Times New Roman"/>
        </w:rPr>
        <w:t xml:space="preserve"> &amp; David C. Wheelock (2020). Monetary Policy and Financial Market Expectations. -. https://doi.org/10.4324/9780429270949-62</w:t>
      </w:r>
    </w:p>
    <w:p w14:paraId="24FCB79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Paulo F. Maio (2012). Don't Fight the </w:t>
      </w:r>
      <w:proofErr w:type="gramStart"/>
      <w:r w:rsidRPr="00180590">
        <w:rPr>
          <w:rFonts w:ascii="Times New Roman" w:eastAsia="Times New Roman" w:hAnsi="Times New Roman" w:cs="Times New Roman"/>
        </w:rPr>
        <w:t>Fed!.</w:t>
      </w:r>
      <w:proofErr w:type="gramEnd"/>
      <w:r w:rsidRPr="00180590">
        <w:rPr>
          <w:rFonts w:ascii="Times New Roman" w:eastAsia="Times New Roman" w:hAnsi="Times New Roman" w:cs="Times New Roman"/>
        </w:rPr>
        <w:t xml:space="preserve"> -. https://doi.org/10.2139/ssrn.2019954</w:t>
      </w:r>
    </w:p>
    <w:p w14:paraId="0E1B74D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Carmen M. Reinhart &amp; Vincent R. Reinhart (2011). Pride Goes Before </w:t>
      </w:r>
      <w:proofErr w:type="gramStart"/>
      <w:r w:rsidRPr="00180590">
        <w:rPr>
          <w:rFonts w:ascii="Times New Roman" w:eastAsia="Times New Roman" w:hAnsi="Times New Roman" w:cs="Times New Roman"/>
        </w:rPr>
        <w:t>a Fall</w:t>
      </w:r>
      <w:proofErr w:type="gramEnd"/>
      <w:r w:rsidRPr="00180590">
        <w:rPr>
          <w:rFonts w:ascii="Times New Roman" w:eastAsia="Times New Roman" w:hAnsi="Times New Roman" w:cs="Times New Roman"/>
        </w:rPr>
        <w:t>: Federal Reserve Policy and Asset Markets. -. https://doi.org/10.3386/W16815</w:t>
      </w:r>
    </w:p>
    <w:p w14:paraId="4E5D5DC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Mina Sami, T. </w:t>
      </w:r>
      <w:proofErr w:type="spellStart"/>
      <w:r w:rsidRPr="00180590">
        <w:rPr>
          <w:rFonts w:ascii="Times New Roman" w:eastAsia="Times New Roman" w:hAnsi="Times New Roman" w:cs="Times New Roman"/>
        </w:rPr>
        <w:t>Eldomiaty</w:t>
      </w:r>
      <w:proofErr w:type="spellEnd"/>
      <w:r w:rsidRPr="00180590">
        <w:rPr>
          <w:rFonts w:ascii="Times New Roman" w:eastAsia="Times New Roman" w:hAnsi="Times New Roman" w:cs="Times New Roman"/>
        </w:rPr>
        <w:t>, M. Kamal (2020). How do fund rates affect the U.S. firms? A threshold estimation. -. https://doi.org/10.1016/j.cbrev.2020.03.003</w:t>
      </w:r>
    </w:p>
    <w:p w14:paraId="6EE36BB0"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Jaewon Choi, M. Richardson, Robert F. Whitelaw (2014). On the Fundamental Relation between Equity Returns and Interest Rates. -. https://doi.org/10.2139/SSRN.2324904</w:t>
      </w:r>
    </w:p>
    <w:p w14:paraId="25A73B5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Tae-Yong Doh, M. Connolly (2013). Has the Effect of Monetary Policy Announcements on Asset Prices Changed. -. -</w:t>
      </w:r>
    </w:p>
    <w:p w14:paraId="1B9B805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 xml:space="preserve">J. P. Morgan, M. </w:t>
      </w:r>
      <w:proofErr w:type="spellStart"/>
      <w:r w:rsidRPr="00180590">
        <w:rPr>
          <w:rFonts w:ascii="Times New Roman" w:eastAsia="Times New Roman" w:hAnsi="Times New Roman" w:cs="Times New Roman"/>
        </w:rPr>
        <w:t>Kolanović</w:t>
      </w:r>
      <w:proofErr w:type="spellEnd"/>
      <w:r w:rsidRPr="00180590">
        <w:rPr>
          <w:rFonts w:ascii="Times New Roman" w:eastAsia="Times New Roman" w:hAnsi="Times New Roman" w:cs="Times New Roman"/>
        </w:rPr>
        <w:t xml:space="preserve">, Ac, Securities </w:t>
      </w:r>
      <w:proofErr w:type="spellStart"/>
      <w:r w:rsidRPr="00180590">
        <w:rPr>
          <w:rFonts w:ascii="Times New Roman" w:eastAsia="Times New Roman" w:hAnsi="Times New Roman" w:cs="Times New Roman"/>
        </w:rPr>
        <w:t>Llc</w:t>
      </w:r>
      <w:proofErr w:type="spellEnd"/>
      <w:r w:rsidRPr="00180590">
        <w:rPr>
          <w:rFonts w:ascii="Times New Roman" w:eastAsia="Times New Roman" w:hAnsi="Times New Roman" w:cs="Times New Roman"/>
        </w:rPr>
        <w:t xml:space="preserve">, S. Ltd, </w:t>
      </w:r>
      <w:proofErr w:type="spellStart"/>
      <w:r w:rsidRPr="00180590">
        <w:rPr>
          <w:rFonts w:ascii="Times New Roman" w:eastAsia="Times New Roman" w:hAnsi="Times New Roman" w:cs="Times New Roman"/>
        </w:rPr>
        <w:t>Sk</w:t>
      </w:r>
      <w:proofErr w:type="spellEnd"/>
      <w:r w:rsidRPr="00180590">
        <w:rPr>
          <w:rFonts w:ascii="Times New Roman" w:eastAsia="Times New Roman" w:hAnsi="Times New Roman" w:cs="Times New Roman"/>
        </w:rPr>
        <w:t xml:space="preserve"> Tony, A. Lee, Pacific, Securities, A. Pacific, M. Limited, Naito, A. Rudd, </w:t>
      </w:r>
      <w:proofErr w:type="spellStart"/>
      <w:r w:rsidRPr="00180590">
        <w:rPr>
          <w:rFonts w:ascii="Times New Roman" w:eastAsia="Times New Roman" w:hAnsi="Times New Roman" w:cs="Times New Roman"/>
        </w:rPr>
        <w:t>Amyn</w:t>
      </w:r>
      <w:proofErr w:type="spellEnd"/>
      <w:r w:rsidRPr="00180590">
        <w:rPr>
          <w:rFonts w:ascii="Times New Roman" w:eastAsia="Times New Roman" w:hAnsi="Times New Roman" w:cs="Times New Roman"/>
        </w:rPr>
        <w:t xml:space="preserve"> Bharwani, K. Dhingra, Min Moon, Davide </w:t>
      </w:r>
      <w:proofErr w:type="spellStart"/>
      <w:r w:rsidRPr="00180590">
        <w:rPr>
          <w:rFonts w:ascii="Times New Roman" w:eastAsia="Times New Roman" w:hAnsi="Times New Roman" w:cs="Times New Roman"/>
        </w:rPr>
        <w:t>Emea</w:t>
      </w:r>
      <w:proofErr w:type="spellEnd"/>
      <w:r w:rsidRPr="00180590">
        <w:rPr>
          <w:rFonts w:ascii="Times New Roman" w:eastAsia="Times New Roman" w:hAnsi="Times New Roman" w:cs="Times New Roman"/>
        </w:rPr>
        <w:t xml:space="preserve">, Silvestrini, Bram Kaplan, P. Cheng, Asia Ex-Japan, Clara Law, S. Lee, Japan </w:t>
      </w:r>
      <w:proofErr w:type="spellStart"/>
      <w:r w:rsidRPr="00180590">
        <w:rPr>
          <w:rFonts w:ascii="Times New Roman" w:eastAsia="Times New Roman" w:hAnsi="Times New Roman" w:cs="Times New Roman"/>
        </w:rPr>
        <w:t>Michiro</w:t>
      </w:r>
      <w:proofErr w:type="spellEnd"/>
      <w:r w:rsidRPr="00180590">
        <w:rPr>
          <w:rFonts w:ascii="Times New Roman" w:eastAsia="Times New Roman" w:hAnsi="Times New Roman" w:cs="Times New Roman"/>
        </w:rPr>
        <w:t xml:space="preserve"> Naito, Hayato Ono (2011). Rise of Cross-Asset Correlations Asset Class Roadmap for Equity Investors. -. -</w:t>
      </w:r>
    </w:p>
    <w:p w14:paraId="37979BB7" w14:textId="1A95FA42"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Seyed Alireza Athari, N. Hung (2022). Time</w:t>
      </w:r>
      <w:r w:rsidR="00896056">
        <w:rPr>
          <w:rFonts w:ascii="Times New Roman" w:eastAsia="Times New Roman" w:hAnsi="Times New Roman" w:cs="Times New Roman"/>
        </w:rPr>
        <w:t xml:space="preserve"> - </w:t>
      </w:r>
      <w:r w:rsidRPr="00180590">
        <w:rPr>
          <w:rFonts w:ascii="Times New Roman" w:eastAsia="Times New Roman" w:hAnsi="Times New Roman" w:cs="Times New Roman"/>
        </w:rPr>
        <w:t>frequency return co-movement among asset classes around the COVID-19 outbreak: portfolio implications. Journal of economics and finance. https://doi.org/10.1007/s12197-022-09594-8</w:t>
      </w:r>
    </w:p>
    <w:p w14:paraId="4E3D9CF6"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Alberto Parra Barrios (2019). Impacto de las </w:t>
      </w:r>
      <w:proofErr w:type="spellStart"/>
      <w:r w:rsidRPr="00180590">
        <w:rPr>
          <w:rFonts w:ascii="Times New Roman" w:eastAsia="Times New Roman" w:hAnsi="Times New Roman" w:cs="Times New Roman"/>
        </w:rPr>
        <w:t>decisiones</w:t>
      </w:r>
      <w:proofErr w:type="spellEnd"/>
      <w:r w:rsidRPr="00180590">
        <w:rPr>
          <w:rFonts w:ascii="Times New Roman" w:eastAsia="Times New Roman" w:hAnsi="Times New Roman" w:cs="Times New Roman"/>
        </w:rPr>
        <w:t xml:space="preserve"> de </w:t>
      </w:r>
      <w:proofErr w:type="spellStart"/>
      <w:r w:rsidRPr="00180590">
        <w:rPr>
          <w:rFonts w:ascii="Times New Roman" w:eastAsia="Times New Roman" w:hAnsi="Times New Roman" w:cs="Times New Roman"/>
        </w:rPr>
        <w:t>política</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monetaria</w:t>
      </w:r>
      <w:proofErr w:type="spellEnd"/>
      <w:r w:rsidRPr="00180590">
        <w:rPr>
          <w:rFonts w:ascii="Times New Roman" w:eastAsia="Times New Roman" w:hAnsi="Times New Roman" w:cs="Times New Roman"/>
        </w:rPr>
        <w:t xml:space="preserve"> de la FED </w:t>
      </w:r>
      <w:proofErr w:type="spellStart"/>
      <w:r w:rsidRPr="00180590">
        <w:rPr>
          <w:rFonts w:ascii="Times New Roman" w:eastAsia="Times New Roman" w:hAnsi="Times New Roman" w:cs="Times New Roman"/>
        </w:rPr>
        <w:t>en</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indicadores</w:t>
      </w:r>
      <w:proofErr w:type="spellEnd"/>
      <w:r w:rsidRPr="00180590">
        <w:rPr>
          <w:rFonts w:ascii="Times New Roman" w:eastAsia="Times New Roman" w:hAnsi="Times New Roman" w:cs="Times New Roman"/>
        </w:rPr>
        <w:t xml:space="preserve"> de la </w:t>
      </w:r>
      <w:proofErr w:type="spellStart"/>
      <w:r w:rsidRPr="00180590">
        <w:rPr>
          <w:rFonts w:ascii="Times New Roman" w:eastAsia="Times New Roman" w:hAnsi="Times New Roman" w:cs="Times New Roman"/>
        </w:rPr>
        <w:t>economía</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colombiana</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durante</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el</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período</w:t>
      </w:r>
      <w:proofErr w:type="spellEnd"/>
      <w:r w:rsidRPr="00180590">
        <w:rPr>
          <w:rFonts w:ascii="Times New Roman" w:eastAsia="Times New Roman" w:hAnsi="Times New Roman" w:cs="Times New Roman"/>
        </w:rPr>
        <w:t xml:space="preserve"> de 2007 a 2015. Revista </w:t>
      </w:r>
      <w:proofErr w:type="spellStart"/>
      <w:r w:rsidRPr="00180590">
        <w:rPr>
          <w:rFonts w:ascii="Times New Roman" w:eastAsia="Times New Roman" w:hAnsi="Times New Roman" w:cs="Times New Roman"/>
        </w:rPr>
        <w:t>Finanzas</w:t>
      </w:r>
      <w:proofErr w:type="spellEnd"/>
      <w:r w:rsidRPr="00180590">
        <w:rPr>
          <w:rFonts w:ascii="Times New Roman" w:eastAsia="Times New Roman" w:hAnsi="Times New Roman" w:cs="Times New Roman"/>
        </w:rPr>
        <w:t xml:space="preserve"> y Política </w:t>
      </w:r>
      <w:proofErr w:type="spellStart"/>
      <w:r w:rsidRPr="00180590">
        <w:rPr>
          <w:rFonts w:ascii="Times New Roman" w:eastAsia="Times New Roman" w:hAnsi="Times New Roman" w:cs="Times New Roman"/>
        </w:rPr>
        <w:t>Económica</w:t>
      </w:r>
      <w:proofErr w:type="spellEnd"/>
      <w:r w:rsidRPr="00180590">
        <w:rPr>
          <w:rFonts w:ascii="Times New Roman" w:eastAsia="Times New Roman" w:hAnsi="Times New Roman" w:cs="Times New Roman"/>
        </w:rPr>
        <w:t>. https://doi.org/10.14718/revfinanzpolitecon.2019.11.1.9</w:t>
      </w:r>
    </w:p>
    <w:p w14:paraId="2CBB6F45"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Ken B. Cyree &amp; Drew B. Winters (2001). Analysis of Federal Funds Rate Changes and Variance Patterns. -. https://doi.org/10.1111/J.1475-6803.2001.TB00777.X</w:t>
      </w:r>
    </w:p>
    <w:p w14:paraId="2DA8851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Hakan Berument, N. Ceylan (2010). The Effects of Anticipated and Unanticipated Federal Funds Target Rate Changes on Domestic Interest Rates: International Evidence. -. -</w:t>
      </w:r>
    </w:p>
    <w:p w14:paraId="35072AE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Su Zhou (2007). The dynamic relationship between the federal funds rate and the Eurodollar rates under interest‐rate targeting. -. https://doi.org/10.1108/01443580710745380</w:t>
      </w:r>
    </w:p>
    <w:p w14:paraId="6F05044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M. S. Miller &amp; Jin-Wook Choi (2014). The Effectiveness of the Federal Funds Rate as the U.S. Monetary Policy Tool Before, During and After the Great Recession. -. https://doi.org/10.35808/ERSJ/424</w:t>
      </w:r>
    </w:p>
    <w:p w14:paraId="2E82126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Vladimir de Vassal (1995). Prime Rate Assets: An Efficient Funding Solution. -. -</w:t>
      </w:r>
    </w:p>
    <w:p w14:paraId="4F07CD0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K. Rao (2023). Impact of Political Agendas &amp; Monetary Policy on Asset Prices. Highlights in Business, Economics and Management. https://doi.org/10.54097/hbem.v15i.9349</w:t>
      </w:r>
    </w:p>
    <w:p w14:paraId="7950A14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Terrill R. Keasler &amp; Delbert C. Goff (2007). Using Fed Funds Futures to Predict a Federal Reserve Rate Hike. -. -</w:t>
      </w:r>
    </w:p>
    <w:p w14:paraId="25486C60"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Levon Goukasian &amp; </w:t>
      </w:r>
      <w:proofErr w:type="spellStart"/>
      <w:r w:rsidRPr="00180590">
        <w:rPr>
          <w:rFonts w:ascii="Times New Roman" w:eastAsia="Times New Roman" w:hAnsi="Times New Roman" w:cs="Times New Roman"/>
        </w:rPr>
        <w:t>Qingzhong</w:t>
      </w:r>
      <w:proofErr w:type="spellEnd"/>
      <w:r w:rsidRPr="00180590">
        <w:rPr>
          <w:rFonts w:ascii="Times New Roman" w:eastAsia="Times New Roman" w:hAnsi="Times New Roman" w:cs="Times New Roman"/>
        </w:rPr>
        <w:t xml:space="preserve"> Ma (2012). Saving the Bed from the Fed. -. -</w:t>
      </w:r>
    </w:p>
    <w:p w14:paraId="66726648"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Amy F. Lipton, G. Buetow (2000). Interest Rate Sensitivity of Equity Mutual Funds. -. https://doi.org/10.3905/jwm.2000.320374</w:t>
      </w:r>
    </w:p>
    <w:p w14:paraId="4DCAB5F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J. </w:t>
      </w:r>
      <w:proofErr w:type="spellStart"/>
      <w:r w:rsidRPr="00180590">
        <w:rPr>
          <w:rFonts w:ascii="Times New Roman" w:eastAsia="Times New Roman" w:hAnsi="Times New Roman" w:cs="Times New Roman"/>
        </w:rPr>
        <w:t>Piplack</w:t>
      </w:r>
      <w:proofErr w:type="spellEnd"/>
      <w:r w:rsidRPr="00180590">
        <w:rPr>
          <w:rFonts w:ascii="Times New Roman" w:eastAsia="Times New Roman" w:hAnsi="Times New Roman" w:cs="Times New Roman"/>
        </w:rPr>
        <w:t xml:space="preserve"> (2010). </w:t>
      </w:r>
      <w:proofErr w:type="spellStart"/>
      <w:r w:rsidRPr="00180590">
        <w:rPr>
          <w:rFonts w:ascii="Times New Roman" w:eastAsia="Times New Roman" w:hAnsi="Times New Roman" w:cs="Times New Roman"/>
        </w:rPr>
        <w:t>Comovements</w:t>
      </w:r>
      <w:proofErr w:type="spellEnd"/>
      <w:r w:rsidRPr="00180590">
        <w:rPr>
          <w:rFonts w:ascii="Times New Roman" w:eastAsia="Times New Roman" w:hAnsi="Times New Roman" w:cs="Times New Roman"/>
        </w:rPr>
        <w:t xml:space="preserve"> of Different Asset Classes During Market Stress. -. https://doi.org/10.1111/j.1468-0106.2010.00509.x</w:t>
      </w:r>
    </w:p>
    <w:p w14:paraId="74B3AE7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Selva Demiralp, Ò. Jordà, U. C. Davis, Charles L. Evans, Sherry Edwards, James D. Hamilton, K. Hoover, Kenneth N. Kuttner, D. Lindsey, D. Thornton (2002). The Response of Term Rates to Fed Announcements. -. -</w:t>
      </w:r>
    </w:p>
    <w:p w14:paraId="2C387D4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Kevin M. Bahr, W. Maas (2008). Fed Funds Rate and Interest Rate Elasticities. Journal of finance issues. https://doi.org/10.58886/jfi.v6i1.2427</w:t>
      </w:r>
    </w:p>
    <w:p w14:paraId="0E2B887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 xml:space="preserve">S. Corbet, C. Larkin, B. Lucey, Andrew Meegan, L. </w:t>
      </w:r>
      <w:proofErr w:type="spellStart"/>
      <w:r w:rsidRPr="00180590">
        <w:rPr>
          <w:rFonts w:ascii="Times New Roman" w:eastAsia="Times New Roman" w:hAnsi="Times New Roman" w:cs="Times New Roman"/>
        </w:rPr>
        <w:t>Yarovaya</w:t>
      </w:r>
      <w:proofErr w:type="spellEnd"/>
      <w:r w:rsidRPr="00180590">
        <w:rPr>
          <w:rFonts w:ascii="Times New Roman" w:eastAsia="Times New Roman" w:hAnsi="Times New Roman" w:cs="Times New Roman"/>
        </w:rPr>
        <w:t xml:space="preserve"> (2018). Cryptocurrency Reaction to FOMC Announcements: Evidence of Heterogeneity Based on Blockchain Stack Position. Journal of Financial Stability. https://doi.org/10.2139/ssrn.3073727</w:t>
      </w:r>
    </w:p>
    <w:p w14:paraId="371F8F2E"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Beatrice D. Simo-Kengne, S. Miller, Rangan Gupta (2013). Evolution of Monetary Policy in the US: The Role of Asset Prices. -. -</w:t>
      </w:r>
    </w:p>
    <w:p w14:paraId="50C4AFE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Li Michael, J. </w:t>
      </w:r>
      <w:proofErr w:type="spellStart"/>
      <w:r w:rsidRPr="00180590">
        <w:rPr>
          <w:rFonts w:ascii="Times New Roman" w:eastAsia="Times New Roman" w:hAnsi="Times New Roman" w:cs="Times New Roman"/>
        </w:rPr>
        <w:t>BusbyMaureen</w:t>
      </w:r>
      <w:proofErr w:type="spellEnd"/>
      <w:r w:rsidRPr="00180590">
        <w:rPr>
          <w:rFonts w:ascii="Times New Roman" w:eastAsia="Times New Roman" w:hAnsi="Times New Roman" w:cs="Times New Roman"/>
        </w:rPr>
        <w:t xml:space="preserve"> (1987). The Traditional Asset Classes. -. https://doi.org/10.2469/CP.V1987.N2.8</w:t>
      </w:r>
    </w:p>
    <w:p w14:paraId="249D02BE"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Juuso Nissinen (2022). Global Fixed Income Prices and Funding Currency. Social Science Research Network. https://doi.org/10.2139/ssrn.4168957</w:t>
      </w:r>
    </w:p>
    <w:p w14:paraId="367EF3F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M. Bauer (2012). Fed Asset Buying and Private Borrowing Rates. -. -</w:t>
      </w:r>
    </w:p>
    <w:p w14:paraId="3F62F6E5"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Nina Boyarchenko, Valentin Haddad, &amp; Matthew C. </w:t>
      </w:r>
      <w:proofErr w:type="spellStart"/>
      <w:r w:rsidRPr="00180590">
        <w:rPr>
          <w:rFonts w:ascii="Times New Roman" w:eastAsia="Times New Roman" w:hAnsi="Times New Roman" w:cs="Times New Roman"/>
        </w:rPr>
        <w:t>Plosser</w:t>
      </w:r>
      <w:proofErr w:type="spellEnd"/>
      <w:r w:rsidRPr="00180590">
        <w:rPr>
          <w:rFonts w:ascii="Times New Roman" w:eastAsia="Times New Roman" w:hAnsi="Times New Roman" w:cs="Times New Roman"/>
        </w:rPr>
        <w:t xml:space="preserve"> (2015). Market Confidence and Monetary Policy. -. https://doi.org/10.2139/ssrn.2697653</w:t>
      </w:r>
    </w:p>
    <w:p w14:paraId="52A67BB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J. Cochrane, Monika </w:t>
      </w:r>
      <w:proofErr w:type="spellStart"/>
      <w:r w:rsidRPr="00180590">
        <w:rPr>
          <w:rFonts w:ascii="Times New Roman" w:eastAsia="Times New Roman" w:hAnsi="Times New Roman" w:cs="Times New Roman"/>
        </w:rPr>
        <w:t>Piazzesi</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Piazzesi</w:t>
      </w:r>
      <w:proofErr w:type="spellEnd"/>
      <w:r w:rsidRPr="00180590">
        <w:rPr>
          <w:rFonts w:ascii="Times New Roman" w:eastAsia="Times New Roman" w:hAnsi="Times New Roman" w:cs="Times New Roman"/>
        </w:rPr>
        <w:t xml:space="preserve">, &amp; Ander (2002). The Fed and Interest </w:t>
      </w:r>
      <w:proofErr w:type="spellStart"/>
      <w:r w:rsidRPr="00180590">
        <w:rPr>
          <w:rFonts w:ascii="Times New Roman" w:eastAsia="Times New Roman" w:hAnsi="Times New Roman" w:cs="Times New Roman"/>
        </w:rPr>
        <w:t>RatesÐ</w:t>
      </w:r>
      <w:proofErr w:type="spellEnd"/>
      <w:r w:rsidRPr="00180590">
        <w:rPr>
          <w:rFonts w:ascii="Times New Roman" w:eastAsia="Times New Roman" w:hAnsi="Times New Roman" w:cs="Times New Roman"/>
        </w:rPr>
        <w:t xml:space="preserve"> </w:t>
      </w:r>
      <w:proofErr w:type="gramStart"/>
      <w:r w:rsidRPr="00180590">
        <w:rPr>
          <w:rFonts w:ascii="Times New Roman" w:eastAsia="Times New Roman" w:hAnsi="Times New Roman" w:cs="Times New Roman"/>
        </w:rPr>
        <w:t>A</w:t>
      </w:r>
      <w:proofErr w:type="gramEnd"/>
      <w:r w:rsidRPr="00180590">
        <w:rPr>
          <w:rFonts w:ascii="Times New Roman" w:eastAsia="Times New Roman" w:hAnsi="Times New Roman" w:cs="Times New Roman"/>
        </w:rPr>
        <w:t xml:space="preserve"> High-Frequency </w:t>
      </w:r>
      <w:proofErr w:type="spellStart"/>
      <w:r w:rsidRPr="00180590">
        <w:rPr>
          <w:rFonts w:ascii="Times New Roman" w:eastAsia="Times New Roman" w:hAnsi="Times New Roman" w:cs="Times New Roman"/>
        </w:rPr>
        <w:t>Identi</w:t>
      </w:r>
      <w:proofErr w:type="spellEnd"/>
      <w:r w:rsidRPr="00180590">
        <w:rPr>
          <w:rFonts w:ascii="Times New Roman" w:eastAsia="Times New Roman" w:hAnsi="Times New Roman" w:cs="Times New Roman"/>
        </w:rPr>
        <w:t xml:space="preserve"> ® cation By. -. -</w:t>
      </w:r>
    </w:p>
    <w:p w14:paraId="57E4209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Luis García‐Feijóo, Gerald R. Jensen, &amp; Robert R. Johnson (2012). The Effectiveness of Asset Classes in Hedging Risk. Journal of Portfolio Management. https://doi.org/10.3905/jpm.2012.38.3.040</w:t>
      </w:r>
    </w:p>
    <w:p w14:paraId="65C36B9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D. Reilly &amp; Pierre-Daniel G. Sarte (2010). Changes in Monetary Policy and the Variation in Interest Rate Changes Across Credit Markets. -. -</w:t>
      </w:r>
    </w:p>
    <w:p w14:paraId="150464A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Francisco Jareño, Marta Tolentino, M. González, Alejandro Oliver (2019). Impact of changes in the level, slope and curvature of interest rates on U.S. sector returns: an asymmetric nonlinear cointegration approach. Economic Research-</w:t>
      </w:r>
      <w:proofErr w:type="spellStart"/>
      <w:r w:rsidRPr="00180590">
        <w:rPr>
          <w:rFonts w:ascii="Times New Roman" w:eastAsia="Times New Roman" w:hAnsi="Times New Roman" w:cs="Times New Roman"/>
        </w:rPr>
        <w:t>Ekonomska</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Istraživanja</w:t>
      </w:r>
      <w:proofErr w:type="spellEnd"/>
      <w:r w:rsidRPr="00180590">
        <w:rPr>
          <w:rFonts w:ascii="Times New Roman" w:eastAsia="Times New Roman" w:hAnsi="Times New Roman" w:cs="Times New Roman"/>
        </w:rPr>
        <w:t>. https://doi.org/10.1080/1331677X.2019.1632726</w:t>
      </w:r>
    </w:p>
    <w:p w14:paraId="6496A68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W. Reddy, W. Wong (2016). Australian interest rate movements and A-REITs performance: A sectoral analysis. -. -</w:t>
      </w:r>
    </w:p>
    <w:p w14:paraId="02802C1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Ravi Bansal &amp; Wilbur John Coleman (1996). A Monetary Explanation of the Equity Premium, Term Premium, and Risk-Free Rate Puzzles. Journal of Political Economy. https://doi.org/10.1086/262056</w:t>
      </w:r>
    </w:p>
    <w:p w14:paraId="0A274E89"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Wai Lee (1997). Market Timing and Short-Term Interest Rates. -. https://doi.org/10.3905/jpm.1997.409604</w:t>
      </w:r>
    </w:p>
    <w:p w14:paraId="20FCA6C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R. </w:t>
      </w:r>
      <w:proofErr w:type="spellStart"/>
      <w:r w:rsidRPr="00180590">
        <w:rPr>
          <w:rFonts w:ascii="Times New Roman" w:eastAsia="Times New Roman" w:hAnsi="Times New Roman" w:cs="Times New Roman"/>
        </w:rPr>
        <w:t>Gürkaynak</w:t>
      </w:r>
      <w:proofErr w:type="spellEnd"/>
      <w:r w:rsidRPr="00180590">
        <w:rPr>
          <w:rFonts w:ascii="Times New Roman" w:eastAsia="Times New Roman" w:hAnsi="Times New Roman" w:cs="Times New Roman"/>
        </w:rPr>
        <w:t xml:space="preserve"> (2005). Using Federal Funds Futures Contracts for Monetary Policy Analysis. -. https://doi.org/10.2139/ssrn.813225</w:t>
      </w:r>
    </w:p>
    <w:p w14:paraId="17960170"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Zihan Ge (2024). The Impact of Geopolitical Conflict and Fed Rate Hikes on Asset Pricing. Advances in Economics, Management and Political Sciences. https://doi.org/10.54254/2754-1169/100/2024bh0104</w:t>
      </w:r>
    </w:p>
    <w:p w14:paraId="70C1ED47"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 xml:space="preserve">Jean-Sébastien Fontaine (2011). Fed Funds Futures </w:t>
      </w:r>
      <w:proofErr w:type="gramStart"/>
      <w:r w:rsidRPr="00180590">
        <w:rPr>
          <w:rFonts w:ascii="Times New Roman" w:eastAsia="Times New Roman" w:hAnsi="Times New Roman" w:cs="Times New Roman"/>
        </w:rPr>
        <w:t>And</w:t>
      </w:r>
      <w:proofErr w:type="gramEnd"/>
      <w:r w:rsidRPr="00180590">
        <w:rPr>
          <w:rFonts w:ascii="Times New Roman" w:eastAsia="Times New Roman" w:hAnsi="Times New Roman" w:cs="Times New Roman"/>
        </w:rPr>
        <w:t xml:space="preserve"> </w:t>
      </w:r>
      <w:proofErr w:type="gramStart"/>
      <w:r w:rsidRPr="00180590">
        <w:rPr>
          <w:rFonts w:ascii="Times New Roman" w:eastAsia="Times New Roman" w:hAnsi="Times New Roman" w:cs="Times New Roman"/>
        </w:rPr>
        <w:t>The</w:t>
      </w:r>
      <w:proofErr w:type="gramEnd"/>
      <w:r w:rsidRPr="00180590">
        <w:rPr>
          <w:rFonts w:ascii="Times New Roman" w:eastAsia="Times New Roman" w:hAnsi="Times New Roman" w:cs="Times New Roman"/>
        </w:rPr>
        <w:t xml:space="preserve"> Federal Reserve. -. https://doi.org/10.2139/ssrn.1343913</w:t>
      </w:r>
    </w:p>
    <w:p w14:paraId="5AB8BF34" w14:textId="77777777" w:rsidR="00A238DA" w:rsidRPr="00180590" w:rsidRDefault="00A238DA" w:rsidP="00A238DA">
      <w:pPr>
        <w:spacing w:after="120"/>
        <w:ind w:left="720" w:hanging="720"/>
        <w:rPr>
          <w:rFonts w:ascii="Times New Roman" w:hAnsi="Times New Roman" w:cs="Times New Roman"/>
        </w:rPr>
      </w:pPr>
      <w:proofErr w:type="spellStart"/>
      <w:r w:rsidRPr="00180590">
        <w:rPr>
          <w:rFonts w:ascii="Times New Roman" w:eastAsia="Times New Roman" w:hAnsi="Times New Roman" w:cs="Times New Roman"/>
        </w:rPr>
        <w:t>Xijing</w:t>
      </w:r>
      <w:proofErr w:type="spellEnd"/>
      <w:r w:rsidRPr="00180590">
        <w:rPr>
          <w:rFonts w:ascii="Times New Roman" w:eastAsia="Times New Roman" w:hAnsi="Times New Roman" w:cs="Times New Roman"/>
        </w:rPr>
        <w:t xml:space="preserve"> Huang, Ruizhe Zhang, </w:t>
      </w:r>
      <w:proofErr w:type="spellStart"/>
      <w:r w:rsidRPr="00180590">
        <w:rPr>
          <w:rFonts w:ascii="Times New Roman" w:eastAsia="Times New Roman" w:hAnsi="Times New Roman" w:cs="Times New Roman"/>
        </w:rPr>
        <w:t>Caiwei</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Lv</w:t>
      </w:r>
      <w:proofErr w:type="spellEnd"/>
      <w:r w:rsidRPr="00180590">
        <w:rPr>
          <w:rFonts w:ascii="Times New Roman" w:eastAsia="Times New Roman" w:hAnsi="Times New Roman" w:cs="Times New Roman"/>
        </w:rPr>
        <w:t xml:space="preserve">, &amp; </w:t>
      </w:r>
      <w:proofErr w:type="spellStart"/>
      <w:r w:rsidRPr="00180590">
        <w:rPr>
          <w:rFonts w:ascii="Times New Roman" w:eastAsia="Times New Roman" w:hAnsi="Times New Roman" w:cs="Times New Roman"/>
        </w:rPr>
        <w:t>Fengyue</w:t>
      </w:r>
      <w:proofErr w:type="spellEnd"/>
      <w:r w:rsidRPr="00180590">
        <w:rPr>
          <w:rFonts w:ascii="Times New Roman" w:eastAsia="Times New Roman" w:hAnsi="Times New Roman" w:cs="Times New Roman"/>
        </w:rPr>
        <w:t xml:space="preserve"> Zhu (2023). The Effectiveness of CAPM and Fama-French Three-Factor Models in Healthcare and Real Estate Industries. BCP Business &amp;amp; Management. https://doi.org/10.54691/bcpbm.v39i.4259</w:t>
      </w:r>
    </w:p>
    <w:p w14:paraId="7C8C209A"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Quentin Vandeweyer (2019). Treasury Debt and the Pricing of Short-Term Assets CLICK HERE FOR LATEST VERSION. -. -</w:t>
      </w:r>
    </w:p>
    <w:p w14:paraId="26CBB7A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Charles I. </w:t>
      </w:r>
      <w:proofErr w:type="spellStart"/>
      <w:r w:rsidRPr="00180590">
        <w:rPr>
          <w:rFonts w:ascii="Times New Roman" w:eastAsia="Times New Roman" w:hAnsi="Times New Roman" w:cs="Times New Roman"/>
        </w:rPr>
        <w:t>Plosser</w:t>
      </w:r>
      <w:proofErr w:type="spellEnd"/>
      <w:r w:rsidRPr="00180590">
        <w:rPr>
          <w:rFonts w:ascii="Times New Roman" w:eastAsia="Times New Roman" w:hAnsi="Times New Roman" w:cs="Times New Roman"/>
        </w:rPr>
        <w:t xml:space="preserve"> (1982). Government financing decisions and asset returns. -. https://doi.org/10.1016/0304-3932(82)90022-8</w:t>
      </w:r>
    </w:p>
    <w:p w14:paraId="7052018C" w14:textId="77777777" w:rsidR="00A238DA" w:rsidRPr="00180590" w:rsidRDefault="00A238DA" w:rsidP="00A238DA">
      <w:pPr>
        <w:spacing w:after="120"/>
        <w:ind w:left="720" w:hanging="720"/>
        <w:rPr>
          <w:rFonts w:ascii="Times New Roman" w:hAnsi="Times New Roman" w:cs="Times New Roman"/>
        </w:rPr>
      </w:pPr>
      <w:proofErr w:type="spellStart"/>
      <w:r w:rsidRPr="00180590">
        <w:rPr>
          <w:rFonts w:ascii="Times New Roman" w:eastAsia="Times New Roman" w:hAnsi="Times New Roman" w:cs="Times New Roman"/>
        </w:rPr>
        <w:t>Sutthisit</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Jamdee</w:t>
      </w:r>
      <w:proofErr w:type="spellEnd"/>
      <w:r w:rsidRPr="00180590">
        <w:rPr>
          <w:rFonts w:ascii="Times New Roman" w:eastAsia="Times New Roman" w:hAnsi="Times New Roman" w:cs="Times New Roman"/>
        </w:rPr>
        <w:t>, C. Los (2005). Multifractal Modeling of the Us Treasury Term Structure and Fed Funds Rate. -. https://doi.org/10.2139/ssrn.675943</w:t>
      </w:r>
    </w:p>
    <w:p w14:paraId="15123D5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Monika </w:t>
      </w:r>
      <w:proofErr w:type="spellStart"/>
      <w:r w:rsidRPr="00180590">
        <w:rPr>
          <w:rFonts w:ascii="Times New Roman" w:eastAsia="Times New Roman" w:hAnsi="Times New Roman" w:cs="Times New Roman"/>
        </w:rPr>
        <w:t>Piazzesi</w:t>
      </w:r>
      <w:proofErr w:type="spellEnd"/>
      <w:r w:rsidRPr="00180590">
        <w:rPr>
          <w:rFonts w:ascii="Times New Roman" w:eastAsia="Times New Roman" w:hAnsi="Times New Roman" w:cs="Times New Roman"/>
        </w:rPr>
        <w:t xml:space="preserve"> &amp; Martin Schneider (2010). Interest Rate Risk in Credit Markets. -. https://doi.org/10.1257/AER.100.2.579</w:t>
      </w:r>
    </w:p>
    <w:p w14:paraId="77C6FDC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Eugene Podkaminer, Wylie Tollette, &amp; Laurence B. Siegel (2020). Real Interest Rate Shocks and Portfolio Strategy. Journal of Investing. https://doi.org/10.3905/joi.2020.1.148</w:t>
      </w:r>
    </w:p>
    <w:p w14:paraId="28039636"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Roland Füss, J. Zietz (2016). The Economic Drivers of Differences in House Price Inflation Rate Across MSAs. -. https://doi.org/10.2139/ssrn.2717431</w:t>
      </w:r>
    </w:p>
    <w:p w14:paraId="2CA66F75"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(2002). The Behavior of Federal Funds Futures Prices over the Monetary Policy Cycle. -. -</w:t>
      </w:r>
    </w:p>
    <w:p w14:paraId="080EAD2E"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Kun Guo, Wei‐Xing Zhou, Si Cheng, D. </w:t>
      </w:r>
      <w:proofErr w:type="spellStart"/>
      <w:r w:rsidRPr="00180590">
        <w:rPr>
          <w:rFonts w:ascii="Times New Roman" w:eastAsia="Times New Roman" w:hAnsi="Times New Roman" w:cs="Times New Roman"/>
        </w:rPr>
        <w:t>Sornette</w:t>
      </w:r>
      <w:proofErr w:type="spellEnd"/>
      <w:r w:rsidRPr="00180590">
        <w:rPr>
          <w:rFonts w:ascii="Times New Roman" w:eastAsia="Times New Roman" w:hAnsi="Times New Roman" w:cs="Times New Roman"/>
        </w:rPr>
        <w:t xml:space="preserve"> (2011). The US Stock Market Leads the Federal Funds Rate and Treasury Bond Yields. </w:t>
      </w:r>
      <w:proofErr w:type="spellStart"/>
      <w:r w:rsidRPr="00180590">
        <w:rPr>
          <w:rFonts w:ascii="Times New Roman" w:eastAsia="Times New Roman" w:hAnsi="Times New Roman" w:cs="Times New Roman"/>
        </w:rPr>
        <w:t>PLoS</w:t>
      </w:r>
      <w:proofErr w:type="spellEnd"/>
      <w:r w:rsidRPr="00180590">
        <w:rPr>
          <w:rFonts w:ascii="Times New Roman" w:eastAsia="Times New Roman" w:hAnsi="Times New Roman" w:cs="Times New Roman"/>
        </w:rPr>
        <w:t xml:space="preserve"> ONE. https://doi.org/10.1371/journal.pone.0022794</w:t>
      </w:r>
    </w:p>
    <w:p w14:paraId="361670BD"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Y. Tse (2016). Asymmetric Volatility, Skewness, and Downside Risk in Different Asset Classes: Evidence from Futures Markets. -. https://doi.org/10.1111/fire.12095</w:t>
      </w:r>
    </w:p>
    <w:p w14:paraId="15EFD0E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Wilman San Marino, Tine Badriatin, &amp; Ignatia Bintang F.D.S. (2024). Fed Fund Rate: A Dominant Factor of </w:t>
      </w:r>
      <w:proofErr w:type="spellStart"/>
      <w:r w:rsidRPr="00180590">
        <w:rPr>
          <w:rFonts w:ascii="Times New Roman" w:eastAsia="Times New Roman" w:hAnsi="Times New Roman" w:cs="Times New Roman"/>
        </w:rPr>
        <w:t>Fortfolio</w:t>
      </w:r>
      <w:proofErr w:type="spellEnd"/>
      <w:r w:rsidRPr="00180590">
        <w:rPr>
          <w:rFonts w:ascii="Times New Roman" w:eastAsia="Times New Roman" w:hAnsi="Times New Roman" w:cs="Times New Roman"/>
        </w:rPr>
        <w:t xml:space="preserve"> Flows in Southeast Asia. </w:t>
      </w:r>
      <w:proofErr w:type="spellStart"/>
      <w:proofErr w:type="gramStart"/>
      <w:r w:rsidRPr="00180590">
        <w:rPr>
          <w:rFonts w:ascii="Times New Roman" w:eastAsia="Times New Roman" w:hAnsi="Times New Roman" w:cs="Times New Roman"/>
        </w:rPr>
        <w:t>Almana</w:t>
      </w:r>
      <w:proofErr w:type="spellEnd"/>
      <w:r w:rsidRPr="00180590">
        <w:rPr>
          <w:rFonts w:ascii="Times New Roman" w:eastAsia="Times New Roman" w:hAnsi="Times New Roman" w:cs="Times New Roman"/>
        </w:rPr>
        <w:t xml:space="preserve"> :</w:t>
      </w:r>
      <w:proofErr w:type="gram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Jurnal</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Manajemen</w:t>
      </w:r>
      <w:proofErr w:type="spellEnd"/>
      <w:r w:rsidRPr="00180590">
        <w:rPr>
          <w:rFonts w:ascii="Times New Roman" w:eastAsia="Times New Roman" w:hAnsi="Times New Roman" w:cs="Times New Roman"/>
        </w:rPr>
        <w:t xml:space="preserve"> dan </w:t>
      </w:r>
      <w:proofErr w:type="spellStart"/>
      <w:r w:rsidRPr="00180590">
        <w:rPr>
          <w:rFonts w:ascii="Times New Roman" w:eastAsia="Times New Roman" w:hAnsi="Times New Roman" w:cs="Times New Roman"/>
        </w:rPr>
        <w:t>Bisnis</w:t>
      </w:r>
      <w:proofErr w:type="spellEnd"/>
      <w:r w:rsidRPr="00180590">
        <w:rPr>
          <w:rFonts w:ascii="Times New Roman" w:eastAsia="Times New Roman" w:hAnsi="Times New Roman" w:cs="Times New Roman"/>
        </w:rPr>
        <w:t>. https://doi.org/10.36555/almana.v8i1.2404</w:t>
      </w:r>
    </w:p>
    <w:p w14:paraId="2C2D6038" w14:textId="77777777" w:rsidR="00A238DA" w:rsidRPr="00180590" w:rsidRDefault="00A238DA" w:rsidP="00A238DA">
      <w:pPr>
        <w:spacing w:after="120"/>
        <w:ind w:left="720" w:hanging="720"/>
        <w:rPr>
          <w:rFonts w:ascii="Times New Roman" w:hAnsi="Times New Roman" w:cs="Times New Roman"/>
        </w:rPr>
      </w:pPr>
      <w:proofErr w:type="spellStart"/>
      <w:r w:rsidRPr="00180590">
        <w:rPr>
          <w:rFonts w:ascii="Times New Roman" w:eastAsia="Times New Roman" w:hAnsi="Times New Roman" w:cs="Times New Roman"/>
        </w:rPr>
        <w:t>FarrellJames</w:t>
      </w:r>
      <w:proofErr w:type="spellEnd"/>
      <w:r w:rsidRPr="00180590">
        <w:rPr>
          <w:rFonts w:ascii="Times New Roman" w:eastAsia="Times New Roman" w:hAnsi="Times New Roman" w:cs="Times New Roman"/>
        </w:rPr>
        <w:t xml:space="preserve"> </w:t>
      </w:r>
      <w:proofErr w:type="spellStart"/>
      <w:r w:rsidRPr="00180590">
        <w:rPr>
          <w:rFonts w:ascii="Times New Roman" w:eastAsia="Times New Roman" w:hAnsi="Times New Roman" w:cs="Times New Roman"/>
        </w:rPr>
        <w:t>L.Jr</w:t>
      </w:r>
      <w:proofErr w:type="spellEnd"/>
      <w:r w:rsidRPr="00180590">
        <w:rPr>
          <w:rFonts w:ascii="Times New Roman" w:eastAsia="Times New Roman" w:hAnsi="Times New Roman" w:cs="Times New Roman"/>
        </w:rPr>
        <w:t>. (1989). A Fundamental Forecast Approach to Superior Asset Allocation. -. https://doi.org/10.2469/FAJ.V45.N3.32</w:t>
      </w:r>
    </w:p>
    <w:p w14:paraId="63D1105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Brett W. Fawley &amp; Christopher J. Neely (2014). The evolution of Federal Reserve policy and the impact of monetary policy surprises on asset prices. -. https://doi.org/10.20955/R.96.73-109</w:t>
      </w:r>
    </w:p>
    <w:p w14:paraId="666BFAAB"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M. Pinchetti, A. Szczepaniak (2021). Global Spillovers of the Fed Information Effect. Social Science Research Network. https://doi.org/10.2139/ssrn.3973468</w:t>
      </w:r>
    </w:p>
    <w:p w14:paraId="577C6D0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Peng Chen (2005). Managed Futures and Asset Allocation. -. -</w:t>
      </w:r>
    </w:p>
    <w:p w14:paraId="5B6E9501"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lastRenderedPageBreak/>
        <w:t xml:space="preserve">D. Thornton (2000). The Relationship between the Federal Funds Rate and the Fed's Federal Funds Rate Target: Is it Open Market or Open Mouth </w:t>
      </w:r>
      <w:proofErr w:type="gramStart"/>
      <w:r w:rsidRPr="00180590">
        <w:rPr>
          <w:rFonts w:ascii="Times New Roman" w:eastAsia="Times New Roman" w:hAnsi="Times New Roman" w:cs="Times New Roman"/>
        </w:rPr>
        <w:t>Operations?.</w:t>
      </w:r>
      <w:proofErr w:type="gramEnd"/>
      <w:r w:rsidRPr="00180590">
        <w:rPr>
          <w:rFonts w:ascii="Times New Roman" w:eastAsia="Times New Roman" w:hAnsi="Times New Roman" w:cs="Times New Roman"/>
        </w:rPr>
        <w:t xml:space="preserve"> Social Science Research Network. https://doi.org/10.2139/ssrn.2785115</w:t>
      </w:r>
    </w:p>
    <w:p w14:paraId="3C5738CE"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B. Bernanke, Carol C. Bertaut, L. DeMarco, Steven B. Kamin (2011). International Capital Flows and the Return to Safe Assets in the United States, 2003-2007. -. https://doi.org/10.2139/SSRN.1837780</w:t>
      </w:r>
    </w:p>
    <w:p w14:paraId="792B10D2"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 xml:space="preserve">Ò. Jordà &amp; Selva </w:t>
      </w:r>
      <w:proofErr w:type="spellStart"/>
      <w:r w:rsidRPr="00180590">
        <w:rPr>
          <w:rFonts w:ascii="Times New Roman" w:eastAsia="Times New Roman" w:hAnsi="Times New Roman" w:cs="Times New Roman"/>
        </w:rPr>
        <w:t>Demiralp</w:t>
      </w:r>
      <w:proofErr w:type="spellEnd"/>
      <w:r w:rsidRPr="00180590">
        <w:rPr>
          <w:rFonts w:ascii="Times New Roman" w:eastAsia="Times New Roman" w:hAnsi="Times New Roman" w:cs="Times New Roman"/>
        </w:rPr>
        <w:t xml:space="preserve"> (2000). The Pavlovian Response of Term Rates to Fed Announcements. -. https://doi.org/10.2139/ssrn.250794</w:t>
      </w:r>
    </w:p>
    <w:p w14:paraId="04314E44"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Ruslan Goyenko (2013). Treasury Liquidity, Funding Liquidity and Asset Returns. -. https://doi.org/10.2139/ssrn.2023187</w:t>
      </w:r>
    </w:p>
    <w:p w14:paraId="7294317C"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Nils-Gustav Persson &amp; Andreas Rosendahl (2006). The Fed Funds Rate. -. -</w:t>
      </w:r>
    </w:p>
    <w:p w14:paraId="3A3B5763" w14:textId="77777777" w:rsidR="00A238DA" w:rsidRPr="00180590" w:rsidRDefault="00A238DA" w:rsidP="00A238DA">
      <w:pPr>
        <w:spacing w:after="120"/>
        <w:ind w:left="720" w:hanging="720"/>
        <w:rPr>
          <w:rFonts w:ascii="Times New Roman" w:hAnsi="Times New Roman" w:cs="Times New Roman"/>
        </w:rPr>
      </w:pPr>
      <w:r w:rsidRPr="00180590">
        <w:rPr>
          <w:rFonts w:ascii="Times New Roman" w:eastAsia="Times New Roman" w:hAnsi="Times New Roman" w:cs="Times New Roman"/>
        </w:rPr>
        <w:t>F. Edwards, J. Liew (1999). Hedge Funds versus Managed Futures as Asset Classes. -. https://doi.org/10.3905/jod.1999.319128</w:t>
      </w:r>
    </w:p>
    <w:p w14:paraId="119435D4" w14:textId="4655432B" w:rsidR="00A238DA" w:rsidRPr="00180590" w:rsidRDefault="00A238DA" w:rsidP="00A238DA">
      <w:pPr>
        <w:spacing w:after="120"/>
        <w:ind w:left="720" w:hanging="720"/>
        <w:rPr>
          <w:rFonts w:ascii="Times New Roman" w:eastAsia="Times New Roman" w:hAnsi="Times New Roman" w:cs="Times New Roman"/>
        </w:rPr>
      </w:pPr>
      <w:r w:rsidRPr="00180590">
        <w:rPr>
          <w:rFonts w:ascii="Times New Roman" w:eastAsia="Times New Roman" w:hAnsi="Times New Roman" w:cs="Times New Roman"/>
        </w:rPr>
        <w:t xml:space="preserve">Hoe Ee Khor, L. Rojas-Suárez (1991). Interest Rates in Mexico: The Role of Exchange Rate Expectations and International Creditworthiness. Social Science Research Network. </w:t>
      </w:r>
      <w:hyperlink r:id="rId7" w:history="1">
        <w:r w:rsidR="00995CA6" w:rsidRPr="00180590">
          <w:rPr>
            <w:rStyle w:val="Hyperlink"/>
            <w:rFonts w:ascii="Times New Roman" w:eastAsia="Times New Roman" w:hAnsi="Times New Roman" w:cs="Times New Roman"/>
          </w:rPr>
          <w:t>https://doi.org/10.2307/3867127</w:t>
        </w:r>
      </w:hyperlink>
    </w:p>
    <w:p w14:paraId="78C5EBB8" w14:textId="77777777" w:rsidR="00995CA6" w:rsidRPr="00995CA6" w:rsidRDefault="00995CA6" w:rsidP="00995CA6">
      <w:pPr>
        <w:spacing w:after="120"/>
        <w:ind w:left="720" w:hanging="720"/>
        <w:rPr>
          <w:rFonts w:ascii="Times New Roman" w:hAnsi="Times New Roman" w:cs="Times New Roman"/>
        </w:rPr>
      </w:pPr>
      <w:r w:rsidRPr="00995CA6">
        <w:rPr>
          <w:rFonts w:ascii="Times New Roman" w:hAnsi="Times New Roman" w:cs="Times New Roman"/>
        </w:rPr>
        <w:t xml:space="preserve">Bredin, D., O’Reilly, G., &amp; Stevenson, S. (2006). </w:t>
      </w:r>
      <w:r w:rsidRPr="00995CA6">
        <w:rPr>
          <w:rFonts w:ascii="Times New Roman" w:hAnsi="Times New Roman" w:cs="Times New Roman"/>
          <w:i/>
          <w:iCs/>
        </w:rPr>
        <w:t>Monetary policy and real estate investment trusts.</w:t>
      </w:r>
      <w:r w:rsidRPr="00995CA6">
        <w:rPr>
          <w:rFonts w:ascii="Times New Roman" w:hAnsi="Times New Roman" w:cs="Times New Roman"/>
        </w:rPr>
        <w:t xml:space="preserve"> Journal of Real Estate Finance and Economics.</w:t>
      </w:r>
    </w:p>
    <w:p w14:paraId="5BF0E322" w14:textId="77777777" w:rsidR="00995CA6" w:rsidRPr="00995CA6" w:rsidRDefault="00995CA6" w:rsidP="00995CA6">
      <w:pPr>
        <w:spacing w:after="120"/>
        <w:ind w:left="720" w:hanging="720"/>
        <w:rPr>
          <w:rFonts w:ascii="Times New Roman" w:hAnsi="Times New Roman" w:cs="Times New Roman"/>
        </w:rPr>
      </w:pPr>
      <w:r w:rsidRPr="00995CA6">
        <w:rPr>
          <w:rFonts w:ascii="Times New Roman" w:hAnsi="Times New Roman" w:cs="Times New Roman"/>
        </w:rPr>
        <w:t xml:space="preserve">Bredin, D., O’Reilly, G., &amp; Stevenson, S. (2011). </w:t>
      </w:r>
      <w:r w:rsidRPr="00995CA6">
        <w:rPr>
          <w:rFonts w:ascii="Times New Roman" w:hAnsi="Times New Roman" w:cs="Times New Roman"/>
          <w:i/>
          <w:iCs/>
        </w:rPr>
        <w:t>Monetary policy transmission to REIT returns: Evidence from high-frequency shocks.</w:t>
      </w:r>
      <w:r w:rsidRPr="00995CA6">
        <w:rPr>
          <w:rFonts w:ascii="Times New Roman" w:hAnsi="Times New Roman" w:cs="Times New Roman"/>
        </w:rPr>
        <w:t xml:space="preserve"> Real Estate Economics.</w:t>
      </w:r>
    </w:p>
    <w:p w14:paraId="434681C4" w14:textId="77777777" w:rsidR="00995CA6" w:rsidRPr="00995CA6" w:rsidRDefault="00995CA6" w:rsidP="00995CA6">
      <w:pPr>
        <w:spacing w:after="120"/>
        <w:ind w:left="720" w:hanging="720"/>
        <w:rPr>
          <w:rFonts w:ascii="Times New Roman" w:hAnsi="Times New Roman" w:cs="Times New Roman"/>
        </w:rPr>
      </w:pPr>
      <w:r w:rsidRPr="00995CA6">
        <w:rPr>
          <w:rFonts w:ascii="Times New Roman" w:hAnsi="Times New Roman" w:cs="Times New Roman"/>
        </w:rPr>
        <w:t xml:space="preserve">Frame, W., &amp; Steiner, E. (2018). </w:t>
      </w:r>
      <w:r w:rsidRPr="00995CA6">
        <w:rPr>
          <w:rFonts w:ascii="Times New Roman" w:hAnsi="Times New Roman" w:cs="Times New Roman"/>
          <w:i/>
          <w:iCs/>
        </w:rPr>
        <w:t>Mortgage REITs, funding fragility, and monetary policy sensitivity.</w:t>
      </w:r>
      <w:r w:rsidRPr="00995CA6">
        <w:rPr>
          <w:rFonts w:ascii="Times New Roman" w:hAnsi="Times New Roman" w:cs="Times New Roman"/>
        </w:rPr>
        <w:t xml:space="preserve"> Journal of Financial Markets.</w:t>
      </w:r>
    </w:p>
    <w:p w14:paraId="02ED240F" w14:textId="77777777" w:rsidR="00995CA6" w:rsidRPr="00995CA6" w:rsidRDefault="00995CA6" w:rsidP="00995CA6">
      <w:pPr>
        <w:spacing w:after="120"/>
        <w:ind w:left="720" w:hanging="720"/>
        <w:rPr>
          <w:rFonts w:ascii="Times New Roman" w:hAnsi="Times New Roman" w:cs="Times New Roman"/>
        </w:rPr>
      </w:pPr>
      <w:r w:rsidRPr="00995CA6">
        <w:rPr>
          <w:rFonts w:ascii="Times New Roman" w:hAnsi="Times New Roman" w:cs="Times New Roman"/>
        </w:rPr>
        <w:t xml:space="preserve">Marfatia, H. (2017). </w:t>
      </w:r>
      <w:r w:rsidRPr="00995CA6">
        <w:rPr>
          <w:rFonts w:ascii="Times New Roman" w:hAnsi="Times New Roman" w:cs="Times New Roman"/>
          <w:i/>
          <w:iCs/>
        </w:rPr>
        <w:t>The impact of U.S. monetary policy surprises on real estate investment trusts.</w:t>
      </w:r>
      <w:r w:rsidRPr="00995CA6">
        <w:rPr>
          <w:rFonts w:ascii="Times New Roman" w:hAnsi="Times New Roman" w:cs="Times New Roman"/>
        </w:rPr>
        <w:t xml:space="preserve"> Journal of International Money and Finance.</w:t>
      </w:r>
    </w:p>
    <w:p w14:paraId="7F19AB3D" w14:textId="77777777" w:rsidR="00995CA6" w:rsidRPr="00180590" w:rsidRDefault="00995CA6" w:rsidP="00A238DA">
      <w:pPr>
        <w:spacing w:after="120"/>
        <w:ind w:left="720" w:hanging="720"/>
        <w:rPr>
          <w:rFonts w:ascii="Times New Roman" w:hAnsi="Times New Roman" w:cs="Times New Roman"/>
        </w:rPr>
      </w:pPr>
    </w:p>
    <w:p w14:paraId="39D163A0" w14:textId="77777777" w:rsidR="00AF4379" w:rsidRPr="00180590" w:rsidRDefault="00AF4379">
      <w:pPr>
        <w:rPr>
          <w:rFonts w:ascii="Times New Roman" w:hAnsi="Times New Roman" w:cs="Times New Roman"/>
        </w:rPr>
      </w:pPr>
    </w:p>
    <w:sectPr w:rsidR="00AF4379" w:rsidRPr="0018059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4B32" w14:textId="77777777" w:rsidR="00FA306F" w:rsidRDefault="00FA306F" w:rsidP="00ED271A">
      <w:pPr>
        <w:spacing w:after="0" w:line="240" w:lineRule="auto"/>
      </w:pPr>
      <w:r>
        <w:separator/>
      </w:r>
    </w:p>
  </w:endnote>
  <w:endnote w:type="continuationSeparator" w:id="0">
    <w:p w14:paraId="3139FC6C" w14:textId="77777777" w:rsidR="00FA306F" w:rsidRDefault="00FA306F" w:rsidP="00ED2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479712"/>
      <w:docPartObj>
        <w:docPartGallery w:val="Page Numbers (Bottom of Page)"/>
        <w:docPartUnique/>
      </w:docPartObj>
    </w:sdtPr>
    <w:sdtEndPr>
      <w:rPr>
        <w:noProof/>
      </w:rPr>
    </w:sdtEndPr>
    <w:sdtContent>
      <w:p w14:paraId="2C9CB24F" w14:textId="402BD1DA" w:rsidR="00ED271A" w:rsidRDefault="00ED2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A53B87" w14:textId="77777777" w:rsidR="00ED271A" w:rsidRDefault="00ED2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2366" w14:textId="77777777" w:rsidR="00FA306F" w:rsidRDefault="00FA306F" w:rsidP="00ED271A">
      <w:pPr>
        <w:spacing w:after="0" w:line="240" w:lineRule="auto"/>
      </w:pPr>
      <w:r>
        <w:separator/>
      </w:r>
    </w:p>
  </w:footnote>
  <w:footnote w:type="continuationSeparator" w:id="0">
    <w:p w14:paraId="67515F8C" w14:textId="77777777" w:rsidR="00FA306F" w:rsidRDefault="00FA306F" w:rsidP="00ED2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7660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37144"/>
    <w:multiLevelType w:val="multilevel"/>
    <w:tmpl w:val="084A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79C"/>
    <w:multiLevelType w:val="multilevel"/>
    <w:tmpl w:val="1D7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91F9C"/>
    <w:multiLevelType w:val="multilevel"/>
    <w:tmpl w:val="CFA4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A70DA"/>
    <w:multiLevelType w:val="multilevel"/>
    <w:tmpl w:val="4BC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01C2F"/>
    <w:multiLevelType w:val="multilevel"/>
    <w:tmpl w:val="C1E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A77F7"/>
    <w:multiLevelType w:val="multilevel"/>
    <w:tmpl w:val="412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7793E"/>
    <w:multiLevelType w:val="multilevel"/>
    <w:tmpl w:val="49D4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5277A"/>
    <w:multiLevelType w:val="multilevel"/>
    <w:tmpl w:val="64A8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272ACF"/>
    <w:multiLevelType w:val="multilevel"/>
    <w:tmpl w:val="EC74B5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30527"/>
    <w:multiLevelType w:val="multilevel"/>
    <w:tmpl w:val="AFC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318D"/>
    <w:multiLevelType w:val="multilevel"/>
    <w:tmpl w:val="5A14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A7347"/>
    <w:multiLevelType w:val="multilevel"/>
    <w:tmpl w:val="697E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34F35"/>
    <w:multiLevelType w:val="multilevel"/>
    <w:tmpl w:val="B95E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EA5F5D"/>
    <w:multiLevelType w:val="multilevel"/>
    <w:tmpl w:val="73E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72126"/>
    <w:multiLevelType w:val="multilevel"/>
    <w:tmpl w:val="D716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362BBD"/>
    <w:multiLevelType w:val="multilevel"/>
    <w:tmpl w:val="42DC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A6342"/>
    <w:multiLevelType w:val="multilevel"/>
    <w:tmpl w:val="36FCB63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D4642"/>
    <w:multiLevelType w:val="multilevel"/>
    <w:tmpl w:val="372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4222F"/>
    <w:multiLevelType w:val="multilevel"/>
    <w:tmpl w:val="1BA0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862161"/>
    <w:multiLevelType w:val="multilevel"/>
    <w:tmpl w:val="716C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887613"/>
    <w:multiLevelType w:val="multilevel"/>
    <w:tmpl w:val="0FD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80DC0"/>
    <w:multiLevelType w:val="multilevel"/>
    <w:tmpl w:val="85D4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DF7283"/>
    <w:multiLevelType w:val="multilevel"/>
    <w:tmpl w:val="925AEF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580428"/>
    <w:multiLevelType w:val="multilevel"/>
    <w:tmpl w:val="55F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87187"/>
    <w:multiLevelType w:val="multilevel"/>
    <w:tmpl w:val="47E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71744"/>
    <w:multiLevelType w:val="multilevel"/>
    <w:tmpl w:val="988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0F1EDF"/>
    <w:multiLevelType w:val="multilevel"/>
    <w:tmpl w:val="205CD8B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792A5F"/>
    <w:multiLevelType w:val="multilevel"/>
    <w:tmpl w:val="5FD2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30A3C"/>
    <w:multiLevelType w:val="multilevel"/>
    <w:tmpl w:val="89A8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EA18FD"/>
    <w:multiLevelType w:val="multilevel"/>
    <w:tmpl w:val="9AD2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C217D"/>
    <w:multiLevelType w:val="multilevel"/>
    <w:tmpl w:val="035A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14218A"/>
    <w:multiLevelType w:val="multilevel"/>
    <w:tmpl w:val="B6BC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A0917"/>
    <w:multiLevelType w:val="multilevel"/>
    <w:tmpl w:val="CA1C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7D465B"/>
    <w:multiLevelType w:val="multilevel"/>
    <w:tmpl w:val="9DA6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6060F2"/>
    <w:multiLevelType w:val="multilevel"/>
    <w:tmpl w:val="FC1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252C60"/>
    <w:multiLevelType w:val="multilevel"/>
    <w:tmpl w:val="1E981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2B15ED"/>
    <w:multiLevelType w:val="multilevel"/>
    <w:tmpl w:val="B6E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A64A4"/>
    <w:multiLevelType w:val="multilevel"/>
    <w:tmpl w:val="69A2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787A93"/>
    <w:multiLevelType w:val="multilevel"/>
    <w:tmpl w:val="58E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42904"/>
    <w:multiLevelType w:val="multilevel"/>
    <w:tmpl w:val="7298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F63C6"/>
    <w:multiLevelType w:val="multilevel"/>
    <w:tmpl w:val="F8E2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6859F2"/>
    <w:multiLevelType w:val="multilevel"/>
    <w:tmpl w:val="A292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1A7C1E"/>
    <w:multiLevelType w:val="multilevel"/>
    <w:tmpl w:val="BAE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23BC8"/>
    <w:multiLevelType w:val="multilevel"/>
    <w:tmpl w:val="4F4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26C2F"/>
    <w:multiLevelType w:val="multilevel"/>
    <w:tmpl w:val="1B3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46774F"/>
    <w:multiLevelType w:val="multilevel"/>
    <w:tmpl w:val="D0C46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8829D7"/>
    <w:multiLevelType w:val="multilevel"/>
    <w:tmpl w:val="8B9E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619EF"/>
    <w:multiLevelType w:val="multilevel"/>
    <w:tmpl w:val="24C62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E53042"/>
    <w:multiLevelType w:val="multilevel"/>
    <w:tmpl w:val="210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C15AC"/>
    <w:multiLevelType w:val="multilevel"/>
    <w:tmpl w:val="47DC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031438"/>
    <w:multiLevelType w:val="multilevel"/>
    <w:tmpl w:val="D02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8160AA"/>
    <w:multiLevelType w:val="multilevel"/>
    <w:tmpl w:val="2AB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461F8"/>
    <w:multiLevelType w:val="multilevel"/>
    <w:tmpl w:val="8896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6E41D5"/>
    <w:multiLevelType w:val="multilevel"/>
    <w:tmpl w:val="90F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540D8"/>
    <w:multiLevelType w:val="multilevel"/>
    <w:tmpl w:val="D18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3A47C9"/>
    <w:multiLevelType w:val="multilevel"/>
    <w:tmpl w:val="6910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57700F"/>
    <w:multiLevelType w:val="multilevel"/>
    <w:tmpl w:val="9B3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A6B3A"/>
    <w:multiLevelType w:val="multilevel"/>
    <w:tmpl w:val="A55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F21A50"/>
    <w:multiLevelType w:val="multilevel"/>
    <w:tmpl w:val="542A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CF6172"/>
    <w:multiLevelType w:val="multilevel"/>
    <w:tmpl w:val="46488E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462B7A"/>
    <w:multiLevelType w:val="multilevel"/>
    <w:tmpl w:val="2BB6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740497"/>
    <w:multiLevelType w:val="multilevel"/>
    <w:tmpl w:val="A9D8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16734D"/>
    <w:multiLevelType w:val="multilevel"/>
    <w:tmpl w:val="22B0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8514A1"/>
    <w:multiLevelType w:val="multilevel"/>
    <w:tmpl w:val="1A4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27D74"/>
    <w:multiLevelType w:val="multilevel"/>
    <w:tmpl w:val="26C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22251"/>
    <w:multiLevelType w:val="multilevel"/>
    <w:tmpl w:val="6CCE93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A43EEC"/>
    <w:multiLevelType w:val="multilevel"/>
    <w:tmpl w:val="5E7AF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9C2056"/>
    <w:multiLevelType w:val="multilevel"/>
    <w:tmpl w:val="7544527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BF64FF"/>
    <w:multiLevelType w:val="multilevel"/>
    <w:tmpl w:val="A59E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DC40A9"/>
    <w:multiLevelType w:val="multilevel"/>
    <w:tmpl w:val="99D4CE1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61261F"/>
    <w:multiLevelType w:val="multilevel"/>
    <w:tmpl w:val="4D2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A72619"/>
    <w:multiLevelType w:val="multilevel"/>
    <w:tmpl w:val="71B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EB5306"/>
    <w:multiLevelType w:val="multilevel"/>
    <w:tmpl w:val="B21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4B37EA"/>
    <w:multiLevelType w:val="multilevel"/>
    <w:tmpl w:val="9924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9B0DF5"/>
    <w:multiLevelType w:val="multilevel"/>
    <w:tmpl w:val="5D4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45462E"/>
    <w:multiLevelType w:val="multilevel"/>
    <w:tmpl w:val="3AF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703050"/>
    <w:multiLevelType w:val="multilevel"/>
    <w:tmpl w:val="54B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D4560A"/>
    <w:multiLevelType w:val="hybridMultilevel"/>
    <w:tmpl w:val="2120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062C37"/>
    <w:multiLevelType w:val="multilevel"/>
    <w:tmpl w:val="C9A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FB1901"/>
    <w:multiLevelType w:val="multilevel"/>
    <w:tmpl w:val="CBC4B2E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12094D"/>
    <w:multiLevelType w:val="multilevel"/>
    <w:tmpl w:val="11FE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CA2A87"/>
    <w:multiLevelType w:val="multilevel"/>
    <w:tmpl w:val="5136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EF21B2"/>
    <w:multiLevelType w:val="multilevel"/>
    <w:tmpl w:val="E94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2A7E1D"/>
    <w:multiLevelType w:val="multilevel"/>
    <w:tmpl w:val="E91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9E5F54"/>
    <w:multiLevelType w:val="multilevel"/>
    <w:tmpl w:val="CD0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F85A9B"/>
    <w:multiLevelType w:val="multilevel"/>
    <w:tmpl w:val="7A9E6F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2B345A"/>
    <w:multiLevelType w:val="multilevel"/>
    <w:tmpl w:val="277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64032A"/>
    <w:multiLevelType w:val="multilevel"/>
    <w:tmpl w:val="224ABA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BD63E9"/>
    <w:multiLevelType w:val="multilevel"/>
    <w:tmpl w:val="45E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A45A6B"/>
    <w:multiLevelType w:val="multilevel"/>
    <w:tmpl w:val="F692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164329">
    <w:abstractNumId w:val="71"/>
  </w:num>
  <w:num w:numId="2" w16cid:durableId="1734230459">
    <w:abstractNumId w:val="83"/>
  </w:num>
  <w:num w:numId="3" w16cid:durableId="1944413340">
    <w:abstractNumId w:val="57"/>
  </w:num>
  <w:num w:numId="4" w16cid:durableId="1324890821">
    <w:abstractNumId w:val="11"/>
  </w:num>
  <w:num w:numId="5" w16cid:durableId="139427602">
    <w:abstractNumId w:val="67"/>
  </w:num>
  <w:num w:numId="6" w16cid:durableId="1754356246">
    <w:abstractNumId w:val="35"/>
  </w:num>
  <w:num w:numId="7" w16cid:durableId="576087977">
    <w:abstractNumId w:val="41"/>
  </w:num>
  <w:num w:numId="8" w16cid:durableId="1970352203">
    <w:abstractNumId w:val="15"/>
  </w:num>
  <w:num w:numId="9" w16cid:durableId="2084138004">
    <w:abstractNumId w:val="72"/>
  </w:num>
  <w:num w:numId="10" w16cid:durableId="44843092">
    <w:abstractNumId w:val="2"/>
  </w:num>
  <w:num w:numId="11" w16cid:durableId="824666992">
    <w:abstractNumId w:val="43"/>
  </w:num>
  <w:num w:numId="12" w16cid:durableId="807016242">
    <w:abstractNumId w:val="73"/>
  </w:num>
  <w:num w:numId="13" w16cid:durableId="464466551">
    <w:abstractNumId w:val="26"/>
  </w:num>
  <w:num w:numId="14" w16cid:durableId="1983346119">
    <w:abstractNumId w:val="49"/>
  </w:num>
  <w:num w:numId="15" w16cid:durableId="1955205530">
    <w:abstractNumId w:val="20"/>
  </w:num>
  <w:num w:numId="16" w16cid:durableId="1787190175">
    <w:abstractNumId w:val="81"/>
  </w:num>
  <w:num w:numId="17" w16cid:durableId="1929382475">
    <w:abstractNumId w:val="87"/>
  </w:num>
  <w:num w:numId="18" w16cid:durableId="836992454">
    <w:abstractNumId w:val="25"/>
  </w:num>
  <w:num w:numId="19" w16cid:durableId="632637404">
    <w:abstractNumId w:val="79"/>
  </w:num>
  <w:num w:numId="20" w16cid:durableId="929654078">
    <w:abstractNumId w:val="6"/>
  </w:num>
  <w:num w:numId="21" w16cid:durableId="1614939416">
    <w:abstractNumId w:val="61"/>
  </w:num>
  <w:num w:numId="22" w16cid:durableId="1185439192">
    <w:abstractNumId w:val="19"/>
  </w:num>
  <w:num w:numId="23" w16cid:durableId="1231890988">
    <w:abstractNumId w:val="10"/>
  </w:num>
  <w:num w:numId="24" w16cid:durableId="2135251667">
    <w:abstractNumId w:val="22"/>
  </w:num>
  <w:num w:numId="25" w16cid:durableId="274872590">
    <w:abstractNumId w:val="31"/>
  </w:num>
  <w:num w:numId="26" w16cid:durableId="856314822">
    <w:abstractNumId w:val="64"/>
  </w:num>
  <w:num w:numId="27" w16cid:durableId="2041279360">
    <w:abstractNumId w:val="21"/>
  </w:num>
  <w:num w:numId="28" w16cid:durableId="1596204588">
    <w:abstractNumId w:val="58"/>
  </w:num>
  <w:num w:numId="29" w16cid:durableId="41952225">
    <w:abstractNumId w:val="29"/>
  </w:num>
  <w:num w:numId="30" w16cid:durableId="1124425931">
    <w:abstractNumId w:val="0"/>
  </w:num>
  <w:num w:numId="31" w16cid:durableId="86386549">
    <w:abstractNumId w:val="78"/>
  </w:num>
  <w:num w:numId="32" w16cid:durableId="208954888">
    <w:abstractNumId w:val="33"/>
  </w:num>
  <w:num w:numId="33" w16cid:durableId="93062474">
    <w:abstractNumId w:val="9"/>
  </w:num>
  <w:num w:numId="34" w16cid:durableId="520242320">
    <w:abstractNumId w:val="17"/>
  </w:num>
  <w:num w:numId="35" w16cid:durableId="546339553">
    <w:abstractNumId w:val="80"/>
  </w:num>
  <w:num w:numId="36" w16cid:durableId="1243488697">
    <w:abstractNumId w:val="4"/>
  </w:num>
  <w:num w:numId="37" w16cid:durableId="772742777">
    <w:abstractNumId w:val="90"/>
  </w:num>
  <w:num w:numId="38" w16cid:durableId="1348093567">
    <w:abstractNumId w:val="50"/>
  </w:num>
  <w:num w:numId="39" w16cid:durableId="1205480161">
    <w:abstractNumId w:val="37"/>
  </w:num>
  <w:num w:numId="40" w16cid:durableId="533271827">
    <w:abstractNumId w:val="44"/>
  </w:num>
  <w:num w:numId="41" w16cid:durableId="1059983802">
    <w:abstractNumId w:val="30"/>
  </w:num>
  <w:num w:numId="42" w16cid:durableId="1049303692">
    <w:abstractNumId w:val="53"/>
  </w:num>
  <w:num w:numId="43" w16cid:durableId="398134180">
    <w:abstractNumId w:val="89"/>
  </w:num>
  <w:num w:numId="44" w16cid:durableId="691301468">
    <w:abstractNumId w:val="56"/>
  </w:num>
  <w:num w:numId="45" w16cid:durableId="1162814210">
    <w:abstractNumId w:val="3"/>
  </w:num>
  <w:num w:numId="46" w16cid:durableId="949430967">
    <w:abstractNumId w:val="40"/>
  </w:num>
  <w:num w:numId="47" w16cid:durableId="1926574943">
    <w:abstractNumId w:val="65"/>
  </w:num>
  <w:num w:numId="48" w16cid:durableId="1155491945">
    <w:abstractNumId w:val="13"/>
  </w:num>
  <w:num w:numId="49" w16cid:durableId="433718968">
    <w:abstractNumId w:val="69"/>
  </w:num>
  <w:num w:numId="50" w16cid:durableId="984314558">
    <w:abstractNumId w:val="1"/>
  </w:num>
  <w:num w:numId="51" w16cid:durableId="1919827029">
    <w:abstractNumId w:val="38"/>
  </w:num>
  <w:num w:numId="52" w16cid:durableId="792483326">
    <w:abstractNumId w:val="59"/>
  </w:num>
  <w:num w:numId="53" w16cid:durableId="1984698396">
    <w:abstractNumId w:val="55"/>
  </w:num>
  <w:num w:numId="54" w16cid:durableId="1450511433">
    <w:abstractNumId w:val="16"/>
  </w:num>
  <w:num w:numId="55" w16cid:durableId="1474448721">
    <w:abstractNumId w:val="18"/>
  </w:num>
  <w:num w:numId="56" w16cid:durableId="829902537">
    <w:abstractNumId w:val="77"/>
  </w:num>
  <w:num w:numId="57" w16cid:durableId="807358775">
    <w:abstractNumId w:val="63"/>
  </w:num>
  <w:num w:numId="58" w16cid:durableId="661548117">
    <w:abstractNumId w:val="82"/>
  </w:num>
  <w:num w:numId="59" w16cid:durableId="2128813022">
    <w:abstractNumId w:val="52"/>
  </w:num>
  <w:num w:numId="60" w16cid:durableId="1926257912">
    <w:abstractNumId w:val="48"/>
  </w:num>
  <w:num w:numId="61" w16cid:durableId="1230381240">
    <w:abstractNumId w:val="74"/>
  </w:num>
  <w:num w:numId="62" w16cid:durableId="374428050">
    <w:abstractNumId w:val="85"/>
  </w:num>
  <w:num w:numId="63" w16cid:durableId="1311135617">
    <w:abstractNumId w:val="24"/>
  </w:num>
  <w:num w:numId="64" w16cid:durableId="875852861">
    <w:abstractNumId w:val="45"/>
  </w:num>
  <w:num w:numId="65" w16cid:durableId="1867909957">
    <w:abstractNumId w:val="7"/>
  </w:num>
  <w:num w:numId="66" w16cid:durableId="490020734">
    <w:abstractNumId w:val="8"/>
  </w:num>
  <w:num w:numId="67" w16cid:durableId="1083840701">
    <w:abstractNumId w:val="62"/>
  </w:num>
  <w:num w:numId="68" w16cid:durableId="1266114139">
    <w:abstractNumId w:val="39"/>
  </w:num>
  <w:num w:numId="69" w16cid:durableId="1636175439">
    <w:abstractNumId w:val="12"/>
  </w:num>
  <w:num w:numId="70" w16cid:durableId="206571554">
    <w:abstractNumId w:val="28"/>
  </w:num>
  <w:num w:numId="71" w16cid:durableId="562839021">
    <w:abstractNumId w:val="14"/>
  </w:num>
  <w:num w:numId="72" w16cid:durableId="1466848539">
    <w:abstractNumId w:val="84"/>
  </w:num>
  <w:num w:numId="73" w16cid:durableId="769160433">
    <w:abstractNumId w:val="51"/>
  </w:num>
  <w:num w:numId="74" w16cid:durableId="1280835982">
    <w:abstractNumId w:val="5"/>
  </w:num>
  <w:num w:numId="75" w16cid:durableId="1288051662">
    <w:abstractNumId w:val="54"/>
  </w:num>
  <w:num w:numId="76" w16cid:durableId="1053693794">
    <w:abstractNumId w:val="76"/>
  </w:num>
  <w:num w:numId="77" w16cid:durableId="1862892902">
    <w:abstractNumId w:val="42"/>
  </w:num>
  <w:num w:numId="78" w16cid:durableId="2026903540">
    <w:abstractNumId w:val="34"/>
  </w:num>
  <w:num w:numId="79" w16cid:durableId="901015071">
    <w:abstractNumId w:val="23"/>
  </w:num>
  <w:num w:numId="80" w16cid:durableId="1070231244">
    <w:abstractNumId w:val="88"/>
  </w:num>
  <w:num w:numId="81" w16cid:durableId="763379094">
    <w:abstractNumId w:val="68"/>
  </w:num>
  <w:num w:numId="82" w16cid:durableId="1483740588">
    <w:abstractNumId w:val="66"/>
  </w:num>
  <w:num w:numId="83" w16cid:durableId="634142364">
    <w:abstractNumId w:val="32"/>
  </w:num>
  <w:num w:numId="84" w16cid:durableId="490944395">
    <w:abstractNumId w:val="47"/>
  </w:num>
  <w:num w:numId="85" w16cid:durableId="479468591">
    <w:abstractNumId w:val="27"/>
  </w:num>
  <w:num w:numId="86" w16cid:durableId="488179614">
    <w:abstractNumId w:val="75"/>
  </w:num>
  <w:num w:numId="87" w16cid:durableId="831917240">
    <w:abstractNumId w:val="46"/>
  </w:num>
  <w:num w:numId="88" w16cid:durableId="372510863">
    <w:abstractNumId w:val="36"/>
  </w:num>
  <w:num w:numId="89" w16cid:durableId="50615363">
    <w:abstractNumId w:val="86"/>
  </w:num>
  <w:num w:numId="90" w16cid:durableId="1972862669">
    <w:abstractNumId w:val="70"/>
  </w:num>
  <w:num w:numId="91" w16cid:durableId="145439718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F1"/>
    <w:rsid w:val="000A567A"/>
    <w:rsid w:val="000B3498"/>
    <w:rsid w:val="00155DBB"/>
    <w:rsid w:val="00180590"/>
    <w:rsid w:val="001A5251"/>
    <w:rsid w:val="00216513"/>
    <w:rsid w:val="00223B74"/>
    <w:rsid w:val="00294593"/>
    <w:rsid w:val="002A5401"/>
    <w:rsid w:val="002E0262"/>
    <w:rsid w:val="002E286B"/>
    <w:rsid w:val="003021F9"/>
    <w:rsid w:val="003742E5"/>
    <w:rsid w:val="00402703"/>
    <w:rsid w:val="004B0315"/>
    <w:rsid w:val="005104E5"/>
    <w:rsid w:val="00573D2A"/>
    <w:rsid w:val="005A0038"/>
    <w:rsid w:val="005F2900"/>
    <w:rsid w:val="00716E18"/>
    <w:rsid w:val="00766BAD"/>
    <w:rsid w:val="00797A84"/>
    <w:rsid w:val="007A0B1C"/>
    <w:rsid w:val="007C0D30"/>
    <w:rsid w:val="007D5BC9"/>
    <w:rsid w:val="00865A21"/>
    <w:rsid w:val="00866804"/>
    <w:rsid w:val="00896056"/>
    <w:rsid w:val="00920634"/>
    <w:rsid w:val="00995CA6"/>
    <w:rsid w:val="009963F1"/>
    <w:rsid w:val="009B51BE"/>
    <w:rsid w:val="00A238DA"/>
    <w:rsid w:val="00A468D2"/>
    <w:rsid w:val="00A9118A"/>
    <w:rsid w:val="00AF2F25"/>
    <w:rsid w:val="00AF4379"/>
    <w:rsid w:val="00B13F6A"/>
    <w:rsid w:val="00B4073A"/>
    <w:rsid w:val="00BB0350"/>
    <w:rsid w:val="00C564FC"/>
    <w:rsid w:val="00D97F39"/>
    <w:rsid w:val="00DB38E5"/>
    <w:rsid w:val="00DB3B85"/>
    <w:rsid w:val="00DF4CD4"/>
    <w:rsid w:val="00E112F5"/>
    <w:rsid w:val="00E1641F"/>
    <w:rsid w:val="00E753F1"/>
    <w:rsid w:val="00E95D61"/>
    <w:rsid w:val="00EB717A"/>
    <w:rsid w:val="00ED271A"/>
    <w:rsid w:val="00F3422E"/>
    <w:rsid w:val="00F81F3B"/>
    <w:rsid w:val="00FA306F"/>
    <w:rsid w:val="00FF5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4D96"/>
  <w15:chartTrackingRefBased/>
  <w15:docId w15:val="{05644110-3981-43E7-A6D5-BF5F54C7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3F1"/>
    <w:rPr>
      <w:rFonts w:eastAsiaTheme="majorEastAsia" w:cstheme="majorBidi"/>
      <w:color w:val="272727" w:themeColor="text1" w:themeTint="D8"/>
    </w:rPr>
  </w:style>
  <w:style w:type="paragraph" w:styleId="Title">
    <w:name w:val="Title"/>
    <w:basedOn w:val="Normal"/>
    <w:next w:val="Normal"/>
    <w:link w:val="TitleChar"/>
    <w:uiPriority w:val="10"/>
    <w:qFormat/>
    <w:rsid w:val="0099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3F1"/>
    <w:pPr>
      <w:spacing w:before="160"/>
      <w:jc w:val="center"/>
    </w:pPr>
    <w:rPr>
      <w:i/>
      <w:iCs/>
      <w:color w:val="404040" w:themeColor="text1" w:themeTint="BF"/>
    </w:rPr>
  </w:style>
  <w:style w:type="character" w:customStyle="1" w:styleId="QuoteChar">
    <w:name w:val="Quote Char"/>
    <w:basedOn w:val="DefaultParagraphFont"/>
    <w:link w:val="Quote"/>
    <w:uiPriority w:val="29"/>
    <w:rsid w:val="009963F1"/>
    <w:rPr>
      <w:i/>
      <w:iCs/>
      <w:color w:val="404040" w:themeColor="text1" w:themeTint="BF"/>
    </w:rPr>
  </w:style>
  <w:style w:type="paragraph" w:styleId="ListParagraph">
    <w:name w:val="List Paragraph"/>
    <w:basedOn w:val="Normal"/>
    <w:uiPriority w:val="34"/>
    <w:qFormat/>
    <w:rsid w:val="009963F1"/>
    <w:pPr>
      <w:ind w:left="720"/>
      <w:contextualSpacing/>
    </w:pPr>
  </w:style>
  <w:style w:type="character" w:styleId="IntenseEmphasis">
    <w:name w:val="Intense Emphasis"/>
    <w:basedOn w:val="DefaultParagraphFont"/>
    <w:uiPriority w:val="21"/>
    <w:qFormat/>
    <w:rsid w:val="009963F1"/>
    <w:rPr>
      <w:i/>
      <w:iCs/>
      <w:color w:val="0F4761" w:themeColor="accent1" w:themeShade="BF"/>
    </w:rPr>
  </w:style>
  <w:style w:type="paragraph" w:styleId="IntenseQuote">
    <w:name w:val="Intense Quote"/>
    <w:basedOn w:val="Normal"/>
    <w:next w:val="Normal"/>
    <w:link w:val="IntenseQuoteChar"/>
    <w:uiPriority w:val="30"/>
    <w:qFormat/>
    <w:rsid w:val="00996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3F1"/>
    <w:rPr>
      <w:i/>
      <w:iCs/>
      <w:color w:val="0F4761" w:themeColor="accent1" w:themeShade="BF"/>
    </w:rPr>
  </w:style>
  <w:style w:type="character" w:styleId="IntenseReference">
    <w:name w:val="Intense Reference"/>
    <w:basedOn w:val="DefaultParagraphFont"/>
    <w:uiPriority w:val="32"/>
    <w:qFormat/>
    <w:rsid w:val="009963F1"/>
    <w:rPr>
      <w:b/>
      <w:bCs/>
      <w:smallCaps/>
      <w:color w:val="0F4761" w:themeColor="accent1" w:themeShade="BF"/>
      <w:spacing w:val="5"/>
    </w:rPr>
  </w:style>
  <w:style w:type="paragraph" w:styleId="ListBullet">
    <w:name w:val="List Bullet"/>
    <w:basedOn w:val="Normal"/>
    <w:uiPriority w:val="99"/>
    <w:unhideWhenUsed/>
    <w:rsid w:val="00EB717A"/>
    <w:pPr>
      <w:numPr>
        <w:numId w:val="30"/>
      </w:numPr>
      <w:tabs>
        <w:tab w:val="clear" w:pos="360"/>
      </w:tabs>
      <w:spacing w:after="200" w:line="276" w:lineRule="auto"/>
      <w:ind w:left="0" w:firstLine="0"/>
      <w:contextualSpacing/>
    </w:pPr>
    <w:rPr>
      <w:kern w:val="0"/>
      <w:sz w:val="22"/>
      <w:szCs w:val="22"/>
      <w:lang w:eastAsia="en-US"/>
      <w14:ligatures w14:val="none"/>
    </w:rPr>
  </w:style>
  <w:style w:type="paragraph" w:styleId="Header">
    <w:name w:val="header"/>
    <w:basedOn w:val="Normal"/>
    <w:link w:val="HeaderChar"/>
    <w:uiPriority w:val="99"/>
    <w:unhideWhenUsed/>
    <w:rsid w:val="00ED2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71A"/>
  </w:style>
  <w:style w:type="paragraph" w:styleId="Footer">
    <w:name w:val="footer"/>
    <w:basedOn w:val="Normal"/>
    <w:link w:val="FooterChar"/>
    <w:uiPriority w:val="99"/>
    <w:unhideWhenUsed/>
    <w:rsid w:val="00ED27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71A"/>
  </w:style>
  <w:style w:type="character" w:styleId="Hyperlink">
    <w:name w:val="Hyperlink"/>
    <w:basedOn w:val="DefaultParagraphFont"/>
    <w:uiPriority w:val="99"/>
    <w:unhideWhenUsed/>
    <w:rsid w:val="00995CA6"/>
    <w:rPr>
      <w:color w:val="467886" w:themeColor="hyperlink"/>
      <w:u w:val="single"/>
    </w:rPr>
  </w:style>
  <w:style w:type="character" w:styleId="UnresolvedMention">
    <w:name w:val="Unresolved Mention"/>
    <w:basedOn w:val="DefaultParagraphFont"/>
    <w:uiPriority w:val="99"/>
    <w:semiHidden/>
    <w:unhideWhenUsed/>
    <w:rsid w:val="00995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2307/38671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41</Pages>
  <Words>13320</Words>
  <Characters>75926</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zhang</dc:creator>
  <cp:keywords/>
  <dc:description/>
  <cp:lastModifiedBy>eileen zhang</cp:lastModifiedBy>
  <cp:revision>27</cp:revision>
  <dcterms:created xsi:type="dcterms:W3CDTF">2025-11-30T05:46:00Z</dcterms:created>
  <dcterms:modified xsi:type="dcterms:W3CDTF">2026-03-02T08:12:00Z</dcterms:modified>
</cp:coreProperties>
</file>