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5a3ba5c20f501c840ef1807771db1ea910d07e4"/>
    <w:p>
      <w:pPr>
        <w:pStyle w:val="Heading1"/>
      </w:pPr>
      <w:r>
        <w:t xml:space="preserve">Research Plan: Monetary Policy Announcements, Asset Prices, and Portfolio Reallocation</w:t>
      </w:r>
    </w:p>
    <w:bookmarkStart w:id="20" w:name="X92f7cf2ee2164327e0cced0d698ab5368ce5795"/>
    <w:p>
      <w:pPr>
        <w:pStyle w:val="Heading2"/>
      </w:pPr>
      <w:r>
        <w:t xml:space="preserve">基于文献综述 + Monetary Policy Research Lab 平台的跨学科研究规划</w:t>
      </w:r>
    </w:p>
    <w:p>
      <w:r>
        <w:pict>
          <v:rect style="width:0;height:1.5pt" o:hralign="center" o:hrstd="t" o:hr="t"/>
        </w:pict>
      </w:r>
    </w:p>
    <w:bookmarkEnd w:id="20"/>
    <w:bookmarkStart w:id="21" w:name="研究全景图"/>
    <w:p>
      <w:pPr>
        <w:pStyle w:val="Heading2"/>
      </w:pPr>
      <w:r>
        <w:t xml:space="preserve">研究全景图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Monetary Policy Research Lab   │</w:t>
      </w:r>
      <w:r>
        <w:br/>
      </w:r>
      <w:r>
        <w:rPr>
          <w:rStyle w:val="VerbatimChar"/>
        </w:rPr>
        <w:t xml:space="preserve">                    │   (Computational Platform)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│                    │                    │</w:t>
      </w:r>
      <w:r>
        <w:br/>
      </w:r>
      <w:r>
        <w:rPr>
          <w:rStyle w:val="VerbatimChar"/>
        </w:rPr>
        <w:t xml:space="preserve">   ┌──────▼──────┐    ┌───────▼───────┐    ┌───────▼───────┐</w:t>
      </w:r>
      <w:r>
        <w:br/>
      </w:r>
      <w:r>
        <w:rPr>
          <w:rStyle w:val="VerbatimChar"/>
        </w:rPr>
        <w:t xml:space="preserve">   │  Economics  │    │   Fintech     │    │ Communication │</w:t>
      </w:r>
      <w:r>
        <w:br/>
      </w:r>
      <w:r>
        <w:rPr>
          <w:rStyle w:val="VerbatimChar"/>
        </w:rPr>
        <w:t xml:space="preserve">   │  &amp; Finance  │    │   &amp; AI/ML     │    │ &amp; Journalism  │</w:t>
      </w:r>
      <w:r>
        <w:br/>
      </w:r>
      <w:r>
        <w:rPr>
          <w:rStyle w:val="VerbatimChar"/>
        </w:rPr>
        <w:t xml:space="preserve">   └──────┬──────┘    └───────┬───────┘    └───────┬───────┘</w:t>
      </w:r>
      <w:r>
        <w:br/>
      </w:r>
      <w:r>
        <w:rPr>
          <w:rStyle w:val="VerbatimChar"/>
        </w:rPr>
        <w:t xml:space="preserve">          │                    │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4 Research Directions         │</w:t>
      </w:r>
      <w:r>
        <w:br/>
      </w:r>
      <w:r>
        <w:rPr>
          <w:rStyle w:val="VerbatimChar"/>
        </w:rPr>
        <w:t xml:space="preserve">                    │    (Theory + Platform + Output)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7" w:name="X644b4b34f2373d398bc616dc34d24f272b117d5"/>
    <w:p>
      <w:pPr>
        <w:pStyle w:val="Heading2"/>
      </w:pPr>
      <w:r>
        <w:t xml:space="preserve">Research Direction 1: The Information Content of Central Bank Communication</w:t>
      </w:r>
    </w:p>
    <w:bookmarkStart w:id="22" w:name="核心问题"/>
    <w:p>
      <w:pPr>
        <w:pStyle w:val="Heading3"/>
      </w:pPr>
      <w:r>
        <w:t xml:space="preserve">核心问题</w:t>
      </w:r>
    </w:p>
    <w:p>
      <w:pPr>
        <w:pStyle w:val="FirstParagraph"/>
      </w:pPr>
      <w:r>
        <w:t xml:space="preserve">FOMC 声明的</w:t>
      </w:r>
      <w:r>
        <w:rPr>
          <w:b/>
          <w:bCs/>
        </w:rPr>
        <w:t xml:space="preserve">语言特征</w:t>
      </w:r>
      <w:r>
        <w:t xml:space="preserve">（措辞、情绪、模糊度）是否包含超越利率决策本身的增量信息？市场如何解读这些语言信号？</w:t>
      </w:r>
    </w:p>
    <w:bookmarkEnd w:id="22"/>
    <w:bookmarkStart w:id="23" w:name="理论支撑"/>
    <w:p>
      <w:pPr>
        <w:pStyle w:val="Heading3"/>
      </w:pPr>
      <w:r>
        <w:t xml:space="preserve">理论支撑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Inattention (Sims, 2003)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投资者注意力有限，只处理部分信息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解释为何同一声明不同投资者解读不同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Signaling Theory (Spence, 1973)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央行通过声明发送未来政策的信号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声明语言是信号载体，利率决策是行动载体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金融科技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Sentiment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文本情绪可量化为数值指标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平台的 FOMC Sentiment 模块直接实现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传播学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Framing Theory (Entman, 1993)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同一事实的不同框架导致不同解读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dependent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patient</w:t>
            </w:r>
            <w:r>
              <w:t xml:space="preserve">”</w:t>
            </w:r>
            <w:r>
              <w:t xml:space="preserve"> </w:t>
            </w:r>
            <w:r>
              <w:t xml:space="preserve">等措辞是框架操作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新闻学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Second-Level Agenda-Setting (McCombs, 1997)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媒体不仅告诉公众”想什么”，还告诉”怎么想”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财经媒体对 FOMC 声明的二次框架化</w:t>
            </w:r>
          </w:p>
        </w:tc>
      </w:tr>
    </w:tbl>
    <w:bookmarkEnd w:id="23"/>
    <w:bookmarkStart w:id="24" w:name="平台支撑"/>
    <w:p>
      <w:pPr>
        <w:pStyle w:val="Heading3"/>
      </w:pPr>
      <w:r>
        <w:t xml:space="preserve">平台支撑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FOMC Sentiment Analysis</w:t>
      </w:r>
      <w:r>
        <w:t xml:space="preserve">: 对历史 FOMC 声明做 NLP 情绪分析，量化 hawkish/dovish 程度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Study Engine</w:t>
      </w:r>
      <w:r>
        <w:t xml:space="preserve">: 将情绪分数作为 surprise 变量，检验其对资产价格的解释力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Two-Shocks Decomposition</w:t>
      </w:r>
      <w:r>
        <w:t xml:space="preserve">: 检验语言情绪是否与 information shock 相关</w:t>
      </w:r>
    </w:p>
    <w:bookmarkEnd w:id="24"/>
    <w:bookmarkStart w:id="25" w:name="研究设计"/>
    <w:p>
      <w:pPr>
        <w:pStyle w:val="Heading3"/>
      </w:pPr>
      <w:r>
        <w:t xml:space="preserve">研究设计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数据</w:t>
      </w:r>
      <w:r>
        <w:t xml:space="preserve">: 1994-2025 全部 FOMC 声明文本 + FRED 高频资产价格数据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方法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FinBERT/ChatGPT 对声明做情绪打分</w:t>
      </w:r>
    </w:p>
    <w:p>
      <w:pPr>
        <w:pStyle w:val="Compact"/>
        <w:numPr>
          <w:ilvl w:val="1"/>
          <w:numId w:val="1003"/>
        </w:numPr>
      </w:pPr>
      <w:r>
        <w:t xml:space="preserve">将情绪分数与 Kuttner surprise 做 OLS 回归，检验增量解释力</w:t>
      </w:r>
    </w:p>
    <w:p>
      <w:pPr>
        <w:pStyle w:val="Compact"/>
        <w:numPr>
          <w:ilvl w:val="1"/>
          <w:numId w:val="1003"/>
        </w:numPr>
      </w:pPr>
      <w:r>
        <w:t xml:space="preserve">用 Two-Shocks 框架检验：情绪变化是否对应 information shock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预期贡献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量化央行沟通的”语言溢价”（linguistic premium）</w:t>
      </w:r>
    </w:p>
    <w:p>
      <w:pPr>
        <w:pStyle w:val="Compact"/>
        <w:numPr>
          <w:ilvl w:val="1"/>
          <w:numId w:val="1004"/>
        </w:numPr>
      </w:pPr>
      <w:r>
        <w:t xml:space="preserve">为央行沟通策略提供实证依据</w:t>
      </w:r>
    </w:p>
    <w:bookmarkEnd w:id="25"/>
    <w:bookmarkStart w:id="26" w:name="可发表期刊"/>
    <w:p>
      <w:pPr>
        <w:pStyle w:val="Heading3"/>
      </w:pPr>
      <w:r>
        <w:t xml:space="preserve">可发表期刊</w:t>
      </w:r>
    </w:p>
    <w:p>
      <w:pPr>
        <w:pStyle w:val="Compact"/>
        <w:numPr>
          <w:ilvl w:val="0"/>
          <w:numId w:val="1005"/>
        </w:numPr>
      </w:pPr>
      <w:r>
        <w:t xml:space="preserve">Journal of Monetary Economics</w:t>
      </w:r>
    </w:p>
    <w:p>
      <w:pPr>
        <w:pStyle w:val="Compact"/>
        <w:numPr>
          <w:ilvl w:val="0"/>
          <w:numId w:val="1005"/>
        </w:numPr>
      </w:pPr>
      <w:r>
        <w:t xml:space="preserve">Journal of Financial Economics</w:t>
      </w:r>
    </w:p>
    <w:p>
      <w:pPr>
        <w:pStyle w:val="Compact"/>
        <w:numPr>
          <w:ilvl w:val="0"/>
          <w:numId w:val="1005"/>
        </w:numPr>
      </w:pPr>
      <w:r>
        <w:t xml:space="preserve">International Journal of Central Banking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00f443f556674f7741ae0e3e6901b778a1027b3"/>
    <w:p>
      <w:pPr>
        <w:pStyle w:val="Heading2"/>
      </w:pPr>
      <w:r>
        <w:t xml:space="preserve">Research Direction 2: Portfolio Rebalancing and Cross-Asset Contagion</w:t>
      </w:r>
    </w:p>
    <w:bookmarkStart w:id="28" w:name="核心问题-1"/>
    <w:p>
      <w:pPr>
        <w:pStyle w:val="Heading3"/>
      </w:pPr>
      <w:r>
        <w:t xml:space="preserve">核心问题</w:t>
      </w:r>
    </w:p>
    <w:p>
      <w:pPr>
        <w:pStyle w:val="FirstParagraph"/>
      </w:pPr>
      <w:r>
        <w:t xml:space="preserve">货币政策公告后，投资者的</w:t>
      </w:r>
      <w:r>
        <w:rPr>
          <w:b/>
          <w:bCs/>
        </w:rPr>
        <w:t xml:space="preserve">跨资产再平衡行为</w:t>
      </w:r>
      <w:r>
        <w:t xml:space="preserve">如何产生传染效应？这种效应在不同市场状态下有何差异？</w:t>
      </w:r>
    </w:p>
    <w:bookmarkEnd w:id="28"/>
    <w:bookmarkStart w:id="29" w:name="理论支撑-1"/>
    <w:p>
      <w:pPr>
        <w:pStyle w:val="Heading3"/>
      </w:pPr>
      <w:r>
        <w:t xml:space="preserve">理论支撑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Balance Channel (Tobin, 1969)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货币政策改变资产相对供给，迫使再平衡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解释跨资产联动的根本机制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Risk-Taking Channel (Borio &amp; Zhu, 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宽松政策鼓励追逐收益，压缩风险溢价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解释为何 QE 后所有资产都涨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金融科技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Contagion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资产间关联网络中的风险传播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量化跨资产传染的路径和强度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传播学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Amplification of Risk (Kasperson, 1988)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风险信号通过社会网络被放大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投资者间的信息传播放大初始冲击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新闻学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Cascade Theory (Bikhchandani, 1992)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个体忽略私有信息，跟随前人行动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解释公告后的”羊群效应”</w:t>
            </w:r>
          </w:p>
        </w:tc>
      </w:tr>
    </w:tbl>
    <w:bookmarkEnd w:id="29"/>
    <w:bookmarkStart w:id="30" w:name="平台支撑-1"/>
    <w:p>
      <w:pPr>
        <w:pStyle w:val="Heading3"/>
      </w:pPr>
      <w:r>
        <w:t xml:space="preserve">平台支撑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Capital Flow Analysis</w:t>
      </w:r>
      <w:r>
        <w:t xml:space="preserve">: 跨资产类别流动分析（equity/bond/commodity/FX）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 Study Engine</w:t>
      </w:r>
      <w:r>
        <w:t xml:space="preserve">: 不同资产类别对同一 surprise 的差异化反应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Explorer</w:t>
      </w:r>
      <w:r>
        <w:t xml:space="preserve">: FRED 32 个经济指标，构建多维度资产面板</w:t>
      </w:r>
    </w:p>
    <w:bookmarkEnd w:id="30"/>
    <w:bookmarkStart w:id="31" w:name="研究设计-1"/>
    <w:p>
      <w:pPr>
        <w:pStyle w:val="Heading3"/>
      </w:pPr>
      <w:r>
        <w:t xml:space="preserve">研究设计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数据</w:t>
      </w:r>
      <w:r>
        <w:t xml:space="preserve">: FOMC 公告日前后 ±5 天的多资产高频数据（equity/bond/commodity/FX）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方法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构建资产间动态条件相关系数（DCC-GARCH）</w:t>
      </w:r>
    </w:p>
    <w:p>
      <w:pPr>
        <w:pStyle w:val="Compact"/>
        <w:numPr>
          <w:ilvl w:val="1"/>
          <w:numId w:val="1008"/>
        </w:numPr>
      </w:pPr>
      <w:r>
        <w:t xml:space="preserve">用网络分析（minimum spanning tree）识别核心-边缘资产结构</w:t>
      </w:r>
    </w:p>
    <w:p>
      <w:pPr>
        <w:pStyle w:val="Compact"/>
        <w:numPr>
          <w:ilvl w:val="1"/>
          <w:numId w:val="1008"/>
        </w:numPr>
      </w:pPr>
      <w:r>
        <w:t xml:space="preserve">按市场状态（VIX 高/低、recession/expansion）分组比较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预期贡献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揭示货币政策公告后的跨资产传染路径</w:t>
      </w:r>
    </w:p>
    <w:p>
      <w:pPr>
        <w:pStyle w:val="Compact"/>
        <w:numPr>
          <w:ilvl w:val="1"/>
          <w:numId w:val="1009"/>
        </w:numPr>
      </w:pPr>
      <w:r>
        <w:t xml:space="preserve">识别”系统性重要资产”（systemically important assets）</w:t>
      </w:r>
    </w:p>
    <w:p>
      <w:pPr>
        <w:pStyle w:val="Compact"/>
        <w:numPr>
          <w:ilvl w:val="1"/>
          <w:numId w:val="1009"/>
        </w:numPr>
      </w:pPr>
      <w:r>
        <w:t xml:space="preserve">为宏观审慎政策提供参考</w:t>
      </w:r>
    </w:p>
    <w:bookmarkEnd w:id="31"/>
    <w:bookmarkStart w:id="32" w:name="可发表期刊-1"/>
    <w:p>
      <w:pPr>
        <w:pStyle w:val="Heading3"/>
      </w:pPr>
      <w:r>
        <w:t xml:space="preserve">可发表期刊</w:t>
      </w:r>
    </w:p>
    <w:p>
      <w:pPr>
        <w:pStyle w:val="Compact"/>
        <w:numPr>
          <w:ilvl w:val="0"/>
          <w:numId w:val="1010"/>
        </w:numPr>
      </w:pPr>
      <w:r>
        <w:t xml:space="preserve">Journal of Finance</w:t>
      </w:r>
    </w:p>
    <w:p>
      <w:pPr>
        <w:pStyle w:val="Compact"/>
        <w:numPr>
          <w:ilvl w:val="0"/>
          <w:numId w:val="1010"/>
        </w:numPr>
      </w:pPr>
      <w:r>
        <w:t xml:space="preserve">Review of Financial Studies</w:t>
      </w:r>
    </w:p>
    <w:p>
      <w:pPr>
        <w:pStyle w:val="Compact"/>
        <w:numPr>
          <w:ilvl w:val="0"/>
          <w:numId w:val="1010"/>
        </w:numPr>
      </w:pPr>
      <w:r>
        <w:t xml:space="preserve">Journal of International Money and Finance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f88e54f11224a69c6d4a085b1ff0f27739deae4"/>
    <w:p>
      <w:pPr>
        <w:pStyle w:val="Heading2"/>
      </w:pPr>
      <w:r>
        <w:t xml:space="preserve">Research Direction 3: Media Amplification and the Social Transmission of Monetary Policy</w:t>
      </w:r>
    </w:p>
    <w:bookmarkStart w:id="34" w:name="核心问题-2"/>
    <w:p>
      <w:pPr>
        <w:pStyle w:val="Heading3"/>
      </w:pPr>
      <w:r>
        <w:t xml:space="preserve">核心问题</w:t>
      </w:r>
    </w:p>
    <w:p>
      <w:pPr>
        <w:pStyle w:val="FirstParagraph"/>
      </w:pPr>
      <w:r>
        <w:t xml:space="preserve">财经媒体和社交媒体如何</w:t>
      </w:r>
      <w:r>
        <w:rPr>
          <w:b/>
          <w:bCs/>
        </w:rPr>
        <w:t xml:space="preserve">放大或扭曲</w:t>
      </w:r>
      <w:r>
        <w:t xml:space="preserve">货币政策公告的市场影响？这种放大效应是否可预测？</w:t>
      </w:r>
    </w:p>
    <w:bookmarkEnd w:id="34"/>
    <w:bookmarkStart w:id="35" w:name="理论支撑-2"/>
    <w:p>
      <w:pPr>
        <w:pStyle w:val="Heading3"/>
      </w:pPr>
      <w:r>
        <w:t xml:space="preserve">理论支撑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Trader Risk (De Long et al., 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非理性交易者引入额外波动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媒体驱动的噪声交易放大价格反应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金融科技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社交媒体数据可预测市场情绪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Twitter/Reddit 数据作为情绪代理变量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新闻学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Framing &amp; Priming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新闻框架影响受众对事件的归因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Fed hikes rates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Fed fights inflation</w:t>
            </w:r>
            <w:r>
              <w:t xml:space="preserve">”</w:t>
            </w:r>
            <w:r>
              <w:t xml:space="preserve"> </w:t>
            </w:r>
            <w:r>
              <w:t xml:space="preserve">不同框架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传播学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Two-Step Flow of Communication (Katz, 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信息从媒体→意见领袖→公众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金融分析师/财经KOL是中间节点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传播学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Spiral of Silence (Noelle-Neumann, 1974)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多数意见压制少数意见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市场共识形成过程中的信息损失</w:t>
            </w:r>
          </w:p>
        </w:tc>
      </w:tr>
    </w:tbl>
    <w:bookmarkEnd w:id="35"/>
    <w:bookmarkStart w:id="36" w:name="平台支撑-2"/>
    <w:p>
      <w:pPr>
        <w:pStyle w:val="Heading3"/>
      </w:pPr>
      <w:r>
        <w:t xml:space="preserve">平台支撑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FOMC Sentiment Analysis</w:t>
      </w:r>
      <w:r>
        <w:t xml:space="preserve">: 量化原始声明的情绪基线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Event Study Engine</w:t>
      </w:r>
      <w:r>
        <w:t xml:space="preserve">: 检验媒体覆盖强度对价格反应的调节效应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Explorer</w:t>
      </w:r>
      <w:r>
        <w:t xml:space="preserve">: 接入新闻/社交媒体数据（需扩展）</w:t>
      </w:r>
    </w:p>
    <w:bookmarkEnd w:id="36"/>
    <w:bookmarkStart w:id="37" w:name="研究设计-2"/>
    <w:p>
      <w:pPr>
        <w:pStyle w:val="Heading3"/>
      </w:pPr>
      <w:r>
        <w:t xml:space="preserve">研究设计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数据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FOMC 声明原文 + Bloomberg/Reuters 新闻稿 + Twitter/Reddit 讨论</w:t>
      </w:r>
    </w:p>
    <w:p>
      <w:pPr>
        <w:pStyle w:val="Compact"/>
        <w:numPr>
          <w:ilvl w:val="1"/>
          <w:numId w:val="1013"/>
        </w:numPr>
      </w:pPr>
      <w:r>
        <w:t xml:space="preserve">资产价格高频数据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方法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对新闻标题做框架分析（NLP分类：hawkish/dovish/neutral）</w:t>
      </w:r>
    </w:p>
    <w:p>
      <w:pPr>
        <w:pStyle w:val="Compact"/>
        <w:numPr>
          <w:ilvl w:val="1"/>
          <w:numId w:val="1014"/>
        </w:numPr>
      </w:pPr>
      <w:r>
        <w:t xml:space="preserve">构建”媒体放大指数”（Media Amplification Index）= 新闻覆盖量 × 情绪极化度</w:t>
      </w:r>
    </w:p>
    <w:p>
      <w:pPr>
        <w:pStyle w:val="Compact"/>
        <w:numPr>
          <w:ilvl w:val="1"/>
          <w:numId w:val="1014"/>
        </w:numPr>
      </w:pPr>
      <w:r>
        <w:t xml:space="preserve">检验：MAI 是否调节 surprise → price response 的关系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预期贡献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量化媒体在货币政策传导中的”放大器”角色</w:t>
      </w:r>
    </w:p>
    <w:p>
      <w:pPr>
        <w:pStyle w:val="Compact"/>
        <w:numPr>
          <w:ilvl w:val="1"/>
          <w:numId w:val="1015"/>
        </w:numPr>
      </w:pPr>
      <w:r>
        <w:t xml:space="preserve">为央行沟通策略提供”媒体管理”建议</w:t>
      </w:r>
    </w:p>
    <w:p>
      <w:pPr>
        <w:pStyle w:val="Compact"/>
        <w:numPr>
          <w:ilvl w:val="1"/>
          <w:numId w:val="1015"/>
        </w:numPr>
      </w:pPr>
      <w:r>
        <w:t xml:space="preserve">首次将传播学理论系统引入货币政策事件研究</w:t>
      </w:r>
    </w:p>
    <w:bookmarkEnd w:id="37"/>
    <w:bookmarkStart w:id="38" w:name="可发表期刊-2"/>
    <w:p>
      <w:pPr>
        <w:pStyle w:val="Heading3"/>
      </w:pPr>
      <w:r>
        <w:t xml:space="preserve">可发表期刊</w:t>
      </w:r>
    </w:p>
    <w:p>
      <w:pPr>
        <w:pStyle w:val="Compact"/>
        <w:numPr>
          <w:ilvl w:val="0"/>
          <w:numId w:val="1016"/>
        </w:numPr>
      </w:pPr>
      <w:r>
        <w:t xml:space="preserve">Journal of Financial Economics</w:t>
      </w:r>
    </w:p>
    <w:p>
      <w:pPr>
        <w:pStyle w:val="Compact"/>
        <w:numPr>
          <w:ilvl w:val="0"/>
          <w:numId w:val="1016"/>
        </w:numPr>
      </w:pPr>
      <w:r>
        <w:t xml:space="preserve">Review of Financial Studies</w:t>
      </w:r>
    </w:p>
    <w:p>
      <w:pPr>
        <w:pStyle w:val="Compact"/>
        <w:numPr>
          <w:ilvl w:val="0"/>
          <w:numId w:val="1016"/>
        </w:numPr>
      </w:pPr>
      <w:r>
        <w:t xml:space="preserve">Journal of Communication</w:t>
      </w:r>
    </w:p>
    <w:p>
      <w:pPr>
        <w:pStyle w:val="Compact"/>
        <w:numPr>
          <w:ilvl w:val="0"/>
          <w:numId w:val="1016"/>
        </w:numPr>
      </w:pPr>
      <w:r>
        <w:t xml:space="preserve">New Media &amp; Society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fff675d0b779f424b8ef9f0ac192454f308e7a2"/>
    <w:p>
      <w:pPr>
        <w:pStyle w:val="Heading2"/>
      </w:pPr>
      <w:r>
        <w:t xml:space="preserve">Research Direction 4: Time-Varying Monetary Policy Transmission and Regime Detection</w:t>
      </w:r>
    </w:p>
    <w:bookmarkStart w:id="40" w:name="核心问题-3"/>
    <w:p>
      <w:pPr>
        <w:pStyle w:val="Heading3"/>
      </w:pPr>
      <w:r>
        <w:t xml:space="preserve">核心问题</w:t>
      </w:r>
    </w:p>
    <w:p>
      <w:pPr>
        <w:pStyle w:val="FirstParagraph"/>
      </w:pPr>
      <w:r>
        <w:t xml:space="preserve">货币政策公告对资产价格的影响是否随</w:t>
      </w:r>
      <w:r>
        <w:rPr>
          <w:b/>
          <w:bCs/>
        </w:rPr>
        <w:t xml:space="preserve">制度环境、市场状态、央行领导层</w:t>
      </w:r>
      <w:r>
        <w:t xml:space="preserve">变化而变化？能否用机器学习提前识别这些 regime？</w:t>
      </w:r>
    </w:p>
    <w:bookmarkEnd w:id="40"/>
    <w:bookmarkStart w:id="41" w:name="理论支撑-3"/>
    <w:p>
      <w:pPr>
        <w:pStyle w:val="Heading3"/>
      </w:pPr>
      <w:r>
        <w:t xml:space="preserve">理论支撑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Lucas Critique (1976)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政策变化会改变经济主体的行为规则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 Fed 主席时期，市场反应模式不同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 Regime-Switching (Hamilton, 1989)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经济状态在离散 regime 间切换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识别高/低波动、紧缩/宽松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金融科技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for Regime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无监督学习识别隐含市场状态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HMM/聚类算法自动发现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传播学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Cultivation Theory (Gerbner, 1976)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长期媒体 exposure 塑造认知框架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 regime 下投资者对信息的处理方式不同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新闻学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Ecology (McLuhan, 1964)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媒介环境塑造信息传播方式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社交媒体时代 vs 传统媒体时代的传导差异</w:t>
            </w:r>
          </w:p>
        </w:tc>
      </w:tr>
    </w:tbl>
    <w:bookmarkEnd w:id="41"/>
    <w:bookmarkStart w:id="42" w:name="平台支撑-3"/>
    <w:p>
      <w:pPr>
        <w:pStyle w:val="Heading3"/>
      </w:pPr>
      <w:r>
        <w:t xml:space="preserve">平台支撑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Capital Flow Analysis</w:t>
      </w:r>
      <w:r>
        <w:t xml:space="preserve">: Risk Regime Analysis 模块（已有 regime 检测）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Event Study Engine</w:t>
      </w:r>
      <w:r>
        <w:t xml:space="preserve">: 分时段/分 regime 做事件研究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Two-Shocks Decomposition</w:t>
      </w:r>
      <w:r>
        <w:t xml:space="preserve">: 检验 policy/information shock 的相对重要性是否随 regime 变化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Explorer</w:t>
      </w:r>
      <w:r>
        <w:t xml:space="preserve">: 长时间序列数据支持 regime 切换分析</w:t>
      </w:r>
    </w:p>
    <w:bookmarkEnd w:id="42"/>
    <w:bookmarkStart w:id="43" w:name="研究设计-3"/>
    <w:p>
      <w:pPr>
        <w:pStyle w:val="Heading3"/>
      </w:pPr>
      <w:r>
        <w:t xml:space="preserve">研究设计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数据</w:t>
      </w:r>
      <w:r>
        <w:t xml:space="preserve">: 1994-2025 FOMC 公告 + 全样本资产价格 + Fed 主席任期标记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方法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Markov-Switching VAR 识别隐含 regime</w:t>
      </w:r>
    </w:p>
    <w:p>
      <w:pPr>
        <w:pStyle w:val="Compact"/>
        <w:numPr>
          <w:ilvl w:val="1"/>
          <w:numId w:val="1019"/>
        </w:numPr>
      </w:pPr>
      <w:r>
        <w:t xml:space="preserve">分 regime 估计 surprise → asset response 的 β 系数</w:t>
      </w:r>
    </w:p>
    <w:p>
      <w:pPr>
        <w:pStyle w:val="Compact"/>
        <w:numPr>
          <w:ilvl w:val="1"/>
          <w:numId w:val="1019"/>
        </w:numPr>
      </w:pPr>
      <w:r>
        <w:t xml:space="preserve">比较 Greenspan/Bernanke/Yellen/Powell 四个时期</w:t>
      </w:r>
    </w:p>
    <w:p>
      <w:pPr>
        <w:pStyle w:val="Compact"/>
        <w:numPr>
          <w:ilvl w:val="1"/>
          <w:numId w:val="1019"/>
        </w:numPr>
      </w:pPr>
      <w:r>
        <w:t xml:space="preserve">用 Random Forest/XGBoost 预测 regime 转换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预期贡献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量化”Powell put” vs</w:t>
      </w:r>
      <w:r>
        <w:t xml:space="preserve"> </w:t>
      </w:r>
      <w:r>
        <w:t xml:space="preserve">“</w:t>
      </w:r>
      <w:r>
        <w:t xml:space="preserve">Greenspan put</w:t>
      </w:r>
      <w:r>
        <w:t xml:space="preserve">”</w:t>
      </w:r>
      <w:r>
        <w:t xml:space="preserve"> </w:t>
      </w:r>
      <w:r>
        <w:t xml:space="preserve">的差异</w:t>
      </w:r>
    </w:p>
    <w:p>
      <w:pPr>
        <w:pStyle w:val="Compact"/>
        <w:numPr>
          <w:ilvl w:val="1"/>
          <w:numId w:val="1020"/>
        </w:numPr>
      </w:pPr>
      <w:r>
        <w:t xml:space="preserve">为投资者提供 regime-aware 的交易策略</w:t>
      </w:r>
    </w:p>
    <w:p>
      <w:pPr>
        <w:pStyle w:val="Compact"/>
        <w:numPr>
          <w:ilvl w:val="1"/>
          <w:numId w:val="1020"/>
        </w:numPr>
      </w:pPr>
      <w:r>
        <w:t xml:space="preserve">检验社交媒体时代是否改变了政策传导速度</w:t>
      </w:r>
    </w:p>
    <w:bookmarkEnd w:id="43"/>
    <w:bookmarkStart w:id="44" w:name="可发表期刊-3"/>
    <w:p>
      <w:pPr>
        <w:pStyle w:val="Heading3"/>
      </w:pPr>
      <w:r>
        <w:t xml:space="preserve">可发表期刊</w:t>
      </w:r>
    </w:p>
    <w:p>
      <w:pPr>
        <w:pStyle w:val="Compact"/>
        <w:numPr>
          <w:ilvl w:val="0"/>
          <w:numId w:val="1021"/>
        </w:numPr>
      </w:pPr>
      <w:r>
        <w:t xml:space="preserve">American Economic Review</w:t>
      </w:r>
    </w:p>
    <w:p>
      <w:pPr>
        <w:pStyle w:val="Compact"/>
        <w:numPr>
          <w:ilvl w:val="0"/>
          <w:numId w:val="1021"/>
        </w:numPr>
      </w:pPr>
      <w:r>
        <w:t xml:space="preserve">Journal of Monetary Economics</w:t>
      </w:r>
    </w:p>
    <w:p>
      <w:pPr>
        <w:pStyle w:val="Compact"/>
        <w:numPr>
          <w:ilvl w:val="0"/>
          <w:numId w:val="1021"/>
        </w:numPr>
      </w:pPr>
      <w:r>
        <w:t xml:space="preserve">Management Science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四个方向的逻辑关系"/>
    <w:p>
      <w:pPr>
        <w:pStyle w:val="Heading2"/>
      </w:pPr>
      <w:r>
        <w:t xml:space="preserve">四个方向的逻辑关系</w:t>
      </w:r>
    </w:p>
    <w:p>
      <w:pPr>
        <w:pStyle w:val="SourceCode"/>
      </w:pPr>
      <w:r>
        <w:rPr>
          <w:rStyle w:val="VerbatimChar"/>
        </w:rPr>
        <w:t xml:space="preserve">Direction 1 (Communication)     Direction 2 (Portfolio)</w:t>
      </w:r>
      <w:r>
        <w:br/>
      </w:r>
      <w:r>
        <w:rPr>
          <w:rStyle w:val="VerbatimChar"/>
        </w:rPr>
        <w:t xml:space="preserve">    信息如何产生                    信息如何传播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└──────────┐   ┌───────────────┘</w:t>
      </w:r>
      <w:r>
        <w:br/>
      </w:r>
      <w:r>
        <w:rPr>
          <w:rStyle w:val="VerbatimChar"/>
        </w:rPr>
        <w:t xml:space="preserve">                    │   │</w:t>
      </w:r>
      <w:r>
        <w:br/>
      </w:r>
      <w:r>
        <w:rPr>
          <w:rStyle w:val="VerbatimChar"/>
        </w:rPr>
        <w:t xml:space="preserve">                    ▼   ▼</w:t>
      </w:r>
      <w:r>
        <w:br/>
      </w:r>
      <w:r>
        <w:rPr>
          <w:rStyle w:val="VerbatimChar"/>
        </w:rPr>
        <w:t xml:space="preserve">         Direction 3 (Media)  ←  中间放大环节</w:t>
      </w:r>
      <w:r>
        <w:br/>
      </w:r>
      <w:r>
        <w:rPr>
          <w:rStyle w:val="VerbatimChar"/>
        </w:rPr>
        <w:t xml:space="preserve">         信息如何被媒体放大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Direction 4 (Regime)  ←  条件变量</w:t>
      </w:r>
      <w:r>
        <w:br/>
      </w:r>
      <w:r>
        <w:rPr>
          <w:rStyle w:val="VerbatimChar"/>
        </w:rPr>
        <w:t xml:space="preserve">         以上效应如何随环境变化</w:t>
      </w:r>
    </w:p>
    <w:p>
      <w:pPr>
        <w:pStyle w:val="Compact"/>
        <w:numPr>
          <w:ilvl w:val="0"/>
          <w:numId w:val="1022"/>
        </w:numPr>
      </w:pPr>
      <w:r>
        <w:t xml:space="preserve">Direction 1 是</w:t>
      </w:r>
      <w:r>
        <w:rPr>
          <w:b/>
          <w:bCs/>
        </w:rPr>
        <w:t xml:space="preserve">起点</w:t>
      </w:r>
      <w:r>
        <w:t xml:space="preserve">：央行说什么，市场听到什么</w:t>
      </w:r>
    </w:p>
    <w:p>
      <w:pPr>
        <w:pStyle w:val="Compact"/>
        <w:numPr>
          <w:ilvl w:val="0"/>
          <w:numId w:val="1022"/>
        </w:numPr>
      </w:pPr>
      <w:r>
        <w:t xml:space="preserve">Direction 2 是</w:t>
      </w:r>
      <w:r>
        <w:rPr>
          <w:b/>
          <w:bCs/>
        </w:rPr>
        <w:t xml:space="preserve">机制</w:t>
      </w:r>
      <w:r>
        <w:t xml:space="preserve">：投资者如何据此调整组合</w:t>
      </w:r>
    </w:p>
    <w:p>
      <w:pPr>
        <w:pStyle w:val="Compact"/>
        <w:numPr>
          <w:ilvl w:val="0"/>
          <w:numId w:val="1022"/>
        </w:numPr>
      </w:pPr>
      <w:r>
        <w:t xml:space="preserve">Direction 3 是</w:t>
      </w:r>
      <w:r>
        <w:rPr>
          <w:b/>
          <w:bCs/>
        </w:rPr>
        <w:t xml:space="preserve">放大器</w:t>
      </w:r>
      <w:r>
        <w:t xml:space="preserve">：媒体和社交网络如何放大初始信号</w:t>
      </w:r>
    </w:p>
    <w:p>
      <w:pPr>
        <w:pStyle w:val="Compact"/>
        <w:numPr>
          <w:ilvl w:val="0"/>
          <w:numId w:val="1022"/>
        </w:numPr>
      </w:pPr>
      <w:r>
        <w:t xml:space="preserve">Direction 4 是</w:t>
      </w:r>
      <w:r>
        <w:rPr>
          <w:b/>
          <w:bCs/>
        </w:rPr>
        <w:t xml:space="preserve">调节变量</w:t>
      </w:r>
      <w:r>
        <w:t xml:space="preserve">：以上所有效应在不同环境下如何变化</w:t>
      </w:r>
    </w:p>
    <w:p>
      <w:r>
        <w:pict>
          <v:rect style="width:0;height:1.5pt" o:hralign="center" o:hrstd="t" o:hr="t"/>
        </w:pict>
      </w:r>
    </w:p>
    <w:bookmarkEnd w:id="46"/>
    <w:bookmarkStart w:id="47" w:name="平台扩展需求"/>
    <w:p>
      <w:pPr>
        <w:pStyle w:val="Heading2"/>
      </w:pPr>
      <w:r>
        <w:t xml:space="preserve">平台扩展需求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当前模块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FOMC 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新闻情绪分析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1 &amp;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Twitter/Reddit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网络分析可视化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分 regime 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自动化论文复现报告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所有方向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建议执行顺序"/>
    <w:p>
      <w:pPr>
        <w:pStyle w:val="Heading2"/>
      </w:pPr>
      <w:r>
        <w:t xml:space="preserve">建议执行顺序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(1-2个月): Direction 1 — 数据最易获取，平台已有模块，最快出成果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(2-3个月): Direction 2 — 需扩展网络分析模块，但数据现成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(3-4个月): Direction 4 — 需要长样本，计算量大，但方法论成熟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Phase 4</w:t>
      </w:r>
      <w:r>
        <w:t xml:space="preserve"> </w:t>
      </w:r>
      <w:r>
        <w:t xml:space="preserve">(4-6个月): Direction 3 — 需要爬取社交媒体数据，伦理审查，最复杂</w:t>
      </w:r>
    </w:p>
    <w:p>
      <w:pPr>
        <w:pStyle w:val="FirstParagraph"/>
      </w:pPr>
      <w:r>
        <w:t xml:space="preserve">每个方向独立可发表，但四个方向合在一起就是一个完整的跨学科研究体系。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2026-04-22T12:47:53Z</dcterms:created>
  <dcterms:modified xsi:type="dcterms:W3CDTF">2026-04-22T12:47:53Z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