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AD20">
      <w:pPr>
        <w:rPr>
          <w:rFonts w:hint="eastAsia"/>
        </w:rPr>
      </w:pPr>
      <w:r>
        <w:rPr>
          <w:rFonts w:hint="eastAsia"/>
        </w:rPr>
        <w:t>Title: Decoding Global Monetary Transmission: A Five-Year Research Proposal on FOMC Announcements, REIT Heterogeneity, and International Spillovers Powered by Large Language Models</w:t>
      </w:r>
    </w:p>
    <w:p w14:paraId="530C2431">
      <w:pPr>
        <w:rPr>
          <w:rFonts w:hint="eastAsia"/>
        </w:rPr>
      </w:pPr>
      <w:r>
        <w:rPr>
          <w:rFonts w:hint="eastAsia"/>
        </w:rPr>
        <w:t>Abstract</w:t>
      </w:r>
    </w:p>
    <w:p w14:paraId="19D7DF58">
      <w:pPr>
        <w:rPr>
          <w:rFonts w:hint="eastAsia"/>
        </w:rPr>
      </w:pPr>
      <w:r>
        <w:rPr>
          <w:rFonts w:hint="eastAsia"/>
        </w:rPr>
        <w:t>This research proposal outlines a five-year program to investigate the intricate relationship between U.S. monetary policy and asset pricing, with a focused lens on Real Estate Investment Trusts (REITs). Addressing critical gaps identified in a comprehensive literature review, the study introduces a methodological innovation by leveraging Large Language Models (LLMs) to advance identification strategies. The research will: (1) Employ LLMs to decompose FOMC announcements into pure policy, guidance, and information shocks at an unprecedented scale and granularity; (2) Quantify the heterogeneous responses of U.S. equity, mortgage, and residential REITs to these decomposed shocks; (3) Examine international spillover effects to REIT markets in advanced and emerging economies; and (4) Synthesize findings to elucidate transmission channels. This work aims to provide novel, granular insights into the monetary transmission mechanism, bridging the macro-finance and real-estate economics literatures and offering actionable policy implications.</w:t>
      </w:r>
    </w:p>
    <w:p w14:paraId="4D471D7B">
      <w:pPr>
        <w:rPr>
          <w:rFonts w:hint="eastAsia"/>
        </w:rPr>
      </w:pPr>
      <w:r>
        <w:rPr>
          <w:rFonts w:hint="eastAsia"/>
        </w:rPr>
        <w:t>1. Introduction</w:t>
      </w:r>
    </w:p>
    <w:p w14:paraId="0812E966">
      <w:pPr>
        <w:rPr>
          <w:rFonts w:hint="eastAsia"/>
        </w:rPr>
      </w:pPr>
      <w:r>
        <w:rPr>
          <w:rFonts w:hint="eastAsia"/>
        </w:rPr>
        <w:t>Monetary policy stands as the preeminent driver of global financial conditions. Seminal work by Bernanke &amp; Kuttner (2005) and Gürkaynak et al. (2005) established that Federal Reserve announcements instantaneously reprice assets from Treasury yields to equities. Subsequent research has uncovered the global reach of this phenomenon (Rey, 2013; Georgiadis, 2016) and the complex interplay of transmission channels, including interest-rate, credit, and external-dollar mechanisms (Bruno &amp; Shin, 2015).</w:t>
      </w:r>
    </w:p>
    <w:p w14:paraId="50A44F2F">
      <w:pPr>
        <w:rPr>
          <w:rFonts w:hint="eastAsia"/>
        </w:rPr>
      </w:pPr>
      <w:r>
        <w:rPr>
          <w:rFonts w:hint="eastAsia"/>
        </w:rPr>
        <w:t>However, a systematic review of approximately 100 empirical papers reveals significant and underexplored gaps. First, while REITs sit at the nexus of interest-rate, credit, and real-asset markets, their sector-specific (equity vs. mortgage vs. residential) responses to decomposed monetary shocks remain poorly understood (Bredin et al., 2011; Frame &amp; Steiner, 2018). Second, the international spillover of U.S. policy to foreign REIT markets—a growing and financially significant asset class—has barely been studied. Third, and most critically, the empirical challenge of cleanly separating the "policy" shock from the "information" (Delphic) shock embedded in FOMC communications persists, with recent attempts using limited text analysis (Nakamura &amp; Steinsson, 2018; Cieslak &amp; Schrimpf, 2019) but lacking a scalable, systematic framework.</w:t>
      </w:r>
    </w:p>
    <w:p w14:paraId="5814D178">
      <w:pPr>
        <w:rPr>
          <w:rFonts w:hint="eastAsia"/>
        </w:rPr>
      </w:pPr>
      <w:r>
        <w:rPr>
          <w:rFonts w:hint="eastAsia"/>
        </w:rPr>
        <w:t>This proposal argues that Large Language Models (LLMs) present a transformative opportunity to address these gaps. By applying LLMs to the full textual corpus of FOMC communications, I can generate continuous, high-dimensional measures of policy tone, forward guidance, and macroeconomic information revelation, enabling a superior identification of shocks. This methodological advance will underpin a comprehensive five-year inquiry into the monetary transmission process, focusing on the rich, yet understudied, domain of listed real estate.</w:t>
      </w:r>
    </w:p>
    <w:p w14:paraId="5D9B1D08">
      <w:pPr>
        <w:rPr>
          <w:rFonts w:hint="eastAsia"/>
        </w:rPr>
      </w:pPr>
      <w:r>
        <w:rPr>
          <w:rFonts w:hint="eastAsia"/>
        </w:rPr>
        <w:t>2. Research Objectives</w:t>
      </w:r>
    </w:p>
    <w:p w14:paraId="1A79D45B">
      <w:pPr>
        <w:rPr>
          <w:rFonts w:hint="eastAsia"/>
        </w:rPr>
      </w:pPr>
      <w:r>
        <w:rPr>
          <w:rFonts w:hint="eastAsia"/>
        </w:rPr>
        <w:t>The overarching goal is to provide a nuanced, mechanism-based understanding of how FOMC announcements impact REIT markets domestically and internationally. Specific objectives are:</w:t>
      </w:r>
    </w:p>
    <w:p w14:paraId="7B8A1ED7">
      <w:pPr>
        <w:rPr>
          <w:rFonts w:hint="eastAsia"/>
        </w:rPr>
      </w:pPr>
      <w:r>
        <w:rPr>
          <w:rFonts w:hint="eastAsia"/>
        </w:rPr>
        <w:t>To develop and validate an LLM-powered framework for decomposing FOMC announcements into separate target, path, and information shock components.</w:t>
      </w:r>
    </w:p>
    <w:p w14:paraId="6E483AC8">
      <w:pPr>
        <w:rPr>
          <w:rFonts w:hint="eastAsia"/>
        </w:rPr>
      </w:pPr>
      <w:r>
        <w:rPr>
          <w:rFonts w:hint="eastAsia"/>
        </w:rPr>
        <w:t>To estimate and compare the heterogeneous price sensitivities of U.S. equity, mortgage, and residential REITs to these decomposed shocks.</w:t>
      </w:r>
    </w:p>
    <w:p w14:paraId="638FCBE2">
      <w:pPr>
        <w:rPr>
          <w:rFonts w:hint="eastAsia"/>
        </w:rPr>
      </w:pPr>
      <w:r>
        <w:rPr>
          <w:rFonts w:hint="eastAsia"/>
        </w:rPr>
        <w:t>To quantify and characterize international spillover effects from U.S. monetary policy to REIT indices in other major economies.</w:t>
      </w:r>
    </w:p>
    <w:p w14:paraId="64B3A7F2">
      <w:pPr>
        <w:rPr>
          <w:rFonts w:hint="eastAsia"/>
        </w:rPr>
      </w:pPr>
      <w:r>
        <w:rPr>
          <w:rFonts w:hint="eastAsia"/>
        </w:rPr>
        <w:t>To integrate cross-asset and cross-country evidence to identify the primary transmission channels (e.g., discount rate, term premium, credit, rental-demand) relevant for REITs.</w:t>
      </w:r>
    </w:p>
    <w:p w14:paraId="380F9439">
      <w:pPr>
        <w:rPr>
          <w:rFonts w:hint="eastAsia"/>
        </w:rPr>
      </w:pPr>
      <w:r>
        <w:rPr>
          <w:rFonts w:hint="eastAsia"/>
        </w:rPr>
        <w:t>3. Literature Review &amp; Gaps</w:t>
      </w:r>
    </w:p>
    <w:p w14:paraId="76CF422B">
      <w:pPr>
        <w:rPr>
          <w:rFonts w:hint="eastAsia"/>
        </w:rPr>
      </w:pPr>
      <w:r>
        <w:rPr>
          <w:rFonts w:hint="eastAsia"/>
        </w:rPr>
        <w:t>The proposal is grounded in three strands of literature, each revealing a critical research opening:</w:t>
      </w:r>
    </w:p>
    <w:p w14:paraId="3E48661E">
      <w:pPr>
        <w:rPr>
          <w:rFonts w:hint="eastAsia"/>
        </w:rPr>
      </w:pPr>
      <w:r>
        <w:rPr>
          <w:rFonts w:hint="eastAsia"/>
        </w:rPr>
        <w:t>Cross-Asset Effects &amp; Identification: The literature confirms FOMC shocks affect all asset classes, with guidance (path) shocks often dominating target shocks (Gürkaynak et al., 2005; Swanson &amp; Williams, 2014). A major conflict exists over interpreting positive co-movements of yields and equities: is it an information effect revealing growth news (Nakamura &amp; Steinsson, 2018) or a signaling effect? Current methods to isolate these are nascent.</w:t>
      </w:r>
    </w:p>
    <w:p w14:paraId="0A7CA654">
      <w:pPr>
        <w:rPr>
          <w:rFonts w:hint="eastAsia"/>
        </w:rPr>
      </w:pPr>
      <w:r>
        <w:rPr>
          <w:rFonts w:hint="eastAsia"/>
        </w:rPr>
        <w:t>REIT Heterogeneity: Evidence suggests REITs are highly sensitive to monetary shocks (Bredin et al., 2006), with mortgage REITs showing amplified leverage-driven responses (Frame &amp; Steiner, 2018). Residential REITs may exhibit unique reactions via a rental-demand substitution channel. Yet, no study systematically compares these sectors using a unified shock identification method. This is a key gap.</w:t>
      </w:r>
    </w:p>
    <w:p w14:paraId="23957731">
      <w:pPr>
        <w:rPr>
          <w:rFonts w:hint="eastAsia"/>
        </w:rPr>
      </w:pPr>
      <w:r>
        <w:rPr>
          <w:rFonts w:hint="eastAsia"/>
        </w:rPr>
        <w:t>Global Spillovers: U.S. policy creates a "global financial cycle" (Rey, 2013), spilling over through exchange rates, capital flows, and dollar funding channels (Bruno &amp; Shin, 2015; Avdjiev et al., 2019). While spillovers to sovereign bonds and equities are documented (Hausman &amp; Wongswan, 2006), the international REIT market—a significant conduit for global real estate investment—remains almost entirely unexplored. This represents a second major gap.</w:t>
      </w:r>
    </w:p>
    <w:p w14:paraId="562E877E">
      <w:pPr>
        <w:rPr>
          <w:rFonts w:hint="eastAsia"/>
        </w:rPr>
      </w:pPr>
      <w:r>
        <w:rPr>
          <w:rFonts w:hint="eastAsia"/>
        </w:rPr>
        <w:t>4. Methodology: An LLM-Powered Research Framework</w:t>
      </w:r>
    </w:p>
    <w:p w14:paraId="6A2E255E">
      <w:pPr>
        <w:rPr>
          <w:rFonts w:hint="eastAsia"/>
        </w:rPr>
      </w:pPr>
      <w:r>
        <w:rPr>
          <w:rFonts w:hint="eastAsia"/>
        </w:rPr>
        <w:t>The core innovation is the integration of LLMs into a high-frequency identification (HFI) paradigm.</w:t>
      </w:r>
    </w:p>
    <w:p w14:paraId="5D92A448">
      <w:pPr>
        <w:rPr>
          <w:rFonts w:hint="eastAsia"/>
        </w:rPr>
      </w:pPr>
      <w:r>
        <w:rPr>
          <w:rFonts w:hint="eastAsia"/>
        </w:rPr>
        <w:t>4.1. Shock Identification with LLMs</w:t>
      </w:r>
    </w:p>
    <w:p w14:paraId="3DAC32BE">
      <w:pPr>
        <w:rPr>
          <w:rFonts w:hint="eastAsia"/>
        </w:rPr>
      </w:pPr>
      <w:r>
        <w:rPr>
          <w:rFonts w:hint="eastAsia"/>
        </w:rPr>
        <w:t>Data: I will construct a comprehensive textual database of FOMC statements, minutes, and Federal Reserve Chair's press conference transcripts (from 1994 to present).</w:t>
      </w:r>
    </w:p>
    <w:p w14:paraId="65850EF3">
      <w:pPr>
        <w:rPr>
          <w:rFonts w:hint="eastAsia"/>
        </w:rPr>
      </w:pPr>
      <w:r>
        <w:rPr>
          <w:rFonts w:hint="eastAsia"/>
        </w:rPr>
        <w:t>LLM Application: I will fine-tune or prompt-engineer a state-of-the-art LLM (e.g., a model from the BERT, RoBERTa, or GPT families) to perform two key tasks:</w:t>
      </w:r>
    </w:p>
    <w:p w14:paraId="781D8298">
      <w:pPr>
        <w:rPr>
          <w:rFonts w:hint="eastAsia"/>
        </w:rPr>
      </w:pPr>
      <w:r>
        <w:rPr>
          <w:rFonts w:hint="eastAsia"/>
        </w:rPr>
        <w:t>Sentiment &amp; Tone Analysis: Generate continuous scores for the overall "hawkish" vs. "dovish" tone of each announcement and its components.</w:t>
      </w:r>
    </w:p>
    <w:p w14:paraId="7F73F4DD">
      <w:pPr>
        <w:rPr>
          <w:rFonts w:hint="eastAsia"/>
        </w:rPr>
      </w:pPr>
      <w:r>
        <w:rPr>
          <w:rFonts w:hint="eastAsia"/>
        </w:rPr>
        <w:t>Construct Decomposition: Identify and quantify textual markers related to (a) Pure Policy: direct references to rate decisions or balance-sheet actions; (b) Forward Guidance: language about the future policy path; (c) Macroeconomic Information: statements about growth, inflation, employment, and risks. The model will output normalized indices for each shock type.</w:t>
      </w:r>
    </w:p>
    <w:p w14:paraId="3C86C751">
      <w:pPr>
        <w:rPr>
          <w:rFonts w:hint="eastAsia"/>
        </w:rPr>
      </w:pPr>
      <w:r>
        <w:rPr>
          <w:rFonts w:hint="eastAsia"/>
        </w:rPr>
        <w:t>Validation: The LLM-derived shock measures will be validated against traditional HFI surprises from futures markets (Kuttner, 2000; Gürkaynak et al., 2005) and used to predict asset price movements in established event-study windows.</w:t>
      </w:r>
    </w:p>
    <w:p w14:paraId="3BE4A9CD">
      <w:pPr>
        <w:rPr>
          <w:rFonts w:hint="eastAsia"/>
        </w:rPr>
      </w:pPr>
      <w:r>
        <w:rPr>
          <w:rFonts w:hint="eastAsia"/>
        </w:rPr>
        <w:t>4.2. Econometric Strategy</w:t>
      </w:r>
    </w:p>
    <w:p w14:paraId="0284BCAB">
      <w:pPr>
        <w:rPr>
          <w:rFonts w:hint="eastAsia"/>
        </w:rPr>
      </w:pPr>
      <w:r>
        <w:rPr>
          <w:rFonts w:hint="eastAsia"/>
        </w:rPr>
        <w:t>Event-Study Regressions: The primary specification will relate changes in REIT returns (and other asset prices) around narrow FOMC announcement windows to the LLM-generated shock components.</w:t>
      </w:r>
    </w:p>
    <w:p w14:paraId="3F2E78D8">
      <w:pPr>
        <w:jc w:val="center"/>
        <w:rPr>
          <w:rFonts w:hint="eastAsia"/>
        </w:rPr>
      </w:pPr>
      <w:r>
        <w:rPr>
          <w:rFonts w:hint="eastAsia"/>
        </w:rPr>
        <w:drawing>
          <wp:inline distT="0" distB="0" distL="114300" distR="114300">
            <wp:extent cx="4326255" cy="363220"/>
            <wp:effectExtent l="0" t="0" r="17145" b="17780"/>
            <wp:docPr id="1" name="图片 1" descr="3be9f1ec31e74d564e51cb01b6a3d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be9f1ec31e74d564e51cb01b6a3d739"/>
                    <pic:cNvPicPr>
                      <a:picLocks noChangeAspect="1"/>
                    </pic:cNvPicPr>
                  </pic:nvPicPr>
                  <pic:blipFill>
                    <a:blip r:embed="rId4"/>
                    <a:stretch>
                      <a:fillRect/>
                    </a:stretch>
                  </pic:blipFill>
                  <pic:spPr>
                    <a:xfrm>
                      <a:off x="0" y="0"/>
                      <a:ext cx="4326255" cy="363220"/>
                    </a:xfrm>
                    <a:prstGeom prst="rect">
                      <a:avLst/>
                    </a:prstGeom>
                  </pic:spPr>
                </pic:pic>
              </a:graphicData>
            </a:graphic>
          </wp:inline>
        </w:drawing>
      </w:r>
    </w:p>
    <w:p w14:paraId="30D659AE">
      <w:pPr>
        <w:jc w:val="both"/>
        <w:rPr>
          <w:rFonts w:hint="eastAsia"/>
        </w:rPr>
      </w:pPr>
      <w:r>
        <w:rPr>
          <w:rFonts w:hint="eastAsia"/>
        </w:rPr>
        <w:t>where (i) indexes the asset class or REIT sector.</w:t>
      </w:r>
      <w:bookmarkStart w:id="0" w:name="_GoBack"/>
      <w:bookmarkEnd w:id="0"/>
    </w:p>
    <w:p w14:paraId="3ED19B46">
      <w:pPr>
        <w:rPr>
          <w:rFonts w:hint="eastAsia"/>
        </w:rPr>
      </w:pPr>
      <w:r>
        <w:rPr>
          <w:rFonts w:hint="eastAsia"/>
        </w:rPr>
        <w:t>Panel Models for Spillovers: To assess international effects, I will estimate panel regressions with country-REIT index returns as the dependent variable, interacted with measures of financial openness, exchange-rate regime, and dollar-debt exposure.</w:t>
      </w:r>
    </w:p>
    <w:p w14:paraId="71EACFD0">
      <w:pPr>
        <w:rPr>
          <w:rFonts w:hint="eastAsia"/>
        </w:rPr>
      </w:pPr>
      <w:r>
        <w:rPr>
          <w:rFonts w:hint="eastAsia"/>
        </w:rPr>
        <w:t>Transmission Channel Analysis: Mediation analysis and structural models will be employed to test the importance of candidate channels (e.g., using MBS spreads to proxy the mortgage credit channel, or cross-border bank claims to proxy the external dollar channel).</w:t>
      </w:r>
    </w:p>
    <w:p w14:paraId="63E1C401">
      <w:pPr>
        <w:rPr>
          <w:rFonts w:hint="eastAsia"/>
        </w:rPr>
      </w:pPr>
      <w:r>
        <w:rPr>
          <w:rFonts w:hint="eastAsia"/>
        </w:rPr>
        <w:t>5. Five-Year Research Timeline</w:t>
      </w:r>
    </w:p>
    <w:p w14:paraId="3D6B4AC4">
      <w:pPr>
        <w:rPr>
          <w:rFonts w:hint="eastAsia"/>
        </w:rPr>
      </w:pPr>
      <w:r>
        <w:rPr>
          <w:rFonts w:hint="eastAsia"/>
        </w:rPr>
        <w:t>Year 1: Foundation &amp; Methodological Development</w:t>
      </w:r>
    </w:p>
    <w:p w14:paraId="51BB1D99">
      <w:pPr>
        <w:rPr>
          <w:rFonts w:hint="eastAsia"/>
        </w:rPr>
      </w:pPr>
      <w:r>
        <w:rPr>
          <w:rFonts w:hint="eastAsia"/>
        </w:rPr>
        <w:t>Objective: Develop the LLM identification framework and build the core datasets.</w:t>
      </w:r>
    </w:p>
    <w:p w14:paraId="26D6FC02">
      <w:pPr>
        <w:rPr>
          <w:rFonts w:hint="eastAsia"/>
        </w:rPr>
      </w:pPr>
      <w:r>
        <w:rPr>
          <w:rFonts w:hint="eastAsia"/>
        </w:rPr>
        <w:t>Activities: Train and validate LLM models on the FOMC text corpus. Assemble high-frequency data for U.S. REIT indices (equity, mortgage, residential), Treasury yields, corporate credit, and key international REIT markets. Conduct preliminary event studies using traditional HFI shocks for baseline comparison.</w:t>
      </w:r>
    </w:p>
    <w:p w14:paraId="4AD1B388">
      <w:pPr>
        <w:rPr>
          <w:rFonts w:hint="eastAsia"/>
        </w:rPr>
      </w:pPr>
      <w:r>
        <w:rPr>
          <w:rFonts w:hint="eastAsia"/>
        </w:rPr>
        <w:t>Year 2: U.S. REIT Heterogeneity</w:t>
      </w:r>
    </w:p>
    <w:p w14:paraId="10267CD7">
      <w:pPr>
        <w:rPr>
          <w:rFonts w:hint="eastAsia"/>
        </w:rPr>
      </w:pPr>
      <w:r>
        <w:rPr>
          <w:rFonts w:hint="eastAsia"/>
        </w:rPr>
        <w:t>Objective: Analyze the differential responses of U.S. REIT sectors.</w:t>
      </w:r>
    </w:p>
    <w:p w14:paraId="55A8CCD2">
      <w:pPr>
        <w:rPr>
          <w:rFonts w:hint="eastAsia"/>
        </w:rPr>
      </w:pPr>
      <w:r>
        <w:rPr>
          <w:rFonts w:hint="eastAsia"/>
        </w:rPr>
        <w:t>Activities: Estimate event-study regressions using the LLM-derived shock components. Compare the sensitivity of equity, mortgage, and residential REITs. Investigate the role of leverage, duration, and rental-demand channels. Expected Output: One lead-authored academic paper on U.S. REIT heterogeneity.</w:t>
      </w:r>
    </w:p>
    <w:p w14:paraId="5AB5896F">
      <w:pPr>
        <w:rPr>
          <w:rFonts w:hint="eastAsia"/>
        </w:rPr>
      </w:pPr>
      <w:r>
        <w:rPr>
          <w:rFonts w:hint="eastAsia"/>
        </w:rPr>
        <w:t>Year 3: International Spillovers to REIT Markets</w:t>
      </w:r>
    </w:p>
    <w:p w14:paraId="028BE1F8">
      <w:pPr>
        <w:rPr>
          <w:rFonts w:hint="eastAsia"/>
        </w:rPr>
      </w:pPr>
      <w:r>
        <w:rPr>
          <w:rFonts w:hint="eastAsia"/>
        </w:rPr>
        <w:t>Objective: Extend the analysis to global REIT markets.</w:t>
      </w:r>
    </w:p>
    <w:p w14:paraId="5B6CD1EC">
      <w:pPr>
        <w:rPr>
          <w:rFonts w:hint="eastAsia"/>
        </w:rPr>
      </w:pPr>
      <w:r>
        <w:rPr>
          <w:rFonts w:hint="eastAsia"/>
        </w:rPr>
        <w:t>Activities: Apply the same framework to REIT indices in countries like the U.K., Australia, Japan, Singapore, and major emerging markets. Model how spillovers are conditioned by exchange-rate regimes and financial linkages. Expected Output: One lead-authored academic paper on international REIT spillovers.</w:t>
      </w:r>
    </w:p>
    <w:p w14:paraId="3204EEA3">
      <w:pPr>
        <w:rPr>
          <w:rFonts w:hint="eastAsia"/>
        </w:rPr>
      </w:pPr>
      <w:r>
        <w:rPr>
          <w:rFonts w:hint="eastAsia"/>
        </w:rPr>
        <w:t>Year 4: Cross-Channel and Cross-Asset Synthesis</w:t>
      </w:r>
    </w:p>
    <w:p w14:paraId="4A4B7033">
      <w:pPr>
        <w:rPr>
          <w:rFonts w:hint="eastAsia"/>
        </w:rPr>
      </w:pPr>
      <w:r>
        <w:rPr>
          <w:rFonts w:hint="eastAsia"/>
        </w:rPr>
        <w:t>Objective: Integrate findings to identify dominant transmission mechanisms.</w:t>
      </w:r>
    </w:p>
    <w:p w14:paraId="11285B03">
      <w:pPr>
        <w:rPr>
          <w:rFonts w:hint="eastAsia"/>
        </w:rPr>
      </w:pPr>
      <w:r>
        <w:rPr>
          <w:rFonts w:hint="eastAsia"/>
        </w:rPr>
        <w:t>Activities: Use mediation and structural models to formally test which channels (discount rate, term premium, credit, external-dollar, rental demand) best explain the estimated REIT responses and spillovers. Conduct comparative analysis with other asset classes (corporate bonds, equities). Expected Output: One co-authored paper on transmission channels.</w:t>
      </w:r>
    </w:p>
    <w:p w14:paraId="1A510FA2">
      <w:pPr>
        <w:rPr>
          <w:rFonts w:hint="eastAsia"/>
        </w:rPr>
      </w:pPr>
      <w:r>
        <w:rPr>
          <w:rFonts w:hint="eastAsia"/>
        </w:rPr>
        <w:t>Year 5: Long-Term Dynamics &amp; Policy Implications</w:t>
      </w:r>
    </w:p>
    <w:p w14:paraId="0735FF71">
      <w:pPr>
        <w:rPr>
          <w:rFonts w:hint="eastAsia"/>
        </w:rPr>
      </w:pPr>
      <w:r>
        <w:rPr>
          <w:rFonts w:hint="eastAsia"/>
        </w:rPr>
        <w:t>Objective: Explore persistence and develop policy recommendations.</w:t>
      </w:r>
    </w:p>
    <w:p w14:paraId="01EEFF78">
      <w:pPr>
        <w:rPr>
          <w:rFonts w:hint="eastAsia"/>
        </w:rPr>
      </w:pPr>
      <w:r>
        <w:rPr>
          <w:rFonts w:hint="eastAsia"/>
        </w:rPr>
        <w:t>Activities: Use local projection methods to trace the dynamic effects of LLM-identified shocks on REIT returns and real economy metrics over longer horizons. Synthesize all findings into a coherent policy narrative for central banks and global financial stability oversight. Expected Output: A comprehensive doctoral dissertation and a policy-focused working paper.</w:t>
      </w:r>
    </w:p>
    <w:p w14:paraId="003C1403">
      <w:pPr>
        <w:rPr>
          <w:rFonts w:hint="eastAsia"/>
        </w:rPr>
      </w:pPr>
      <w:r>
        <w:rPr>
          <w:rFonts w:hint="eastAsia"/>
        </w:rPr>
        <w:t>6. Significance and Contributions</w:t>
      </w:r>
    </w:p>
    <w:p w14:paraId="106BF54B">
      <w:pPr>
        <w:rPr>
          <w:rFonts w:hint="eastAsia"/>
        </w:rPr>
      </w:pPr>
      <w:r>
        <w:rPr>
          <w:rFonts w:hint="eastAsia"/>
        </w:rPr>
        <w:t>This research will make three pivotal contributions:</w:t>
      </w:r>
    </w:p>
    <w:p w14:paraId="42153DD4">
      <w:pPr>
        <w:rPr>
          <w:rFonts w:hint="eastAsia"/>
        </w:rPr>
      </w:pPr>
      <w:r>
        <w:rPr>
          <w:rFonts w:hint="eastAsia"/>
        </w:rPr>
        <w:t>Methodological: It will pioneer the application of advanced LLMs in monetary economics, offering a robust and scalable tool to disentangle the complex, multi-faceted information embedded in central bank communications. This addresses a fundamental identification challenge in the literature.</w:t>
      </w:r>
    </w:p>
    <w:p w14:paraId="332782F2">
      <w:pPr>
        <w:rPr>
          <w:rFonts w:hint="eastAsia"/>
        </w:rPr>
      </w:pPr>
      <w:r>
        <w:rPr>
          <w:rFonts w:hint="eastAsia"/>
        </w:rPr>
        <w:t>Empirical: It will produce the first systematic, sector-decomposed evidence on how REITs—a pivotal but understudied asset class—respond to differentiated monetary shocks, both domestically and internationally.</w:t>
      </w:r>
    </w:p>
    <w:p w14:paraId="566C8500">
      <w:pPr>
        <w:rPr>
          <w:rFonts w:hint="eastAsia"/>
        </w:rPr>
      </w:pPr>
      <w:r>
        <w:rPr>
          <w:rFonts w:hint="eastAsia"/>
        </w:rPr>
        <w:t>Policy-Relevant: The findings will inform central banks about the real estate channel of monetary transmission, aiding in the design of policies that minimize destabilizing global spillovers and manage asset-price dynamics. It will also provide investors and risk managers with a new framework for assessing REIT market risks.</w:t>
      </w:r>
    </w:p>
    <w:p w14:paraId="6AC136D0">
      <w:pPr>
        <w:rPr>
          <w:rFonts w:hint="eastAsia"/>
        </w:rPr>
      </w:pPr>
      <w:r>
        <w:rPr>
          <w:rFonts w:hint="eastAsia"/>
        </w:rPr>
        <w:t>References</w:t>
      </w:r>
    </w:p>
    <w:p w14:paraId="082F3561">
      <w:pPr>
        <w:rPr>
          <w:rFonts w:hint="eastAsia"/>
        </w:rPr>
      </w:pPr>
      <w:r>
        <w:rPr>
          <w:rFonts w:hint="eastAsia"/>
        </w:rPr>
        <w:t>Bernanke, B. S., &amp; Kuttner, K. N. (2005). What explains the stock market’s reaction to Federal Reserve policy? *Journal of Finance*.</w:t>
      </w:r>
    </w:p>
    <w:p w14:paraId="1065A3A7">
      <w:pPr>
        <w:rPr>
          <w:rFonts w:hint="eastAsia"/>
        </w:rPr>
      </w:pPr>
      <w:r>
        <w:rPr>
          <w:rFonts w:hint="eastAsia"/>
        </w:rPr>
        <w:t>Bredin, D., O’Reilly, G., &amp; Stevenson, S. (2011). Monetary policy transmission to REIT returns: Evidence from high-frequency shocks. *Real Estate Economics*.</w:t>
      </w:r>
    </w:p>
    <w:p w14:paraId="1F955A18">
      <w:pPr>
        <w:rPr>
          <w:rFonts w:hint="eastAsia"/>
        </w:rPr>
      </w:pPr>
      <w:r>
        <w:rPr>
          <w:rFonts w:hint="eastAsia"/>
        </w:rPr>
        <w:t>Bruno, V., &amp; Shin, H. S. (2015). Cross-border banking and global liquidity. *Review of Economic Studies*.</w:t>
      </w:r>
    </w:p>
    <w:p w14:paraId="025080C0">
      <w:pPr>
        <w:rPr>
          <w:rFonts w:hint="eastAsia"/>
        </w:rPr>
      </w:pPr>
      <w:r>
        <w:rPr>
          <w:rFonts w:hint="eastAsia"/>
        </w:rPr>
        <w:t>Cieslak, A., &amp; Schrimpf, A. (2019). Non-monetary news in central bank communication. *Journal of International Economics*.</w:t>
      </w:r>
    </w:p>
    <w:p w14:paraId="5846108F">
      <w:pPr>
        <w:rPr>
          <w:rFonts w:hint="eastAsia"/>
        </w:rPr>
      </w:pPr>
      <w:r>
        <w:rPr>
          <w:rFonts w:hint="eastAsia"/>
        </w:rPr>
        <w:t>Frame, W., &amp; Steiner, E. (2018). Mortgage REITs, funding fragility, and monetary policy sensitivity. *Journal of Financial Markets*.</w:t>
      </w:r>
    </w:p>
    <w:p w14:paraId="15D76C6A">
      <w:pPr>
        <w:rPr>
          <w:rFonts w:hint="eastAsia"/>
        </w:rPr>
      </w:pPr>
      <w:r>
        <w:rPr>
          <w:rFonts w:hint="eastAsia"/>
        </w:rPr>
        <w:t>Georgiadis, G. (2016). Determinants of global spillovers from US monetary policy. *Journal of International Money and Finance*.</w:t>
      </w:r>
    </w:p>
    <w:p w14:paraId="0CAE8003">
      <w:pPr>
        <w:rPr>
          <w:rFonts w:hint="eastAsia"/>
        </w:rPr>
      </w:pPr>
      <w:r>
        <w:rPr>
          <w:rFonts w:hint="eastAsia"/>
        </w:rPr>
        <w:t>Gürkaynak, R. S., Sack, B., &amp; Swanson, E. (2005). Do actions speak louder than words? The response of asset prices to monetary policy actions and statements. *International Journal of Central Banking*.</w:t>
      </w:r>
    </w:p>
    <w:p w14:paraId="3E44069D">
      <w:pPr>
        <w:rPr>
          <w:rFonts w:hint="eastAsia"/>
        </w:rPr>
      </w:pPr>
      <w:r>
        <w:rPr>
          <w:rFonts w:hint="eastAsia"/>
        </w:rPr>
        <w:t>Hausman, J., &amp; Wongswan, J. (2006). Global asset prices and FOMC announcements. *Federal Reserve Board International Finance Discussion Papers*.</w:t>
      </w:r>
    </w:p>
    <w:p w14:paraId="7C921390">
      <w:pPr>
        <w:rPr>
          <w:rFonts w:hint="eastAsia"/>
        </w:rPr>
      </w:pPr>
      <w:r>
        <w:rPr>
          <w:rFonts w:hint="eastAsia"/>
        </w:rPr>
        <w:t>Kuttner, K. N. (2000). Monetary policy surprises and interest rates: Evidence from the Fed funds futures market. *Journal of Monetary Economics*.</w:t>
      </w:r>
    </w:p>
    <w:p w14:paraId="0F2410A4">
      <w:pPr>
        <w:rPr>
          <w:rFonts w:hint="eastAsia"/>
        </w:rPr>
      </w:pPr>
      <w:r>
        <w:rPr>
          <w:rFonts w:hint="eastAsia"/>
        </w:rPr>
        <w:t>Nakamura, E., &amp; Steinsson, J. (2018). High-frequency identification of monetary non-neutrality: The information effect. *Quarterly Journal of Economics*.</w:t>
      </w:r>
    </w:p>
    <w:p w14:paraId="472EE028">
      <w:r>
        <w:rPr>
          <w:rFonts w:hint="eastAsia"/>
        </w:rPr>
        <w:t>Rey, H. (2013). Dilemma not trilemma: The global financial cycle and monetary policy independence. *Federal Reserve Bank of Kansas City Economic Symposium Proceedings*.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9E0341"/>
    <w:rsid w:val="2F82509E"/>
    <w:rsid w:val="6D141897"/>
    <w:rsid w:val="AF9E0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1676</Words>
  <Characters>10660</Characters>
  <Lines>0</Lines>
  <Paragraphs>0</Paragraphs>
  <TotalTime>5</TotalTime>
  <ScaleCrop>false</ScaleCrop>
  <LinksUpToDate>false</LinksUpToDate>
  <CharactersWithSpaces>12253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2026-03-02T16:30:00Z</dcterms:created>
  <dc:creator>左笔方寸有AI</dc:creator>
  <cp:lastModifiedBy>左笔方寸有AI</cp:lastModifiedBy>
  <dcterms:modified xsi:type="dcterms:W3CDTF">2026-03-02T08:52:46Z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EA73A65D4C83CE78A94AA5691CD0EB51_41</vt:lpwstr>
  </property>
  <property fmtid="{D5CDD505-2E9C-101B-9397-08002B2CF9AE}" pid="4" name="KSOTemplateDocerSaveRecord">
    <vt:lpwstr>eyJoZGlkIjoiODY3YjA1NmUyMjVkZTE1N2YzNjBhNGMyZmE2YzBlNDgiLCJ1c2VySWQiOiIxNjc2MTQ0NTQifQ==</vt:lpwstr>
  </property>
</Properties>
</file>