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EC93B" w14:textId="22AB2416" w:rsidR="00516886" w:rsidRDefault="00516886" w:rsidP="00BC32F5">
      <w:pPr>
        <w:spacing w:line="240" w:lineRule="auto"/>
        <w:jc w:val="center"/>
        <w:rPr>
          <w:rFonts w:ascii="Times New Roman" w:hAnsi="Times New Roman" w:cs="Times New Roman"/>
          <w:b/>
          <w:bCs/>
        </w:rPr>
      </w:pPr>
      <w:r w:rsidRPr="00516886">
        <w:rPr>
          <w:rFonts w:ascii="Times New Roman" w:hAnsi="Times New Roman" w:cs="Times New Roman"/>
          <w:b/>
          <w:bCs/>
        </w:rPr>
        <w:t>Research Proposal: Monetary Policy Shocks and Portfolio Reallocation: Evidence from Mutual Fund Asset Allocation</w:t>
      </w:r>
    </w:p>
    <w:p w14:paraId="2BF62CF3" w14:textId="5694F046" w:rsidR="00BC32F5" w:rsidRPr="00516886" w:rsidRDefault="00BC32F5" w:rsidP="00BC32F5">
      <w:pPr>
        <w:spacing w:line="240" w:lineRule="auto"/>
        <w:jc w:val="center"/>
        <w:rPr>
          <w:rFonts w:ascii="Times New Roman" w:hAnsi="Times New Roman" w:cs="Times New Roman"/>
          <w:b/>
          <w:bCs/>
        </w:rPr>
      </w:pPr>
      <w:r>
        <w:rPr>
          <w:rFonts w:ascii="Times New Roman" w:hAnsi="Times New Roman" w:cs="Times New Roman"/>
          <w:b/>
          <w:bCs/>
        </w:rPr>
        <w:t>Eileen Zhang</w:t>
      </w:r>
    </w:p>
    <w:p w14:paraId="4EBABD04" w14:textId="77777777" w:rsidR="00516886" w:rsidRPr="00516886" w:rsidRDefault="00516886" w:rsidP="00516886">
      <w:pPr>
        <w:spacing w:line="240" w:lineRule="auto"/>
        <w:rPr>
          <w:rFonts w:ascii="Times New Roman" w:hAnsi="Times New Roman" w:cs="Times New Roman"/>
          <w:b/>
          <w:bCs/>
        </w:rPr>
      </w:pPr>
      <w:r w:rsidRPr="00516886">
        <w:rPr>
          <w:rFonts w:ascii="Times New Roman" w:hAnsi="Times New Roman" w:cs="Times New Roman"/>
          <w:b/>
          <w:bCs/>
        </w:rPr>
        <w:t>1. Motivation</w:t>
      </w:r>
    </w:p>
    <w:p w14:paraId="6CF22176"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Monetary policy announcements by the U.S. Federal Reserve are widely recognized as major drivers of financial market dynamics. While a large literature </w:t>
      </w:r>
      <w:proofErr w:type="gramStart"/>
      <w:r w:rsidRPr="00516886">
        <w:rPr>
          <w:rFonts w:ascii="Times New Roman" w:hAnsi="Times New Roman" w:cs="Times New Roman"/>
        </w:rPr>
        <w:t>documents</w:t>
      </w:r>
      <w:proofErr w:type="gramEnd"/>
      <w:r w:rsidRPr="00516886">
        <w:rPr>
          <w:rFonts w:ascii="Times New Roman" w:hAnsi="Times New Roman" w:cs="Times New Roman"/>
        </w:rPr>
        <w:t xml:space="preserve"> how asset prices respond to Federal Open Market Committee (FOMC) announcements, considerably less is known about how investors actively rebalance their portfolios in response to different types of monetary policy news. Understanding these portfolio adjustments is crucial for interpreting the transmission of monetary policy to financial markets and the broader economy.</w:t>
      </w:r>
    </w:p>
    <w:p w14:paraId="1FFA91FF"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Recent advances in </w:t>
      </w:r>
      <w:proofErr w:type="gramStart"/>
      <w:r w:rsidRPr="00516886">
        <w:rPr>
          <w:rFonts w:ascii="Times New Roman" w:hAnsi="Times New Roman" w:cs="Times New Roman"/>
        </w:rPr>
        <w:t>the literature</w:t>
      </w:r>
      <w:proofErr w:type="gramEnd"/>
      <w:r w:rsidRPr="00516886">
        <w:rPr>
          <w:rFonts w:ascii="Times New Roman" w:hAnsi="Times New Roman" w:cs="Times New Roman"/>
        </w:rPr>
        <w:t xml:space="preserve"> emphasize that FOMC announcements contain multiple components. </w:t>
      </w:r>
      <w:proofErr w:type="gramStart"/>
      <w:r w:rsidRPr="00516886">
        <w:rPr>
          <w:rFonts w:ascii="Times New Roman" w:hAnsi="Times New Roman" w:cs="Times New Roman"/>
        </w:rPr>
        <w:t>In particular, monetary</w:t>
      </w:r>
      <w:proofErr w:type="gramEnd"/>
      <w:r w:rsidRPr="00516886">
        <w:rPr>
          <w:rFonts w:ascii="Times New Roman" w:hAnsi="Times New Roman" w:cs="Times New Roman"/>
        </w:rPr>
        <w:t xml:space="preserve"> policy news can be decomposed into </w:t>
      </w:r>
      <w:proofErr w:type="gramStart"/>
      <w:r w:rsidRPr="00516886">
        <w:rPr>
          <w:rFonts w:ascii="Times New Roman" w:hAnsi="Times New Roman" w:cs="Times New Roman"/>
        </w:rPr>
        <w:t>a pure</w:t>
      </w:r>
      <w:proofErr w:type="gramEnd"/>
      <w:r w:rsidRPr="00516886">
        <w:rPr>
          <w:rFonts w:ascii="Times New Roman" w:hAnsi="Times New Roman" w:cs="Times New Roman"/>
        </w:rPr>
        <w:t xml:space="preserve"> policy shock and </w:t>
      </w:r>
      <w:proofErr w:type="gramStart"/>
      <w:r w:rsidRPr="00516886">
        <w:rPr>
          <w:rFonts w:ascii="Times New Roman" w:hAnsi="Times New Roman" w:cs="Times New Roman"/>
        </w:rPr>
        <w:t>an information</w:t>
      </w:r>
      <w:proofErr w:type="gramEnd"/>
      <w:r w:rsidRPr="00516886">
        <w:rPr>
          <w:rFonts w:ascii="Times New Roman" w:hAnsi="Times New Roman" w:cs="Times New Roman"/>
        </w:rPr>
        <w:t xml:space="preserve"> shock. These distinct shocks have different implications for investor behavior and risk-taking. This project builds on this insight to study how investors reallocate capital across a broad set of mutual fund asset categories following FOMC announcements.</w:t>
      </w:r>
    </w:p>
    <w:p w14:paraId="5667DEED" w14:textId="77777777" w:rsidR="00516886" w:rsidRPr="00516886" w:rsidRDefault="00516886" w:rsidP="00516886">
      <w:pPr>
        <w:spacing w:line="240" w:lineRule="auto"/>
        <w:rPr>
          <w:rFonts w:ascii="Times New Roman" w:hAnsi="Times New Roman" w:cs="Times New Roman"/>
          <w:b/>
          <w:bCs/>
        </w:rPr>
      </w:pPr>
      <w:r w:rsidRPr="00516886">
        <w:rPr>
          <w:rFonts w:ascii="Times New Roman" w:hAnsi="Times New Roman" w:cs="Times New Roman"/>
          <w:b/>
          <w:bCs/>
        </w:rPr>
        <w:t>2. Research Question</w:t>
      </w:r>
    </w:p>
    <w:p w14:paraId="69E00B47" w14:textId="0C8D47A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How do investors reallocate capital across seven mutual fund asset categories</w:t>
      </w:r>
      <w:r w:rsidR="004F7BFF">
        <w:rPr>
          <w:rFonts w:ascii="Times New Roman" w:hAnsi="Times New Roman" w:cs="Times New Roman"/>
        </w:rPr>
        <w:t xml:space="preserve"> - </w:t>
      </w:r>
      <w:r w:rsidRPr="00516886">
        <w:rPr>
          <w:rFonts w:ascii="Times New Roman" w:hAnsi="Times New Roman" w:cs="Times New Roman"/>
        </w:rPr>
        <w:t>large-cap equities, small-cap equities, emerging market equities, developed market equities, real assets, corporate bonds, and government bonds</w:t>
      </w:r>
      <w:r w:rsidR="004F7BFF">
        <w:rPr>
          <w:rFonts w:ascii="Times New Roman" w:hAnsi="Times New Roman" w:cs="Times New Roman"/>
        </w:rPr>
        <w:t xml:space="preserve"> - </w:t>
      </w:r>
      <w:r w:rsidRPr="00516886">
        <w:rPr>
          <w:rFonts w:ascii="Times New Roman" w:hAnsi="Times New Roman" w:cs="Times New Roman"/>
        </w:rPr>
        <w:t>following FOMC announcements? How do these reallocations differ between pure monetary policy shocks and Federal Reserve information shocks?</w:t>
      </w:r>
    </w:p>
    <w:p w14:paraId="30A45D99" w14:textId="77777777" w:rsidR="00516886" w:rsidRPr="00516886" w:rsidRDefault="00516886" w:rsidP="00516886">
      <w:pPr>
        <w:spacing w:line="240" w:lineRule="auto"/>
        <w:rPr>
          <w:rFonts w:ascii="Times New Roman" w:hAnsi="Times New Roman" w:cs="Times New Roman"/>
          <w:b/>
          <w:bCs/>
        </w:rPr>
      </w:pPr>
      <w:r w:rsidRPr="00516886">
        <w:rPr>
          <w:rFonts w:ascii="Times New Roman" w:hAnsi="Times New Roman" w:cs="Times New Roman"/>
          <w:b/>
          <w:bCs/>
        </w:rPr>
        <w:t>3. Contribution</w:t>
      </w:r>
    </w:p>
    <w:p w14:paraId="2CA78329"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This study contributes to the macro-finance literature in three ways. First, it extends the two-shocks framework beyond asset prices and aggregate capital flows to examine portfolio reallocation across multiple asset categories. Second, it provides new evidence on the risk-taking channel of monetary policy by mapping substitution patterns across a realistic menu of investment options. Third, it bridges the </w:t>
      </w:r>
      <w:proofErr w:type="gramStart"/>
      <w:r w:rsidRPr="00516886">
        <w:rPr>
          <w:rFonts w:ascii="Times New Roman" w:hAnsi="Times New Roman" w:cs="Times New Roman"/>
        </w:rPr>
        <w:t>literatures</w:t>
      </w:r>
      <w:proofErr w:type="gramEnd"/>
      <w:r w:rsidRPr="00516886">
        <w:rPr>
          <w:rFonts w:ascii="Times New Roman" w:hAnsi="Times New Roman" w:cs="Times New Roman"/>
        </w:rPr>
        <w:t xml:space="preserve"> on monetary policy and portfolio choice by focusing on changes in portfolio composition rather than solely on valuation effects.</w:t>
      </w:r>
    </w:p>
    <w:p w14:paraId="38E97706" w14:textId="77777777" w:rsidR="00516886" w:rsidRPr="00516886" w:rsidRDefault="00516886" w:rsidP="00516886">
      <w:pPr>
        <w:spacing w:line="240" w:lineRule="auto"/>
        <w:rPr>
          <w:rFonts w:ascii="Times New Roman" w:hAnsi="Times New Roman" w:cs="Times New Roman"/>
          <w:b/>
          <w:bCs/>
        </w:rPr>
      </w:pPr>
      <w:r w:rsidRPr="00516886">
        <w:rPr>
          <w:rFonts w:ascii="Times New Roman" w:hAnsi="Times New Roman" w:cs="Times New Roman"/>
          <w:b/>
          <w:bCs/>
        </w:rPr>
        <w:t>4. Data</w:t>
      </w:r>
    </w:p>
    <w:p w14:paraId="6F87F9D1" w14:textId="3C9AA6C5" w:rsidR="00516886" w:rsidRDefault="00516886" w:rsidP="00516886">
      <w:pPr>
        <w:spacing w:line="240" w:lineRule="auto"/>
        <w:rPr>
          <w:rFonts w:ascii="Times New Roman" w:hAnsi="Times New Roman" w:cs="Times New Roman"/>
        </w:rPr>
      </w:pPr>
      <w:r w:rsidRPr="00516886">
        <w:rPr>
          <w:rFonts w:ascii="Times New Roman" w:hAnsi="Times New Roman" w:cs="Times New Roman"/>
        </w:rPr>
        <w:t>The empirical analysis will use mutual fund</w:t>
      </w:r>
      <w:r w:rsidR="004F7BFF">
        <w:rPr>
          <w:rFonts w:ascii="Times New Roman" w:hAnsi="Times New Roman" w:cs="Times New Roman"/>
        </w:rPr>
        <w:t xml:space="preserve"> - </w:t>
      </w:r>
      <w:r w:rsidRPr="00516886">
        <w:rPr>
          <w:rFonts w:ascii="Times New Roman" w:hAnsi="Times New Roman" w:cs="Times New Roman"/>
        </w:rPr>
        <w:t>level data for U.S.-domiciled funds classified into seven asset categories commonly used in portfolio construction. Fund outcomes include returns and net flows measured at monthly</w:t>
      </w:r>
      <w:r w:rsidR="004F7BFF">
        <w:rPr>
          <w:rFonts w:ascii="Times New Roman" w:hAnsi="Times New Roman" w:cs="Times New Roman"/>
        </w:rPr>
        <w:t xml:space="preserve"> (daily</w:t>
      </w:r>
      <w:proofErr w:type="gramStart"/>
      <w:r w:rsidR="004F7BFF">
        <w:rPr>
          <w:rFonts w:ascii="Times New Roman" w:hAnsi="Times New Roman" w:cs="Times New Roman"/>
        </w:rPr>
        <w:t>? )</w:t>
      </w:r>
      <w:proofErr w:type="gramEnd"/>
      <w:r w:rsidRPr="00516886">
        <w:rPr>
          <w:rFonts w:ascii="Times New Roman" w:hAnsi="Times New Roman" w:cs="Times New Roman"/>
        </w:rPr>
        <w:t xml:space="preserve"> frequency. Monetary policy shocks are obtained from established two-shock decompositions based on high-frequency financial data around FOMC announcements, following Nakamura and Steinsson (2018) and </w:t>
      </w:r>
      <w:proofErr w:type="spellStart"/>
      <w:r w:rsidRPr="00516886">
        <w:rPr>
          <w:rFonts w:ascii="Times New Roman" w:hAnsi="Times New Roman" w:cs="Times New Roman"/>
        </w:rPr>
        <w:t>Jarociński</w:t>
      </w:r>
      <w:proofErr w:type="spellEnd"/>
      <w:r w:rsidRPr="00516886">
        <w:rPr>
          <w:rFonts w:ascii="Times New Roman" w:hAnsi="Times New Roman" w:cs="Times New Roman"/>
        </w:rPr>
        <w:t xml:space="preserve"> and Karadi (2020).</w:t>
      </w:r>
    </w:p>
    <w:p w14:paraId="5FAC3F6B" w14:textId="77777777" w:rsidR="004F7BFF" w:rsidRDefault="004F7BFF" w:rsidP="00516886">
      <w:pPr>
        <w:spacing w:line="240" w:lineRule="auto"/>
        <w:rPr>
          <w:rFonts w:ascii="Times New Roman" w:hAnsi="Times New Roman" w:cs="Times New Roman"/>
        </w:rPr>
      </w:pPr>
    </w:p>
    <w:p w14:paraId="7F22BC58" w14:textId="77777777" w:rsidR="00B915F7" w:rsidRDefault="00B915F7" w:rsidP="00516886">
      <w:pPr>
        <w:spacing w:line="240" w:lineRule="auto"/>
        <w:rPr>
          <w:rFonts w:ascii="Times New Roman" w:hAnsi="Times New Roman" w:cs="Times New Roman"/>
        </w:rPr>
      </w:pPr>
    </w:p>
    <w:p w14:paraId="12C84A26" w14:textId="77777777" w:rsidR="00B915F7" w:rsidRDefault="00B915F7" w:rsidP="00516886">
      <w:pPr>
        <w:spacing w:line="240" w:lineRule="auto"/>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2"/>
        <w:gridCol w:w="5781"/>
      </w:tblGrid>
      <w:tr w:rsidR="004F7BFF" w:rsidRPr="004F7BFF" w14:paraId="374404F4" w14:textId="77777777" w:rsidTr="00B915F7">
        <w:trPr>
          <w:tblHeader/>
          <w:tblCellSpacing w:w="15" w:type="dxa"/>
        </w:trPr>
        <w:tc>
          <w:tcPr>
            <w:tcW w:w="0" w:type="auto"/>
            <w:vAlign w:val="center"/>
            <w:hideMark/>
          </w:tcPr>
          <w:p w14:paraId="571509BD" w14:textId="77777777" w:rsidR="004F7BFF" w:rsidRPr="004F7BFF" w:rsidRDefault="004F7BFF" w:rsidP="00B915F7">
            <w:pPr>
              <w:spacing w:line="240" w:lineRule="auto"/>
              <w:jc w:val="both"/>
              <w:rPr>
                <w:rFonts w:ascii="Times New Roman" w:hAnsi="Times New Roman" w:cs="Times New Roman"/>
                <w:b/>
                <w:bCs/>
              </w:rPr>
            </w:pPr>
            <w:r w:rsidRPr="004F7BFF">
              <w:rPr>
                <w:rFonts w:ascii="Times New Roman" w:hAnsi="Times New Roman" w:cs="Times New Roman"/>
                <w:b/>
                <w:bCs/>
              </w:rPr>
              <w:lastRenderedPageBreak/>
              <w:t>Component</w:t>
            </w:r>
          </w:p>
        </w:tc>
        <w:tc>
          <w:tcPr>
            <w:tcW w:w="0" w:type="auto"/>
            <w:vAlign w:val="center"/>
            <w:hideMark/>
          </w:tcPr>
          <w:p w14:paraId="5D2388CD" w14:textId="77777777" w:rsidR="004F7BFF" w:rsidRPr="004F7BFF" w:rsidRDefault="004F7BFF" w:rsidP="00B915F7">
            <w:pPr>
              <w:spacing w:line="240" w:lineRule="auto"/>
              <w:jc w:val="both"/>
              <w:rPr>
                <w:rFonts w:ascii="Times New Roman" w:hAnsi="Times New Roman" w:cs="Times New Roman"/>
                <w:b/>
                <w:bCs/>
              </w:rPr>
            </w:pPr>
            <w:r w:rsidRPr="004F7BFF">
              <w:rPr>
                <w:rFonts w:ascii="Times New Roman" w:hAnsi="Times New Roman" w:cs="Times New Roman"/>
                <w:b/>
                <w:bCs/>
              </w:rPr>
              <w:t>Data Source</w:t>
            </w:r>
          </w:p>
        </w:tc>
      </w:tr>
      <w:tr w:rsidR="004F7BFF" w:rsidRPr="004F7BFF" w14:paraId="6A541BF4" w14:textId="77777777" w:rsidTr="00B915F7">
        <w:trPr>
          <w:tblCellSpacing w:w="15" w:type="dxa"/>
        </w:trPr>
        <w:tc>
          <w:tcPr>
            <w:tcW w:w="0" w:type="auto"/>
            <w:vAlign w:val="center"/>
            <w:hideMark/>
          </w:tcPr>
          <w:p w14:paraId="477ECE5F" w14:textId="77777777" w:rsidR="004F7BFF" w:rsidRPr="004F7BFF" w:rsidRDefault="004F7BFF" w:rsidP="00B915F7">
            <w:pPr>
              <w:spacing w:line="240" w:lineRule="auto"/>
              <w:jc w:val="both"/>
              <w:rPr>
                <w:rFonts w:ascii="Times New Roman" w:hAnsi="Times New Roman" w:cs="Times New Roman"/>
              </w:rPr>
            </w:pPr>
            <w:r w:rsidRPr="004F7BFF">
              <w:rPr>
                <w:rFonts w:ascii="Times New Roman" w:hAnsi="Times New Roman" w:cs="Times New Roman"/>
              </w:rPr>
              <w:t>Policy &amp; Information Shocks</w:t>
            </w:r>
          </w:p>
        </w:tc>
        <w:tc>
          <w:tcPr>
            <w:tcW w:w="0" w:type="auto"/>
            <w:vAlign w:val="center"/>
            <w:hideMark/>
          </w:tcPr>
          <w:p w14:paraId="66BFE229" w14:textId="77777777" w:rsidR="004F7BFF" w:rsidRPr="004F7BFF" w:rsidRDefault="004F7BFF" w:rsidP="00B915F7">
            <w:pPr>
              <w:spacing w:line="240" w:lineRule="auto"/>
              <w:jc w:val="both"/>
              <w:rPr>
                <w:rFonts w:ascii="Times New Roman" w:hAnsi="Times New Roman" w:cs="Times New Roman"/>
              </w:rPr>
            </w:pPr>
            <w:proofErr w:type="spellStart"/>
            <w:r w:rsidRPr="004F7BFF">
              <w:rPr>
                <w:rFonts w:ascii="Times New Roman" w:hAnsi="Times New Roman" w:cs="Times New Roman"/>
              </w:rPr>
              <w:t>Jarociński</w:t>
            </w:r>
            <w:proofErr w:type="spellEnd"/>
            <w:r w:rsidRPr="004F7BFF">
              <w:rPr>
                <w:rFonts w:ascii="Times New Roman" w:hAnsi="Times New Roman" w:cs="Times New Roman"/>
              </w:rPr>
              <w:t xml:space="preserve"> &amp; Karadi (2020); Nakamura &amp; Steinsson (2018)</w:t>
            </w:r>
          </w:p>
        </w:tc>
      </w:tr>
      <w:tr w:rsidR="004F7BFF" w:rsidRPr="004F7BFF" w14:paraId="5DEA0FFD" w14:textId="77777777" w:rsidTr="00B915F7">
        <w:trPr>
          <w:tblCellSpacing w:w="15" w:type="dxa"/>
        </w:trPr>
        <w:tc>
          <w:tcPr>
            <w:tcW w:w="0" w:type="auto"/>
            <w:vAlign w:val="center"/>
            <w:hideMark/>
          </w:tcPr>
          <w:p w14:paraId="37C15069" w14:textId="77777777" w:rsidR="004F7BFF" w:rsidRPr="004F7BFF" w:rsidRDefault="004F7BFF" w:rsidP="00B915F7">
            <w:pPr>
              <w:spacing w:line="240" w:lineRule="auto"/>
              <w:jc w:val="both"/>
              <w:rPr>
                <w:rFonts w:ascii="Times New Roman" w:hAnsi="Times New Roman" w:cs="Times New Roman"/>
              </w:rPr>
            </w:pPr>
            <w:r w:rsidRPr="004F7BFF">
              <w:rPr>
                <w:rFonts w:ascii="Times New Roman" w:hAnsi="Times New Roman" w:cs="Times New Roman"/>
              </w:rPr>
              <w:t>Mutual Fund Returns &amp; AUM</w:t>
            </w:r>
          </w:p>
        </w:tc>
        <w:tc>
          <w:tcPr>
            <w:tcW w:w="0" w:type="auto"/>
            <w:vAlign w:val="center"/>
            <w:hideMark/>
          </w:tcPr>
          <w:p w14:paraId="0E368DC9" w14:textId="77777777" w:rsidR="004F7BFF" w:rsidRPr="004F7BFF" w:rsidRDefault="004F7BFF" w:rsidP="00B915F7">
            <w:pPr>
              <w:spacing w:line="240" w:lineRule="auto"/>
              <w:jc w:val="both"/>
              <w:rPr>
                <w:rFonts w:ascii="Times New Roman" w:hAnsi="Times New Roman" w:cs="Times New Roman"/>
              </w:rPr>
            </w:pPr>
            <w:r w:rsidRPr="004F7BFF">
              <w:rPr>
                <w:rFonts w:ascii="Times New Roman" w:hAnsi="Times New Roman" w:cs="Times New Roman"/>
              </w:rPr>
              <w:t>CRSP Survivor-Bias-Free Mutual Fund Database</w:t>
            </w:r>
          </w:p>
        </w:tc>
      </w:tr>
      <w:tr w:rsidR="004F7BFF" w:rsidRPr="004F7BFF" w14:paraId="384A7953" w14:textId="77777777" w:rsidTr="00B915F7">
        <w:trPr>
          <w:tblCellSpacing w:w="15" w:type="dxa"/>
        </w:trPr>
        <w:tc>
          <w:tcPr>
            <w:tcW w:w="0" w:type="auto"/>
            <w:vAlign w:val="center"/>
            <w:hideMark/>
          </w:tcPr>
          <w:p w14:paraId="7774510C" w14:textId="77777777" w:rsidR="004F7BFF" w:rsidRPr="004F7BFF" w:rsidRDefault="004F7BFF" w:rsidP="00B915F7">
            <w:pPr>
              <w:spacing w:line="240" w:lineRule="auto"/>
              <w:jc w:val="both"/>
              <w:rPr>
                <w:rFonts w:ascii="Times New Roman" w:hAnsi="Times New Roman" w:cs="Times New Roman"/>
              </w:rPr>
            </w:pPr>
            <w:r w:rsidRPr="004F7BFF">
              <w:rPr>
                <w:rFonts w:ascii="Times New Roman" w:hAnsi="Times New Roman" w:cs="Times New Roman"/>
              </w:rPr>
              <w:t>Fund Flows</w:t>
            </w:r>
          </w:p>
        </w:tc>
        <w:tc>
          <w:tcPr>
            <w:tcW w:w="0" w:type="auto"/>
            <w:vAlign w:val="center"/>
            <w:hideMark/>
          </w:tcPr>
          <w:p w14:paraId="44562807" w14:textId="77777777" w:rsidR="004F7BFF" w:rsidRPr="004F7BFF" w:rsidRDefault="004F7BFF" w:rsidP="00B915F7">
            <w:pPr>
              <w:spacing w:line="240" w:lineRule="auto"/>
              <w:jc w:val="both"/>
              <w:rPr>
                <w:rFonts w:ascii="Times New Roman" w:hAnsi="Times New Roman" w:cs="Times New Roman"/>
              </w:rPr>
            </w:pPr>
            <w:r w:rsidRPr="004F7BFF">
              <w:rPr>
                <w:rFonts w:ascii="Times New Roman" w:hAnsi="Times New Roman" w:cs="Times New Roman"/>
              </w:rPr>
              <w:t>Constructed from CRSP TNA and returns</w:t>
            </w:r>
          </w:p>
        </w:tc>
      </w:tr>
      <w:tr w:rsidR="004F7BFF" w:rsidRPr="004F7BFF" w14:paraId="0A29B11F" w14:textId="77777777" w:rsidTr="00B915F7">
        <w:trPr>
          <w:tblCellSpacing w:w="15" w:type="dxa"/>
        </w:trPr>
        <w:tc>
          <w:tcPr>
            <w:tcW w:w="0" w:type="auto"/>
            <w:vAlign w:val="center"/>
            <w:hideMark/>
          </w:tcPr>
          <w:p w14:paraId="1C1D2465" w14:textId="77777777" w:rsidR="004F7BFF" w:rsidRPr="004F7BFF" w:rsidRDefault="004F7BFF" w:rsidP="00B915F7">
            <w:pPr>
              <w:spacing w:line="240" w:lineRule="auto"/>
              <w:jc w:val="both"/>
              <w:rPr>
                <w:rFonts w:ascii="Times New Roman" w:hAnsi="Times New Roman" w:cs="Times New Roman"/>
              </w:rPr>
            </w:pPr>
            <w:r w:rsidRPr="004F7BFF">
              <w:rPr>
                <w:rFonts w:ascii="Times New Roman" w:hAnsi="Times New Roman" w:cs="Times New Roman"/>
              </w:rPr>
              <w:t>Market Controls</w:t>
            </w:r>
          </w:p>
        </w:tc>
        <w:tc>
          <w:tcPr>
            <w:tcW w:w="0" w:type="auto"/>
            <w:vAlign w:val="center"/>
            <w:hideMark/>
          </w:tcPr>
          <w:p w14:paraId="2509F5DC" w14:textId="77777777" w:rsidR="004F7BFF" w:rsidRPr="004F7BFF" w:rsidRDefault="004F7BFF" w:rsidP="00B915F7">
            <w:pPr>
              <w:spacing w:line="240" w:lineRule="auto"/>
              <w:jc w:val="both"/>
              <w:rPr>
                <w:rFonts w:ascii="Times New Roman" w:hAnsi="Times New Roman" w:cs="Times New Roman"/>
              </w:rPr>
            </w:pPr>
            <w:r w:rsidRPr="004F7BFF">
              <w:rPr>
                <w:rFonts w:ascii="Times New Roman" w:hAnsi="Times New Roman" w:cs="Times New Roman"/>
              </w:rPr>
              <w:t>CRSP, FRED</w:t>
            </w:r>
          </w:p>
        </w:tc>
      </w:tr>
    </w:tbl>
    <w:p w14:paraId="08B06042" w14:textId="77777777" w:rsidR="004F7BFF" w:rsidRDefault="004F7BFF" w:rsidP="00516886">
      <w:pPr>
        <w:spacing w:line="240" w:lineRule="auto"/>
        <w:rPr>
          <w:rFonts w:ascii="Times New Roman" w:hAnsi="Times New Roman" w:cs="Times New Roman"/>
        </w:rPr>
      </w:pPr>
    </w:p>
    <w:p w14:paraId="08A97392" w14:textId="797D7375" w:rsidR="002E2A26" w:rsidRPr="002E2A26" w:rsidRDefault="002E2A26" w:rsidP="002E2A26">
      <w:pPr>
        <w:spacing w:line="240" w:lineRule="auto"/>
        <w:rPr>
          <w:rFonts w:ascii="Times New Roman" w:hAnsi="Times New Roman" w:cs="Times New Roman"/>
          <w:b/>
          <w:bCs/>
        </w:rPr>
      </w:pPr>
      <w:r>
        <w:rPr>
          <w:rFonts w:ascii="Times New Roman" w:hAnsi="Times New Roman" w:cs="Times New Roman"/>
          <w:b/>
          <w:bCs/>
        </w:rPr>
        <w:t>5</w:t>
      </w:r>
      <w:r w:rsidRPr="002E2A26">
        <w:rPr>
          <w:rFonts w:ascii="Times New Roman" w:hAnsi="Times New Roman" w:cs="Times New Roman"/>
          <w:b/>
          <w:bCs/>
        </w:rPr>
        <w:t>. Econometric Model and Hypotheses</w:t>
      </w:r>
    </w:p>
    <w:p w14:paraId="67C36242" w14:textId="48CAA779" w:rsidR="002E2A26" w:rsidRPr="002E2A26" w:rsidRDefault="002E2A26" w:rsidP="002E2A26">
      <w:pPr>
        <w:spacing w:line="240" w:lineRule="auto"/>
        <w:rPr>
          <w:rFonts w:ascii="Times New Roman" w:hAnsi="Times New Roman" w:cs="Times New Roman"/>
          <w:b/>
          <w:bCs/>
        </w:rPr>
      </w:pPr>
      <w:r>
        <w:rPr>
          <w:rFonts w:ascii="Times New Roman" w:hAnsi="Times New Roman" w:cs="Times New Roman"/>
          <w:b/>
          <w:bCs/>
        </w:rPr>
        <w:t>5</w:t>
      </w:r>
      <w:r w:rsidRPr="002E2A26">
        <w:rPr>
          <w:rFonts w:ascii="Times New Roman" w:hAnsi="Times New Roman" w:cs="Times New Roman"/>
          <w:b/>
          <w:bCs/>
        </w:rPr>
        <w:t>.1 Econometric Model</w:t>
      </w:r>
    </w:p>
    <w:p w14:paraId="4D9D5CFC"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The empirical analysis examines how unexpected monetary policy announcements by the Federal Reserve affect portfolio reallocation across asset classes. The unit of observation is an asset class–month, and the outcome variable measures net mutual fund flows following Federal Open Market Committee (FOMC) announcements.</w:t>
      </w:r>
    </w:p>
    <w:p w14:paraId="290515AD" w14:textId="3AAEF45E"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 xml:space="preserve">Let </w:t>
      </w:r>
      <m:oMath>
        <m:r>
          <w:rPr>
            <w:rFonts w:ascii="Cambria Math" w:hAnsi="Cambria Math" w:cs="Times New Roman"/>
          </w:rPr>
          <m:t>i</m:t>
        </m:r>
      </m:oMath>
      <w:r w:rsidRPr="002E2A26">
        <w:rPr>
          <w:rFonts w:ascii="Times New Roman" w:hAnsi="Times New Roman" w:cs="Times New Roman"/>
        </w:rPr>
        <w:t xml:space="preserve">index asset classes, including large-cap equities, small-cap equities, emerging market equities, developed market equities, real assets, corporate bonds, and government bonds. Let </w:t>
      </w:r>
      <m:oMath>
        <m:r>
          <w:rPr>
            <w:rFonts w:ascii="Cambria Math" w:hAnsi="Cambria Math" w:cs="Times New Roman"/>
          </w:rPr>
          <m:t>t</m:t>
        </m:r>
      </m:oMath>
      <w:r w:rsidRPr="002E2A26">
        <w:rPr>
          <w:rFonts w:ascii="Times New Roman" w:hAnsi="Times New Roman" w:cs="Times New Roman"/>
        </w:rPr>
        <w:t>index FOMC meeting dates. Monetary policy news is decomposed into two orthogonal components following the established two-shocks framework: a pure monetary policy shock (</w:t>
      </w:r>
      <m:oMath>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oMath>
      <w:r w:rsidRPr="002E2A26">
        <w:rPr>
          <w:rFonts w:ascii="Times New Roman" w:hAnsi="Times New Roman" w:cs="Times New Roman"/>
        </w:rPr>
        <w:t>) and an information shock (</w:t>
      </w:r>
      <m:oMath>
        <m:r>
          <w:rPr>
            <w:rFonts w:ascii="Cambria Math" w:hAnsi="Cambria Math" w:cs="Times New Roman"/>
          </w:rPr>
          <m:t>INF</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oMath>
      <w:r w:rsidRPr="002E2A26">
        <w:rPr>
          <w:rFonts w:ascii="Times New Roman" w:hAnsi="Times New Roman" w:cs="Times New Roman"/>
        </w:rPr>
        <w:t>), both measured using high-frequency financial market data around FOMC announcements.</w:t>
      </w:r>
    </w:p>
    <w:p w14:paraId="431D576D"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The baseline specification estimates asset-class-specific responses to each type of shock:</w:t>
      </w:r>
    </w:p>
    <w:p w14:paraId="57AFD8AC" w14:textId="19556B21" w:rsidR="002E2A26" w:rsidRPr="002E2A26" w:rsidRDefault="002E2A26" w:rsidP="002E2A26">
      <w:pPr>
        <w:spacing w:line="240" w:lineRule="auto"/>
        <w:rPr>
          <w:rFonts w:ascii="Times New Roman" w:hAnsi="Times New Roman" w:cs="Times New Roman"/>
        </w:rPr>
      </w:pPr>
      <m:oMathPara>
        <m:oMath>
          <m:r>
            <w:rPr>
              <w:rFonts w:ascii="Cambria Math" w:hAnsi="Cambria Math" w:cs="Times New Roman"/>
            </w:rPr>
            <m:t>Flo</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i,t+h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r>
            <w:rPr>
              <w:rFonts w:ascii="Cambria Math" w:hAnsi="Cambria Math" w:cs="Times New Roman"/>
            </w:rPr>
            <m:t>INF</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i,t+h</m:t>
              </m:r>
            </m:sub>
          </m:sSub>
          <m:r>
            <w:rPr>
              <w:rFonts w:ascii="Times New Roman" w:hAnsi="Times New Roman" w:cs="Times New Roman"/>
            </w:rPr>
            <w:br/>
          </m:r>
        </m:oMath>
      </m:oMathPara>
    </w:p>
    <w:p w14:paraId="101823CA" w14:textId="29FC6450"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 xml:space="preserve">where </w:t>
      </w:r>
      <m:oMath>
        <m:r>
          <w:rPr>
            <w:rFonts w:ascii="Cambria Math" w:hAnsi="Cambria Math" w:cs="Times New Roman"/>
          </w:rPr>
          <m:t>Flo</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i,t+h</m:t>
            </m:r>
          </m:sub>
        </m:sSub>
      </m:oMath>
      <w:r w:rsidRPr="002E2A26">
        <w:rPr>
          <w:rFonts w:ascii="Times New Roman" w:hAnsi="Times New Roman" w:cs="Times New Roman"/>
        </w:rPr>
        <w:t xml:space="preserve">denotes net mutual fund flows into asset class </w:t>
      </w:r>
      <m:oMath>
        <m:r>
          <w:rPr>
            <w:rFonts w:ascii="Cambria Math" w:hAnsi="Cambria Math" w:cs="Times New Roman"/>
          </w:rPr>
          <m:t>i</m:t>
        </m:r>
      </m:oMath>
      <w:r w:rsidRPr="002E2A26">
        <w:rPr>
          <w:rFonts w:ascii="Times New Roman" w:hAnsi="Times New Roman" w:cs="Times New Roman"/>
        </w:rPr>
        <w:t xml:space="preserve">over horizon </w:t>
      </w:r>
      <m:oMath>
        <m:r>
          <w:rPr>
            <w:rFonts w:ascii="Cambria Math" w:hAnsi="Cambria Math" w:cs="Times New Roman"/>
          </w:rPr>
          <m:t>h</m:t>
        </m:r>
      </m:oMath>
      <w:r w:rsidRPr="002E2A26">
        <w:rPr>
          <w:rFonts w:ascii="Times New Roman" w:hAnsi="Times New Roman" w:cs="Times New Roman"/>
        </w:rPr>
        <w:t xml:space="preserve">following the FOMC announcement, measured as a percentage of assets under management. The fixed effects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oMath>
      <w:r w:rsidRPr="002E2A26">
        <w:rPr>
          <w:rFonts w:ascii="Times New Roman" w:hAnsi="Times New Roman" w:cs="Times New Roman"/>
        </w:rPr>
        <w:t xml:space="preserve">control for time-invariant differences across asset classes. The coefficients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i</m:t>
            </m:r>
          </m:sub>
        </m:sSub>
      </m:oMath>
      <w:r w:rsidRPr="002E2A26">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oMath>
      <w:r w:rsidRPr="002E2A26">
        <w:rPr>
          <w:rFonts w:ascii="Times New Roman" w:hAnsi="Times New Roman" w:cs="Times New Roman"/>
        </w:rPr>
        <w:t>capture the sensitivity of each asset class to policy and information shocks, respectively.</w:t>
      </w:r>
    </w:p>
    <w:p w14:paraId="0921C60A"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This specification allows for unrestricted heterogeneity across asset classes and directly identifies cross-asset substitution patterns following monetary policy announcements.</w:t>
      </w:r>
    </w:p>
    <w:p w14:paraId="6FB73650"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To summarize the reallocation mechanism more parsimoniously, a complementary specification imposes structure based on asset-class risk characteristics:</w:t>
      </w:r>
    </w:p>
    <w:p w14:paraId="62AB7C3E" w14:textId="02EAF059" w:rsidR="002E2A26" w:rsidRPr="002E2A26" w:rsidRDefault="002E2A26" w:rsidP="002E2A26">
      <w:pPr>
        <w:spacing w:line="240" w:lineRule="auto"/>
        <w:rPr>
          <w:rFonts w:ascii="Times New Roman" w:hAnsi="Times New Roman" w:cs="Times New Roman"/>
        </w:rPr>
      </w:pPr>
      <m:oMathPara>
        <m:oMath>
          <m:r>
            <w:rPr>
              <w:rFonts w:ascii="Cambria Math" w:hAnsi="Cambria Math" w:cs="Times New Roman"/>
            </w:rPr>
            <m:t>Flo</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i,t+h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INF</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×Ris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4</m:t>
              </m:r>
            </m:sub>
          </m:sSub>
          <m:r>
            <w:rPr>
              <w:rFonts w:ascii="Cambria Math" w:hAnsi="Cambria Math" w:cs="Times New Roman"/>
            </w:rPr>
            <m:t>(INF</m:t>
          </m:r>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×Ris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i,t+h</m:t>
              </m:r>
            </m:sub>
          </m:sSub>
          <m:r>
            <w:rPr>
              <w:rFonts w:ascii="Times New Roman" w:hAnsi="Times New Roman" w:cs="Times New Roman"/>
            </w:rPr>
            <w:br/>
          </m:r>
        </m:oMath>
      </m:oMathPara>
    </w:p>
    <w:p w14:paraId="67CA46FD" w14:textId="07872B53"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 xml:space="preserve">where </w:t>
      </w:r>
      <m:oMath>
        <m:r>
          <w:rPr>
            <w:rFonts w:ascii="Cambria Math" w:hAnsi="Cambria Math" w:cs="Times New Roman"/>
          </w:rPr>
          <m:t>Ris</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w:r w:rsidRPr="002E2A26">
        <w:rPr>
          <w:rFonts w:ascii="Times New Roman" w:hAnsi="Times New Roman" w:cs="Times New Roman"/>
        </w:rPr>
        <w:t xml:space="preserve">is a fixed measure of the relative riskiness of asset class </w:t>
      </w:r>
      <m:oMath>
        <m:r>
          <w:rPr>
            <w:rFonts w:ascii="Cambria Math" w:hAnsi="Cambria Math" w:cs="Times New Roman"/>
          </w:rPr>
          <m:t>i</m:t>
        </m:r>
      </m:oMath>
      <w:r w:rsidRPr="002E2A26">
        <w:rPr>
          <w:rFonts w:ascii="Times New Roman" w:hAnsi="Times New Roman" w:cs="Times New Roman"/>
        </w:rPr>
        <w:t>. This specification tests whether portfolio reallocation following FOMC announcements systematically varies with asset-class risk, consistent with the risk-taking channel of monetary policy.</w:t>
      </w:r>
    </w:p>
    <w:p w14:paraId="56124A66" w14:textId="35B63778" w:rsidR="002E2A26" w:rsidRPr="002E2A26" w:rsidRDefault="002E2A26" w:rsidP="002E2A26">
      <w:pPr>
        <w:spacing w:line="240" w:lineRule="auto"/>
        <w:rPr>
          <w:rFonts w:ascii="Times New Roman" w:hAnsi="Times New Roman" w:cs="Times New Roman"/>
        </w:rPr>
      </w:pPr>
    </w:p>
    <w:p w14:paraId="16BD19E0" w14:textId="6CA94B2F" w:rsidR="002E2A26" w:rsidRPr="002E2A26" w:rsidRDefault="002E2A26" w:rsidP="002E2A26">
      <w:pPr>
        <w:spacing w:line="240" w:lineRule="auto"/>
        <w:rPr>
          <w:rFonts w:ascii="Times New Roman" w:hAnsi="Times New Roman" w:cs="Times New Roman"/>
          <w:b/>
          <w:bCs/>
        </w:rPr>
      </w:pPr>
      <w:r>
        <w:rPr>
          <w:rFonts w:ascii="Times New Roman" w:hAnsi="Times New Roman" w:cs="Times New Roman"/>
          <w:b/>
          <w:bCs/>
        </w:rPr>
        <w:lastRenderedPageBreak/>
        <w:t>5</w:t>
      </w:r>
      <w:r w:rsidRPr="002E2A26">
        <w:rPr>
          <w:rFonts w:ascii="Times New Roman" w:hAnsi="Times New Roman" w:cs="Times New Roman"/>
          <w:b/>
          <w:bCs/>
        </w:rPr>
        <w:t>.2 Hypotheses</w:t>
      </w:r>
    </w:p>
    <w:p w14:paraId="6F9672A6" w14:textId="24919B00"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b/>
          <w:bCs/>
        </w:rPr>
        <w:t>Hypothesis 1 (Risk-Off Reallocation Following Policy Shocks).</w:t>
      </w:r>
      <w:r w:rsidRPr="002E2A26">
        <w:rPr>
          <w:rFonts w:ascii="Times New Roman" w:hAnsi="Times New Roman" w:cs="Times New Roman"/>
        </w:rPr>
        <w:br/>
        <w:t xml:space="preserve">Pure monetary policy </w:t>
      </w:r>
      <w:r w:rsidR="00B915F7" w:rsidRPr="002E2A26">
        <w:rPr>
          <w:rFonts w:ascii="Times New Roman" w:hAnsi="Times New Roman" w:cs="Times New Roman"/>
        </w:rPr>
        <w:t>tightening</w:t>
      </w:r>
      <w:r w:rsidRPr="002E2A26">
        <w:rPr>
          <w:rFonts w:ascii="Times New Roman" w:hAnsi="Times New Roman" w:cs="Times New Roman"/>
        </w:rPr>
        <w:t xml:space="preserve"> lead to net outflows from higher-risk asset classes and net inflows into safer asset classes.</w:t>
      </w:r>
    </w:p>
    <w:p w14:paraId="79B9470F"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i/>
          <w:iCs/>
        </w:rPr>
        <w:t>Rationale.</w:t>
      </w:r>
      <w:r w:rsidRPr="002E2A26">
        <w:rPr>
          <w:rFonts w:ascii="Times New Roman" w:hAnsi="Times New Roman" w:cs="Times New Roman"/>
        </w:rPr>
        <w:t xml:space="preserve"> Unexpected policy tightening raises discount rates and funding costs, reducing investors’ willingness to bear risk. As a result, capital flows out of riskier assets such as small-cap equities, emerging market equities, and real assets, and into safer assets such as government bonds.</w:t>
      </w:r>
    </w:p>
    <w:p w14:paraId="04ABDFEC"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b/>
          <w:bCs/>
        </w:rPr>
        <w:t>Hypothesis 2 (Risk-On Reallocation Following Information Shocks).</w:t>
      </w:r>
      <w:r w:rsidRPr="002E2A26">
        <w:rPr>
          <w:rFonts w:ascii="Times New Roman" w:hAnsi="Times New Roman" w:cs="Times New Roman"/>
        </w:rPr>
        <w:br/>
        <w:t>Positive information shocks induce net inflows into riskier asset classes and net outflows from safe assets.</w:t>
      </w:r>
    </w:p>
    <w:p w14:paraId="50BA2093"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i/>
          <w:iCs/>
        </w:rPr>
        <w:t>Rationale.</w:t>
      </w:r>
      <w:r w:rsidRPr="002E2A26">
        <w:rPr>
          <w:rFonts w:ascii="Times New Roman" w:hAnsi="Times New Roman" w:cs="Times New Roman"/>
        </w:rPr>
        <w:t xml:space="preserve"> Information shocks reveal the Federal Reserve’s assessment of stronger economic fundamentals. Improved growth prospects increase risk appetite, leading investors to reallocate capital toward riskier assets, particularly within equity categories.</w:t>
      </w:r>
    </w:p>
    <w:p w14:paraId="4E86893B"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b/>
          <w:bCs/>
        </w:rPr>
        <w:t>Hypothesis 3 (Asymmetric Portfolio Responses Across Shock Types).</w:t>
      </w:r>
      <w:r w:rsidRPr="002E2A26">
        <w:rPr>
          <w:rFonts w:ascii="Times New Roman" w:hAnsi="Times New Roman" w:cs="Times New Roman"/>
        </w:rPr>
        <w:br/>
        <w:t>Portfolio reallocations following pure monetary policy shocks differ systematically from reallocations following information shocks.</w:t>
      </w:r>
    </w:p>
    <w:p w14:paraId="1A4B821D"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i/>
          <w:iCs/>
        </w:rPr>
        <w:t>Rationale.</w:t>
      </w:r>
      <w:r w:rsidRPr="002E2A26">
        <w:rPr>
          <w:rFonts w:ascii="Times New Roman" w:hAnsi="Times New Roman" w:cs="Times New Roman"/>
        </w:rPr>
        <w:t xml:space="preserve"> While both shocks occur at FOMC announcements, they operate through distinct channels. Policy shocks primarily affect discount rates and financial conditions, whereas information shocks affect expectations about future cash flows. These differences imply distinct reallocation patterns across asset classes.</w:t>
      </w:r>
    </w:p>
    <w:p w14:paraId="5D15728F"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b/>
          <w:bCs/>
        </w:rPr>
        <w:t>Hypothesis 4 (Risk-Ladder Substitution).</w:t>
      </w:r>
      <w:r w:rsidRPr="002E2A26">
        <w:rPr>
          <w:rFonts w:ascii="Times New Roman" w:hAnsi="Times New Roman" w:cs="Times New Roman"/>
        </w:rPr>
        <w:br/>
        <w:t>Portfolio reallocation occurs along a risk ladder rather than as a binary shift between equities and bonds.</w:t>
      </w:r>
    </w:p>
    <w:p w14:paraId="1AD8BB02"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i/>
          <w:iCs/>
        </w:rPr>
        <w:t>Rationale.</w:t>
      </w:r>
      <w:r w:rsidRPr="002E2A26">
        <w:rPr>
          <w:rFonts w:ascii="Times New Roman" w:hAnsi="Times New Roman" w:cs="Times New Roman"/>
        </w:rPr>
        <w:t xml:space="preserve"> Investors rebalance portfolios across a spectrum of risk levels. Outflows from high-risk asset classes are partially absorbed by intermediate-risk assets such as large-cap equities and corporate bonds, rather than flowing exclusively into the safest assets.</w:t>
      </w:r>
    </w:p>
    <w:p w14:paraId="78C52706" w14:textId="77777777" w:rsidR="002E2A26" w:rsidRPr="002E2A26" w:rsidRDefault="002E2A26" w:rsidP="002E2A26">
      <w:pPr>
        <w:spacing w:line="240" w:lineRule="auto"/>
        <w:rPr>
          <w:rFonts w:ascii="Times New Roman" w:hAnsi="Times New Roman" w:cs="Times New Roman"/>
          <w:b/>
          <w:bCs/>
        </w:rPr>
      </w:pPr>
      <w:r w:rsidRPr="002E2A26">
        <w:rPr>
          <w:rFonts w:ascii="Times New Roman" w:hAnsi="Times New Roman" w:cs="Times New Roman"/>
          <w:b/>
          <w:bCs/>
        </w:rPr>
        <w:t>Summary</w:t>
      </w:r>
    </w:p>
    <w:p w14:paraId="3E770D7C" w14:textId="77777777" w:rsidR="002E2A26" w:rsidRPr="002E2A26" w:rsidRDefault="002E2A26" w:rsidP="002E2A26">
      <w:pPr>
        <w:spacing w:line="240" w:lineRule="auto"/>
        <w:rPr>
          <w:rFonts w:ascii="Times New Roman" w:hAnsi="Times New Roman" w:cs="Times New Roman"/>
        </w:rPr>
      </w:pPr>
      <w:r w:rsidRPr="002E2A26">
        <w:rPr>
          <w:rFonts w:ascii="Times New Roman" w:hAnsi="Times New Roman" w:cs="Times New Roman"/>
        </w:rPr>
        <w:t>Together, these models and hypotheses allow for a comprehensive examination of how monetary policy announcements reshape portfolio composition across asset classes. By distinguishing between policy and information shocks and focusing on investor flows rather than prices alone, the analysis provides new evidence on the mechanisms through which monetary policy affects financial markets.</w:t>
      </w:r>
    </w:p>
    <w:p w14:paraId="493FB6B3" w14:textId="0484926A" w:rsidR="00516886" w:rsidRPr="00516886" w:rsidRDefault="002E2A26" w:rsidP="00516886">
      <w:pPr>
        <w:spacing w:line="240" w:lineRule="auto"/>
        <w:rPr>
          <w:rFonts w:ascii="Times New Roman" w:hAnsi="Times New Roman" w:cs="Times New Roman"/>
          <w:b/>
          <w:bCs/>
        </w:rPr>
      </w:pPr>
      <w:r>
        <w:rPr>
          <w:rFonts w:ascii="Times New Roman" w:hAnsi="Times New Roman" w:cs="Times New Roman"/>
          <w:b/>
          <w:bCs/>
        </w:rPr>
        <w:t>6</w:t>
      </w:r>
      <w:r w:rsidR="00516886" w:rsidRPr="00516886">
        <w:rPr>
          <w:rFonts w:ascii="Times New Roman" w:hAnsi="Times New Roman" w:cs="Times New Roman"/>
          <w:b/>
          <w:bCs/>
        </w:rPr>
        <w:t>. Empirical Strategy</w:t>
      </w:r>
    </w:p>
    <w:p w14:paraId="2C50C732"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The empirical approach estimates panel regressions of fund-level or category-level flows on policy and information shocks. The baseline specification relates </w:t>
      </w:r>
      <w:proofErr w:type="gramStart"/>
      <w:r w:rsidRPr="00516886">
        <w:rPr>
          <w:rFonts w:ascii="Times New Roman" w:hAnsi="Times New Roman" w:cs="Times New Roman"/>
        </w:rPr>
        <w:t>post</w:t>
      </w:r>
      <w:proofErr w:type="gramEnd"/>
      <w:r w:rsidRPr="00516886">
        <w:rPr>
          <w:rFonts w:ascii="Times New Roman" w:hAnsi="Times New Roman" w:cs="Times New Roman"/>
        </w:rPr>
        <w:t xml:space="preserve">-announcement </w:t>
      </w:r>
      <w:proofErr w:type="gramStart"/>
      <w:r w:rsidRPr="00516886">
        <w:rPr>
          <w:rFonts w:ascii="Times New Roman" w:hAnsi="Times New Roman" w:cs="Times New Roman"/>
        </w:rPr>
        <w:t>fund</w:t>
      </w:r>
      <w:proofErr w:type="gramEnd"/>
      <w:r w:rsidRPr="00516886">
        <w:rPr>
          <w:rFonts w:ascii="Times New Roman" w:hAnsi="Times New Roman" w:cs="Times New Roman"/>
        </w:rPr>
        <w:t xml:space="preserve"> flows to contemporaneous monetary policy shocks, controlling for fund characteristics and market conditions. Interaction terms allow responses to vary by asset category, enabling an assessment of cross-category substitution and risk-tier reallocation.</w:t>
      </w:r>
    </w:p>
    <w:p w14:paraId="31F69EA9"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lastRenderedPageBreak/>
        <w:t>Event-study specifications will be used to verify that reallocations occur after FOMC announcements and not before, strengthening the causal interpretation of the results.</w:t>
      </w:r>
    </w:p>
    <w:p w14:paraId="2C18739B" w14:textId="77777777" w:rsidR="00B915F7" w:rsidRDefault="00B915F7" w:rsidP="00516886">
      <w:pPr>
        <w:spacing w:line="240" w:lineRule="auto"/>
        <w:rPr>
          <w:rFonts w:ascii="Times New Roman" w:hAnsi="Times New Roman" w:cs="Times New Roman"/>
        </w:rPr>
      </w:pPr>
    </w:p>
    <w:p w14:paraId="4D9D4800" w14:textId="00F402B4" w:rsidR="00516886" w:rsidRPr="00516886" w:rsidRDefault="002E2A26" w:rsidP="00516886">
      <w:pPr>
        <w:spacing w:line="240" w:lineRule="auto"/>
        <w:rPr>
          <w:rFonts w:ascii="Times New Roman" w:hAnsi="Times New Roman" w:cs="Times New Roman"/>
          <w:b/>
          <w:bCs/>
        </w:rPr>
      </w:pPr>
      <w:r>
        <w:rPr>
          <w:rFonts w:ascii="Times New Roman" w:hAnsi="Times New Roman" w:cs="Times New Roman"/>
          <w:b/>
          <w:bCs/>
        </w:rPr>
        <w:t>7</w:t>
      </w:r>
      <w:r w:rsidR="00516886" w:rsidRPr="00516886">
        <w:rPr>
          <w:rFonts w:ascii="Times New Roman" w:hAnsi="Times New Roman" w:cs="Times New Roman"/>
          <w:b/>
          <w:bCs/>
        </w:rPr>
        <w:t>. Expected Findings</w:t>
      </w:r>
    </w:p>
    <w:p w14:paraId="25E006DC" w14:textId="5F266B85"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Pure monetary policy </w:t>
      </w:r>
      <w:r w:rsidR="004F7BFF" w:rsidRPr="00516886">
        <w:rPr>
          <w:rFonts w:ascii="Times New Roman" w:hAnsi="Times New Roman" w:cs="Times New Roman"/>
        </w:rPr>
        <w:t>tightening</w:t>
      </w:r>
      <w:r w:rsidRPr="00516886">
        <w:rPr>
          <w:rFonts w:ascii="Times New Roman" w:hAnsi="Times New Roman" w:cs="Times New Roman"/>
        </w:rPr>
        <w:t xml:space="preserve"> </w:t>
      </w:r>
      <w:proofErr w:type="gramStart"/>
      <w:r w:rsidRPr="00516886">
        <w:rPr>
          <w:rFonts w:ascii="Times New Roman" w:hAnsi="Times New Roman" w:cs="Times New Roman"/>
        </w:rPr>
        <w:t>are</w:t>
      </w:r>
      <w:proofErr w:type="gramEnd"/>
      <w:r w:rsidRPr="00516886">
        <w:rPr>
          <w:rFonts w:ascii="Times New Roman" w:hAnsi="Times New Roman" w:cs="Times New Roman"/>
        </w:rPr>
        <w:t xml:space="preserve"> expected to induce a rotation away from higher-risk asset categories, such as small-cap equities, emerging markets, and real assets, toward safer assets, particularly government bonds. In contrast, information shocks that signal stronger economic fundamentals are expected to increase allocations to riskier assets, especially within equity categories, and reduce allocations to safe assets.</w:t>
      </w:r>
    </w:p>
    <w:p w14:paraId="1E73FE1D" w14:textId="09664C5B" w:rsidR="00516886" w:rsidRPr="00516886" w:rsidRDefault="00516886" w:rsidP="00516886">
      <w:pPr>
        <w:spacing w:line="240" w:lineRule="auto"/>
        <w:rPr>
          <w:rFonts w:ascii="Times New Roman" w:hAnsi="Times New Roman" w:cs="Times New Roman"/>
        </w:rPr>
      </w:pPr>
    </w:p>
    <w:p w14:paraId="62E8705B" w14:textId="5F574290" w:rsidR="00516886" w:rsidRPr="00516886" w:rsidRDefault="002E2A26" w:rsidP="00516886">
      <w:pPr>
        <w:spacing w:line="240" w:lineRule="auto"/>
        <w:rPr>
          <w:rFonts w:ascii="Times New Roman" w:hAnsi="Times New Roman" w:cs="Times New Roman"/>
          <w:b/>
          <w:bCs/>
        </w:rPr>
      </w:pPr>
      <w:r>
        <w:rPr>
          <w:rFonts w:ascii="Times New Roman" w:hAnsi="Times New Roman" w:cs="Times New Roman"/>
          <w:b/>
          <w:bCs/>
        </w:rPr>
        <w:t>8</w:t>
      </w:r>
      <w:r w:rsidR="00516886" w:rsidRPr="00516886">
        <w:rPr>
          <w:rFonts w:ascii="Times New Roman" w:hAnsi="Times New Roman" w:cs="Times New Roman"/>
          <w:b/>
          <w:bCs/>
        </w:rPr>
        <w:t>. Broader Implications</w:t>
      </w:r>
    </w:p>
    <w:p w14:paraId="0A2B3A63"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By clarifying how monetary policy announcements affect portfolio composition, this study enhances understanding of the financial transmission mechanism of monetary policy. The findings have implications for policymakers concerned with financial stability, as well as for investors seeking to understand how macroeconomic news influences portfolio risk.</w:t>
      </w:r>
    </w:p>
    <w:p w14:paraId="376BADF3" w14:textId="348BE7E5" w:rsidR="00516886" w:rsidRPr="00516886" w:rsidRDefault="00516886" w:rsidP="00516886">
      <w:pPr>
        <w:spacing w:line="240" w:lineRule="auto"/>
        <w:rPr>
          <w:rFonts w:ascii="Times New Roman" w:hAnsi="Times New Roman" w:cs="Times New Roman"/>
        </w:rPr>
      </w:pPr>
    </w:p>
    <w:p w14:paraId="38FD0FC8" w14:textId="77777777" w:rsidR="00516886" w:rsidRPr="00516886" w:rsidRDefault="00516886" w:rsidP="00516886">
      <w:pPr>
        <w:spacing w:line="240" w:lineRule="auto"/>
        <w:rPr>
          <w:rFonts w:ascii="Times New Roman" w:hAnsi="Times New Roman" w:cs="Times New Roman"/>
          <w:b/>
          <w:bCs/>
        </w:rPr>
      </w:pPr>
      <w:r w:rsidRPr="00516886">
        <w:rPr>
          <w:rFonts w:ascii="Times New Roman" w:hAnsi="Times New Roman" w:cs="Times New Roman"/>
          <w:b/>
          <w:bCs/>
        </w:rPr>
        <w:t>References</w:t>
      </w:r>
    </w:p>
    <w:p w14:paraId="5F533097"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Ciminelli, G., Rogers, J. H., &amp; Wu, C. (2022). The effects of U.S. monetary policy on international mutual fund investment. </w:t>
      </w:r>
      <w:r w:rsidRPr="00516886">
        <w:rPr>
          <w:rFonts w:ascii="Times New Roman" w:hAnsi="Times New Roman" w:cs="Times New Roman"/>
          <w:i/>
          <w:iCs/>
        </w:rPr>
        <w:t>Journal of International Money and Finance</w:t>
      </w:r>
      <w:r w:rsidRPr="00516886">
        <w:rPr>
          <w:rFonts w:ascii="Times New Roman" w:hAnsi="Times New Roman" w:cs="Times New Roman"/>
        </w:rPr>
        <w:t>, 122, 102545.</w:t>
      </w:r>
    </w:p>
    <w:p w14:paraId="157BEEE5" w14:textId="77777777" w:rsidR="00516886" w:rsidRPr="00516886"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Jarociński, M., &amp; Karadi, P. (2020). Deconstructing monetary policy surprises: The role of information shocks. </w:t>
      </w:r>
      <w:r w:rsidRPr="00516886">
        <w:rPr>
          <w:rFonts w:ascii="Times New Roman" w:hAnsi="Times New Roman" w:cs="Times New Roman"/>
          <w:i/>
          <w:iCs/>
        </w:rPr>
        <w:t>American Economic Journal: Macroeconomics</w:t>
      </w:r>
      <w:r w:rsidRPr="00516886">
        <w:rPr>
          <w:rFonts w:ascii="Times New Roman" w:hAnsi="Times New Roman" w:cs="Times New Roman"/>
        </w:rPr>
        <w:t>, 12(2), 1–43.</w:t>
      </w:r>
    </w:p>
    <w:p w14:paraId="28ABED1E" w14:textId="764C15CD" w:rsidR="00866804" w:rsidRDefault="00516886" w:rsidP="00516886">
      <w:pPr>
        <w:spacing w:line="240" w:lineRule="auto"/>
        <w:rPr>
          <w:rFonts w:ascii="Times New Roman" w:hAnsi="Times New Roman" w:cs="Times New Roman"/>
        </w:rPr>
      </w:pPr>
      <w:r w:rsidRPr="00516886">
        <w:rPr>
          <w:rFonts w:ascii="Times New Roman" w:hAnsi="Times New Roman" w:cs="Times New Roman"/>
        </w:rPr>
        <w:t xml:space="preserve">Nakamura, E., &amp; Steinsson, J. (2018). High-frequency identification of monetary non-neutrality. </w:t>
      </w:r>
      <w:r w:rsidRPr="00516886">
        <w:rPr>
          <w:rFonts w:ascii="Times New Roman" w:hAnsi="Times New Roman" w:cs="Times New Roman"/>
          <w:i/>
          <w:iCs/>
        </w:rPr>
        <w:t>Quarterly Journal of Economics</w:t>
      </w:r>
      <w:r w:rsidRPr="00516886">
        <w:rPr>
          <w:rFonts w:ascii="Times New Roman" w:hAnsi="Times New Roman" w:cs="Times New Roman"/>
        </w:rPr>
        <w:t>, 133(3), 1283–1330.</w:t>
      </w:r>
    </w:p>
    <w:p w14:paraId="2E676DFB"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Acosta, M., 2021. The perceived causes of monetary policy surprises. Working Paper, Columbia University.</w:t>
      </w:r>
    </w:p>
    <w:p w14:paraId="50F2FAE4"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Ahmed, S., Zlate, A., 2014. Capital flows to emerging market economies: A brave new world? J. Int. Money Finance 48, 221–248.</w:t>
      </w:r>
    </w:p>
    <w:p w14:paraId="148FEC53"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Auerbach, A.J., Gorodnichenko, Y., 2012. Measuring the output responses to fiscal policy. Am. Econ. J.: Econ. Policy 4, 1–27.</w:t>
      </w:r>
    </w:p>
    <w:p w14:paraId="7069EA6A"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Bauer, M., Swanson, E.T., 2021. An alternative explanation of the ‘‘fed information effect. http://www.socsci.uci.edu/ swanson2/index.html.</w:t>
      </w:r>
    </w:p>
    <w:p w14:paraId="2A52E28A"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Beber, A., Brandt, M.W., 2009. When it cannot get better or worse: The asymmetric impact of good and bad news on bond returns in expansions and</w:t>
      </w:r>
    </w:p>
    <w:p w14:paraId="48C98FB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recessions. Review of Finance 14, 119–155.</w:t>
      </w:r>
    </w:p>
    <w:p w14:paraId="779A3EAE"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Bekaert, G., Engstrom, E.C., Xu, N.R., 2021. The time variation in risk appetite and uncertainty. </w:t>
      </w:r>
      <w:proofErr w:type="gramStart"/>
      <w:r w:rsidRPr="00BC32F5">
        <w:rPr>
          <w:rFonts w:ascii="Times New Roman" w:hAnsi="Times New Roman" w:cs="Times New Roman"/>
        </w:rPr>
        <w:t>Manage</w:t>
      </w:r>
      <w:proofErr w:type="gramEnd"/>
      <w:r w:rsidRPr="00BC32F5">
        <w:rPr>
          <w:rFonts w:ascii="Times New Roman" w:hAnsi="Times New Roman" w:cs="Times New Roman"/>
        </w:rPr>
        <w:t>. Sci.</w:t>
      </w:r>
    </w:p>
    <w:p w14:paraId="7363A10E"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lastRenderedPageBreak/>
        <w:t xml:space="preserve">Boyd, J.H., Hu, J., Jagannathan, R., 2005. The stock market’s reaction to unemployment news: Why </w:t>
      </w:r>
      <w:proofErr w:type="gramStart"/>
      <w:r w:rsidRPr="00BC32F5">
        <w:rPr>
          <w:rFonts w:ascii="Times New Roman" w:hAnsi="Times New Roman" w:cs="Times New Roman"/>
        </w:rPr>
        <w:t>bad news is</w:t>
      </w:r>
      <w:proofErr w:type="gramEnd"/>
      <w:r w:rsidRPr="00BC32F5">
        <w:rPr>
          <w:rFonts w:ascii="Times New Roman" w:hAnsi="Times New Roman" w:cs="Times New Roman"/>
        </w:rPr>
        <w:t xml:space="preserve"> usually good for stocks. The Journal of Finance</w:t>
      </w:r>
    </w:p>
    <w:p w14:paraId="50267C1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60, 649–672.</w:t>
      </w:r>
    </w:p>
    <w:p w14:paraId="6F7253E4"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Bruno, V., Shin, H.S., 2015. Capital flows and the risk-taking channel of monetary policy. Journal of Monetary Economics 71, 119–132.</w:t>
      </w:r>
    </w:p>
    <w:p w14:paraId="1009491E"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Bu, C., Rogers, J.H., Wu, W., 2021. A unified measure of fed monetary policy shocks. Journal of Monetary Economics 118.</w:t>
      </w:r>
    </w:p>
    <w:p w14:paraId="4F46BDF8"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Burger, J., Warnock, F., Warnock, V., 2018. The effects of </w:t>
      </w:r>
      <w:proofErr w:type="spellStart"/>
      <w:r w:rsidRPr="00BC32F5">
        <w:rPr>
          <w:rFonts w:ascii="Times New Roman" w:hAnsi="Times New Roman" w:cs="Times New Roman"/>
        </w:rPr>
        <w:t>u.s.</w:t>
      </w:r>
      <w:proofErr w:type="spellEnd"/>
      <w:r w:rsidRPr="00BC32F5">
        <w:rPr>
          <w:rFonts w:ascii="Times New Roman" w:hAnsi="Times New Roman" w:cs="Times New Roman"/>
        </w:rPr>
        <w:t xml:space="preserve"> monetary policy on emerging market economies’ sovereign and corporate bond markets. In:</w:t>
      </w:r>
    </w:p>
    <w:p w14:paraId="67F2A42A"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Monetary Policy and Global Spillovers: Mechanisms, Effects, and Policy Measures. Central Bank of Chile volume 25, pp. 49–96.</w:t>
      </w:r>
    </w:p>
    <w:p w14:paraId="6290CDA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Calvo, G.A., Leiderman, L., Reinhart, C.M., 1993. Capital inflows and real exchange rate appreciation in </w:t>
      </w:r>
      <w:proofErr w:type="spellStart"/>
      <w:r w:rsidRPr="00BC32F5">
        <w:rPr>
          <w:rFonts w:ascii="Times New Roman" w:hAnsi="Times New Roman" w:cs="Times New Roman"/>
        </w:rPr>
        <w:t>latin</w:t>
      </w:r>
      <w:proofErr w:type="spellEnd"/>
      <w:r w:rsidRPr="00BC32F5">
        <w:rPr>
          <w:rFonts w:ascii="Times New Roman" w:hAnsi="Times New Roman" w:cs="Times New Roman"/>
        </w:rPr>
        <w:t xml:space="preserve"> </w:t>
      </w:r>
      <w:proofErr w:type="spellStart"/>
      <w:r w:rsidRPr="00BC32F5">
        <w:rPr>
          <w:rFonts w:ascii="Times New Roman" w:hAnsi="Times New Roman" w:cs="Times New Roman"/>
        </w:rPr>
        <w:t>america</w:t>
      </w:r>
      <w:proofErr w:type="spellEnd"/>
      <w:r w:rsidRPr="00BC32F5">
        <w:rPr>
          <w:rFonts w:ascii="Times New Roman" w:hAnsi="Times New Roman" w:cs="Times New Roman"/>
        </w:rPr>
        <w:t>: the role of external factors. I.M.F. Staff</w:t>
      </w:r>
    </w:p>
    <w:p w14:paraId="682D6251"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Papers 40, 108–151.</w:t>
      </w:r>
    </w:p>
    <w:p w14:paraId="3021AC8C"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Campbell, J.R., Evans, C.L., Fisher, J.D., Justiniano, A., Calomiris, C.W., Woodford, M., 2012. Macroeconomic effects of federal reserve forward guidance [with</w:t>
      </w:r>
    </w:p>
    <w:p w14:paraId="16E538A6"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comments and discussion]. Brookings Papers on Economic Activity, pp. 1–80.</w:t>
      </w:r>
    </w:p>
    <w:p w14:paraId="72BAFE36"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Chari, A., Stedman, K.D., Lundblad, C., 2020. Taper tantrums: Quantitative easing, its aftermath, and emerging market capital flows. The Review of Financial</w:t>
      </w:r>
    </w:p>
    <w:p w14:paraId="0AB74984"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Studies.</w:t>
      </w:r>
    </w:p>
    <w:p w14:paraId="348C1602"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Christiano, L.J., Eichenbaum, M., Evans, C.L., 1999. Monetary policy shocks: What have we learned and to what end? Handbook of macroeconomics 1, 65–</w:t>
      </w:r>
    </w:p>
    <w:p w14:paraId="7D352862"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148.</w:t>
      </w:r>
    </w:p>
    <w:p w14:paraId="7B5B39C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Cieslak, A., Schrimpf, A., 2019. Non-monetary news in central bank communication. Journal of International Economics 118, 293–315.</w:t>
      </w:r>
    </w:p>
    <w:p w14:paraId="75C36838" w14:textId="77777777" w:rsidR="00BC32F5" w:rsidRPr="00BC32F5" w:rsidRDefault="00BC32F5" w:rsidP="00BC32F5">
      <w:pPr>
        <w:spacing w:line="240" w:lineRule="auto"/>
        <w:rPr>
          <w:rFonts w:ascii="Times New Roman" w:hAnsi="Times New Roman" w:cs="Times New Roman"/>
        </w:rPr>
      </w:pPr>
      <w:proofErr w:type="spellStart"/>
      <w:r w:rsidRPr="00BC32F5">
        <w:rPr>
          <w:rFonts w:ascii="Times New Roman" w:hAnsi="Times New Roman" w:cs="Times New Roman"/>
        </w:rPr>
        <w:t>Coeurdacier</w:t>
      </w:r>
      <w:proofErr w:type="spellEnd"/>
      <w:r w:rsidRPr="00BC32F5">
        <w:rPr>
          <w:rFonts w:ascii="Times New Roman" w:hAnsi="Times New Roman" w:cs="Times New Roman"/>
        </w:rPr>
        <w:t>, N., Rey, H., 2013. Home bias in open economy financial macroeconomics. Journal of Economic Literature 51, 63–115.</w:t>
      </w:r>
    </w:p>
    <w:p w14:paraId="648214B8"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Converse, N., Levy-</w:t>
      </w:r>
      <w:proofErr w:type="spellStart"/>
      <w:r w:rsidRPr="00BC32F5">
        <w:rPr>
          <w:rFonts w:ascii="Times New Roman" w:hAnsi="Times New Roman" w:cs="Times New Roman"/>
        </w:rPr>
        <w:t>Yeyati</w:t>
      </w:r>
      <w:proofErr w:type="spellEnd"/>
      <w:r w:rsidRPr="00BC32F5">
        <w:rPr>
          <w:rFonts w:ascii="Times New Roman" w:hAnsi="Times New Roman" w:cs="Times New Roman"/>
        </w:rPr>
        <w:t xml:space="preserve">, E., Williams, T., 2020. How </w:t>
      </w:r>
      <w:proofErr w:type="spellStart"/>
      <w:r w:rsidRPr="00BC32F5">
        <w:rPr>
          <w:rFonts w:ascii="Times New Roman" w:hAnsi="Times New Roman" w:cs="Times New Roman"/>
        </w:rPr>
        <w:t>etfs</w:t>
      </w:r>
      <w:proofErr w:type="spellEnd"/>
      <w:r w:rsidRPr="00BC32F5">
        <w:rPr>
          <w:rFonts w:ascii="Times New Roman" w:hAnsi="Times New Roman" w:cs="Times New Roman"/>
        </w:rPr>
        <w:t xml:space="preserve"> amplify the global financial cycle in emerging markets. International Finance Discussion Papers.</w:t>
      </w:r>
    </w:p>
    <w:p w14:paraId="6D61B1BB"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Dahlhaus, T., Vasishtha, G., 2020. Monetary policy news in the us: Effects on emerging market capital flows. J. Int. Money Finance 109, 102251.</w:t>
      </w:r>
    </w:p>
    <w:p w14:paraId="57EC396F"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Driscoll, J., Kraay, A., 1998. Consistent covariance matrix estimation with spatially dependent panel data. Rev. Econ. Stat. 80, 549–560.</w:t>
      </w:r>
    </w:p>
    <w:p w14:paraId="1C6443BF"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Fama, E.F., MacBeth, J.D., 1973. Risk, return, and equilibrium: Empirical tests. Journal of Political Economy 81, 607–636.</w:t>
      </w:r>
    </w:p>
    <w:p w14:paraId="4D87C9DB"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lastRenderedPageBreak/>
        <w:t>Faust, J., Rogers, J.H., Wang, S.-Y.B., Wright, J.H., 2007. The high-frequency response of exchange rates and interest rates to macroeconomic announcements.</w:t>
      </w:r>
    </w:p>
    <w:p w14:paraId="6D57BDBB"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Journal of Monetary Economics 54, 1051–1068.</w:t>
      </w:r>
    </w:p>
    <w:p w14:paraId="5A16B3B5"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Forbes, K., Warnock, F.E., 2012. Capital flow waves: Surges, stops, flight, and retrenchment. Journal of International Economics 88, 235–251.</w:t>
      </w:r>
    </w:p>
    <w:p w14:paraId="33F8FB8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Fratzscher, M., 2012. Capital flows, push versus pull factors and the global financial crisis. Journal of International Economics 88, 341–356.</w:t>
      </w:r>
    </w:p>
    <w:p w14:paraId="71D521AF"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Fratzscher, M., Lo Duca, M., Straub, R., 2018. On the international spillovers </w:t>
      </w:r>
      <w:proofErr w:type="gramStart"/>
      <w:r w:rsidRPr="00BC32F5">
        <w:rPr>
          <w:rFonts w:ascii="Times New Roman" w:hAnsi="Times New Roman" w:cs="Times New Roman"/>
        </w:rPr>
        <w:t>of us</w:t>
      </w:r>
      <w:proofErr w:type="gramEnd"/>
      <w:r w:rsidRPr="00BC32F5">
        <w:rPr>
          <w:rFonts w:ascii="Times New Roman" w:hAnsi="Times New Roman" w:cs="Times New Roman"/>
        </w:rPr>
        <w:t xml:space="preserve"> quantitative easing. Econ. J. 128, 330–377.</w:t>
      </w:r>
    </w:p>
    <w:p w14:paraId="187A1BA8"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Gilbert, T., Scotti, C., Strasser, G., Vega, C., 2017. Is the intrinsic value of macroeconomic news announcements related to their asset price impact? Journal of</w:t>
      </w:r>
    </w:p>
    <w:p w14:paraId="1F83B0DC"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Monetary Economics 92, 78–95.</w:t>
      </w:r>
    </w:p>
    <w:p w14:paraId="1A249D93" w14:textId="77777777" w:rsidR="00BC32F5" w:rsidRPr="00BC32F5" w:rsidRDefault="00BC32F5" w:rsidP="00BC32F5">
      <w:pPr>
        <w:spacing w:line="240" w:lineRule="auto"/>
        <w:rPr>
          <w:rFonts w:ascii="Times New Roman" w:hAnsi="Times New Roman" w:cs="Times New Roman"/>
        </w:rPr>
      </w:pPr>
      <w:proofErr w:type="spellStart"/>
      <w:r w:rsidRPr="00BC32F5">
        <w:rPr>
          <w:rFonts w:ascii="Times New Roman" w:hAnsi="Times New Roman" w:cs="Times New Roman"/>
        </w:rPr>
        <w:t>Gürkaynak</w:t>
      </w:r>
      <w:proofErr w:type="spellEnd"/>
      <w:r w:rsidRPr="00BC32F5">
        <w:rPr>
          <w:rFonts w:ascii="Times New Roman" w:hAnsi="Times New Roman" w:cs="Times New Roman"/>
        </w:rPr>
        <w:t>, R.S., Sack, B., Swanson, E., 2005. The sensitivity of long-term interest rates to economic news: Evidence and implications for macroeconomic</w:t>
      </w:r>
    </w:p>
    <w:p w14:paraId="09BDC5FB"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models. American economic review 95, 425–436.</w:t>
      </w:r>
    </w:p>
    <w:p w14:paraId="5060DCCA"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Hansen, S., McMahon, M., Tong, M., 2019. The long-run information effect of central bank communication. Journal of Monetary Economics 108, 185–202.</w:t>
      </w:r>
    </w:p>
    <w:p w14:paraId="2F030A79"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Hoek, J., Kamin, S.B., </w:t>
      </w:r>
      <w:proofErr w:type="spellStart"/>
      <w:r w:rsidRPr="00BC32F5">
        <w:rPr>
          <w:rFonts w:ascii="Times New Roman" w:hAnsi="Times New Roman" w:cs="Times New Roman"/>
        </w:rPr>
        <w:t>Yoldas</w:t>
      </w:r>
      <w:proofErr w:type="spellEnd"/>
      <w:r w:rsidRPr="00BC32F5">
        <w:rPr>
          <w:rFonts w:ascii="Times New Roman" w:hAnsi="Times New Roman" w:cs="Times New Roman"/>
        </w:rPr>
        <w:t xml:space="preserve">, E., forthcoming. When is bad news good news? </w:t>
      </w:r>
      <w:proofErr w:type="spellStart"/>
      <w:r w:rsidRPr="00BC32F5">
        <w:rPr>
          <w:rFonts w:ascii="Times New Roman" w:hAnsi="Times New Roman" w:cs="Times New Roman"/>
        </w:rPr>
        <w:t>u.s.</w:t>
      </w:r>
      <w:proofErr w:type="spellEnd"/>
      <w:r w:rsidRPr="00BC32F5">
        <w:rPr>
          <w:rFonts w:ascii="Times New Roman" w:hAnsi="Times New Roman" w:cs="Times New Roman"/>
        </w:rPr>
        <w:t xml:space="preserve"> monetary policy, macroeconomic news, and financial conditions in</w:t>
      </w:r>
    </w:p>
    <w:p w14:paraId="22B59CAD"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emerging markets. J. Int. </w:t>
      </w:r>
      <w:proofErr w:type="gramStart"/>
      <w:r w:rsidRPr="00BC32F5">
        <w:rPr>
          <w:rFonts w:ascii="Times New Roman" w:hAnsi="Times New Roman" w:cs="Times New Roman"/>
        </w:rPr>
        <w:t>Econ..</w:t>
      </w:r>
      <w:proofErr w:type="gramEnd"/>
    </w:p>
    <w:p w14:paraId="2C484EB9"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Iacoviello, M., Navarro, G., 2019. Foreign effects of higher us interest rates. J. Int. Money Finance 95, 232–250.</w:t>
      </w:r>
    </w:p>
    <w:p w14:paraId="6D00D9AF" w14:textId="77777777" w:rsidR="00BC32F5" w:rsidRPr="00BC32F5" w:rsidRDefault="00BC32F5" w:rsidP="00BC32F5">
      <w:pPr>
        <w:spacing w:line="240" w:lineRule="auto"/>
        <w:rPr>
          <w:rFonts w:ascii="Times New Roman" w:hAnsi="Times New Roman" w:cs="Times New Roman"/>
        </w:rPr>
      </w:pPr>
      <w:proofErr w:type="spellStart"/>
      <w:r w:rsidRPr="00BC32F5">
        <w:rPr>
          <w:rFonts w:ascii="Times New Roman" w:hAnsi="Times New Roman" w:cs="Times New Roman"/>
        </w:rPr>
        <w:t>Jarocin</w:t>
      </w:r>
      <w:proofErr w:type="spellEnd"/>
      <w:r w:rsidRPr="00BC32F5">
        <w:rPr>
          <w:rFonts w:ascii="Times New Roman" w:hAnsi="Times New Roman" w:cs="Times New Roman"/>
        </w:rPr>
        <w:t xml:space="preserve">´ ski, M., Karadi, P., 2020. Deconstructing monetary policy surprises—the role of information shocks. Am. Econ. J.: </w:t>
      </w:r>
      <w:proofErr w:type="spellStart"/>
      <w:r w:rsidRPr="00BC32F5">
        <w:rPr>
          <w:rFonts w:ascii="Times New Roman" w:hAnsi="Times New Roman" w:cs="Times New Roman"/>
        </w:rPr>
        <w:t>Macroecon</w:t>
      </w:r>
      <w:proofErr w:type="spellEnd"/>
      <w:r w:rsidRPr="00BC32F5">
        <w:rPr>
          <w:rFonts w:ascii="Times New Roman" w:hAnsi="Times New Roman" w:cs="Times New Roman"/>
        </w:rPr>
        <w:t>. 12, 1–43.</w:t>
      </w:r>
    </w:p>
    <w:p w14:paraId="54ABFD8B"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Jordà, Ò., 2005. Estimation and inference of impulse responses by local projections. Am. Econ. Rev. 95, 161–182.</w:t>
      </w:r>
    </w:p>
    <w:p w14:paraId="652A97C8"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Jordà, Ò., Taylor, A.M., 2016. The time for austerity: estimating the average treatment effect of fiscal policy. Econ. J. 126, 219–255.</w:t>
      </w:r>
    </w:p>
    <w:p w14:paraId="2E0DCF24"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Krishnamurthy, A., Vissing-Jorgensen, A., 2011. The effects of quantitative easing on interest rates: channels and implications for policy. Technical Report</w:t>
      </w:r>
    </w:p>
    <w:p w14:paraId="62D058BD"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National Bureau of Economic Research.</w:t>
      </w:r>
    </w:p>
    <w:p w14:paraId="6DE9417E"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Liu, Z., Spiegel, M., &amp; Zhang, J. (2020). Capital controls and income inequality. Federal Reserve Bank of San Francisco Working Paper 2020–14.</w:t>
      </w:r>
    </w:p>
    <w:p w14:paraId="2882822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Lunsford, K., 2020. Policy language and information effects in the early days of federal reserve forward guidance. Am. Econ. Rev., 2899–2934</w:t>
      </w:r>
    </w:p>
    <w:p w14:paraId="31C6C923"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lastRenderedPageBreak/>
        <w:t xml:space="preserve">Miranda-Agrippino, S., 2016. Unsurprising shocks: information, </w:t>
      </w:r>
      <w:proofErr w:type="gramStart"/>
      <w:r w:rsidRPr="00BC32F5">
        <w:rPr>
          <w:rFonts w:ascii="Times New Roman" w:hAnsi="Times New Roman" w:cs="Times New Roman"/>
        </w:rPr>
        <w:t>premia</w:t>
      </w:r>
      <w:proofErr w:type="gramEnd"/>
      <w:r w:rsidRPr="00BC32F5">
        <w:rPr>
          <w:rFonts w:ascii="Times New Roman" w:hAnsi="Times New Roman" w:cs="Times New Roman"/>
        </w:rPr>
        <w:t xml:space="preserve">, and </w:t>
      </w:r>
      <w:proofErr w:type="gramStart"/>
      <w:r w:rsidRPr="00BC32F5">
        <w:rPr>
          <w:rFonts w:ascii="Times New Roman" w:hAnsi="Times New Roman" w:cs="Times New Roman"/>
        </w:rPr>
        <w:t>the monetary</w:t>
      </w:r>
      <w:proofErr w:type="gramEnd"/>
      <w:r w:rsidRPr="00BC32F5">
        <w:rPr>
          <w:rFonts w:ascii="Times New Roman" w:hAnsi="Times New Roman" w:cs="Times New Roman"/>
        </w:rPr>
        <w:t xml:space="preserve"> transmission. Bank of England Working Paper 626.</w:t>
      </w:r>
    </w:p>
    <w:p w14:paraId="321F1071"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Miranda-Agrippino, S., </w:t>
      </w:r>
      <w:proofErr w:type="spellStart"/>
      <w:r w:rsidRPr="00BC32F5">
        <w:rPr>
          <w:rFonts w:ascii="Times New Roman" w:hAnsi="Times New Roman" w:cs="Times New Roman"/>
        </w:rPr>
        <w:t>Nenova</w:t>
      </w:r>
      <w:proofErr w:type="spellEnd"/>
      <w:r w:rsidRPr="00BC32F5">
        <w:rPr>
          <w:rFonts w:ascii="Times New Roman" w:hAnsi="Times New Roman" w:cs="Times New Roman"/>
        </w:rPr>
        <w:t>, T., 2021. A tale of two global monetary policies. CEPR Working Paper DP16485.</w:t>
      </w:r>
    </w:p>
    <w:p w14:paraId="6CC698E3"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Nakamura, E., Steinsson, J., 2018. High-frequency identification of monetary non-neutrality: the information effect. Q. J. Econ. 133, 1283–1330.</w:t>
      </w:r>
    </w:p>
    <w:p w14:paraId="19E43481"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Neely, C.J. et al. (2010). The </w:t>
      </w:r>
      <w:proofErr w:type="gramStart"/>
      <w:r w:rsidRPr="00BC32F5">
        <w:rPr>
          <w:rFonts w:ascii="Times New Roman" w:hAnsi="Times New Roman" w:cs="Times New Roman"/>
        </w:rPr>
        <w:t>large scale</w:t>
      </w:r>
      <w:proofErr w:type="gramEnd"/>
      <w:r w:rsidRPr="00BC32F5">
        <w:rPr>
          <w:rFonts w:ascii="Times New Roman" w:hAnsi="Times New Roman" w:cs="Times New Roman"/>
        </w:rPr>
        <w:t xml:space="preserve"> asset purchases had large international effects. Federal Reserve Bank of St. Louis, Research Division St Louis.</w:t>
      </w:r>
    </w:p>
    <w:p w14:paraId="62BEEC0A"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Paul, P., 2019. The time-varying effect of monetary policy on asset prices. Rev. Econ. Stat., 1–44</w:t>
      </w:r>
    </w:p>
    <w:p w14:paraId="517217CB"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Pinchetti, M., &amp; Szczepaniak, A. (2021). Global spillovers of the fed information effect. Bank of England Staff working paper 952.</w:t>
      </w:r>
    </w:p>
    <w:p w14:paraId="2107B09F"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Ramey, V.A., Zubairy, S., 2018. Government spending multipliers in good times and in bad: evidence from us historical data. J. Polit. Econ. 126, 850–901.</w:t>
      </w:r>
    </w:p>
    <w:p w14:paraId="3F0F907D"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Romer, C.D., Romer, D.H., 2000. Federal reserve information and the behavior of interest rates. Am. Econ. Rev. 90, 429–457.</w:t>
      </w:r>
    </w:p>
    <w:p w14:paraId="5326E54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Romer, C.D., Romer, D.H., 2004. A new measure of monetary shocks: Derivation and implications. Am. Econ. Rev. 94, 1055–1084.</w:t>
      </w:r>
    </w:p>
    <w:p w14:paraId="163599ED"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Romer, C.D., Romer, D.H., 2017. New evidence on the aftermath of financial crises in advanced countries. Am. Econ. Rev. 107, 3072–3118.</w:t>
      </w:r>
    </w:p>
    <w:p w14:paraId="215ECC20" w14:textId="77777777" w:rsidR="00BC32F5" w:rsidRPr="00BC32F5" w:rsidRDefault="00BC32F5" w:rsidP="00BC32F5">
      <w:pPr>
        <w:spacing w:line="240" w:lineRule="auto"/>
        <w:rPr>
          <w:rFonts w:ascii="Times New Roman" w:hAnsi="Times New Roman" w:cs="Times New Roman"/>
        </w:rPr>
      </w:pPr>
      <w:r w:rsidRPr="00BC32F5">
        <w:rPr>
          <w:rFonts w:ascii="Times New Roman" w:hAnsi="Times New Roman" w:cs="Times New Roman"/>
        </w:rPr>
        <w:t>Swanson, E.T., Williams, J.C., 2014. Measuring the effect of the zero lower bound on medium-and longer-term interest rates. Am. Econ. Rev. 104, 3154–3185.</w:t>
      </w:r>
    </w:p>
    <w:p w14:paraId="516F2E41" w14:textId="4CC9B5DA" w:rsidR="00BC32F5" w:rsidRPr="00516886" w:rsidRDefault="00BC32F5" w:rsidP="00BC32F5">
      <w:pPr>
        <w:spacing w:line="240" w:lineRule="auto"/>
        <w:rPr>
          <w:rFonts w:ascii="Times New Roman" w:hAnsi="Times New Roman" w:cs="Times New Roman"/>
        </w:rPr>
      </w:pPr>
      <w:r w:rsidRPr="00BC32F5">
        <w:rPr>
          <w:rFonts w:ascii="Times New Roman" w:hAnsi="Times New Roman" w:cs="Times New Roman"/>
        </w:rPr>
        <w:t xml:space="preserve">Warnock, F., Warnock, V.C., 2009. International capital flows and </w:t>
      </w:r>
      <w:proofErr w:type="spellStart"/>
      <w:r w:rsidRPr="00BC32F5">
        <w:rPr>
          <w:rFonts w:ascii="Times New Roman" w:hAnsi="Times New Roman" w:cs="Times New Roman"/>
        </w:rPr>
        <w:t>u.s.</w:t>
      </w:r>
      <w:proofErr w:type="spellEnd"/>
      <w:r w:rsidRPr="00BC32F5">
        <w:rPr>
          <w:rFonts w:ascii="Times New Roman" w:hAnsi="Times New Roman" w:cs="Times New Roman"/>
        </w:rPr>
        <w:t xml:space="preserve"> interest rates. J. Int. Money Finance 28, 903–919.</w:t>
      </w:r>
    </w:p>
    <w:sectPr w:rsidR="00BC32F5" w:rsidRPr="00516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86"/>
    <w:rsid w:val="002E2A26"/>
    <w:rsid w:val="003771BC"/>
    <w:rsid w:val="004F7BFF"/>
    <w:rsid w:val="00516886"/>
    <w:rsid w:val="00865A21"/>
    <w:rsid w:val="00866804"/>
    <w:rsid w:val="00B915F7"/>
    <w:rsid w:val="00BC32F5"/>
    <w:rsid w:val="00DB3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E88CA"/>
  <w15:chartTrackingRefBased/>
  <w15:docId w15:val="{C742022F-01BE-49D9-A260-A3C8D009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886"/>
    <w:rPr>
      <w:rFonts w:eastAsiaTheme="majorEastAsia" w:cstheme="majorBidi"/>
      <w:color w:val="272727" w:themeColor="text1" w:themeTint="D8"/>
    </w:rPr>
  </w:style>
  <w:style w:type="paragraph" w:styleId="Title">
    <w:name w:val="Title"/>
    <w:basedOn w:val="Normal"/>
    <w:next w:val="Normal"/>
    <w:link w:val="TitleChar"/>
    <w:uiPriority w:val="10"/>
    <w:qFormat/>
    <w:rsid w:val="00516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886"/>
    <w:pPr>
      <w:spacing w:before="160"/>
      <w:jc w:val="center"/>
    </w:pPr>
    <w:rPr>
      <w:i/>
      <w:iCs/>
      <w:color w:val="404040" w:themeColor="text1" w:themeTint="BF"/>
    </w:rPr>
  </w:style>
  <w:style w:type="character" w:customStyle="1" w:styleId="QuoteChar">
    <w:name w:val="Quote Char"/>
    <w:basedOn w:val="DefaultParagraphFont"/>
    <w:link w:val="Quote"/>
    <w:uiPriority w:val="29"/>
    <w:rsid w:val="00516886"/>
    <w:rPr>
      <w:i/>
      <w:iCs/>
      <w:color w:val="404040" w:themeColor="text1" w:themeTint="BF"/>
    </w:rPr>
  </w:style>
  <w:style w:type="paragraph" w:styleId="ListParagraph">
    <w:name w:val="List Paragraph"/>
    <w:basedOn w:val="Normal"/>
    <w:uiPriority w:val="34"/>
    <w:qFormat/>
    <w:rsid w:val="00516886"/>
    <w:pPr>
      <w:ind w:left="720"/>
      <w:contextualSpacing/>
    </w:pPr>
  </w:style>
  <w:style w:type="character" w:styleId="IntenseEmphasis">
    <w:name w:val="Intense Emphasis"/>
    <w:basedOn w:val="DefaultParagraphFont"/>
    <w:uiPriority w:val="21"/>
    <w:qFormat/>
    <w:rsid w:val="00516886"/>
    <w:rPr>
      <w:i/>
      <w:iCs/>
      <w:color w:val="0F4761" w:themeColor="accent1" w:themeShade="BF"/>
    </w:rPr>
  </w:style>
  <w:style w:type="paragraph" w:styleId="IntenseQuote">
    <w:name w:val="Intense Quote"/>
    <w:basedOn w:val="Normal"/>
    <w:next w:val="Normal"/>
    <w:link w:val="IntenseQuoteChar"/>
    <w:uiPriority w:val="30"/>
    <w:qFormat/>
    <w:rsid w:val="00516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886"/>
    <w:rPr>
      <w:i/>
      <w:iCs/>
      <w:color w:val="0F4761" w:themeColor="accent1" w:themeShade="BF"/>
    </w:rPr>
  </w:style>
  <w:style w:type="character" w:styleId="IntenseReference">
    <w:name w:val="Intense Reference"/>
    <w:basedOn w:val="DefaultParagraphFont"/>
    <w:uiPriority w:val="32"/>
    <w:qFormat/>
    <w:rsid w:val="00516886"/>
    <w:rPr>
      <w:b/>
      <w:bCs/>
      <w:smallCaps/>
      <w:color w:val="0F4761" w:themeColor="accent1" w:themeShade="BF"/>
      <w:spacing w:val="5"/>
    </w:rPr>
  </w:style>
  <w:style w:type="paragraph" w:styleId="NormalWeb">
    <w:name w:val="Normal (Web)"/>
    <w:basedOn w:val="Normal"/>
    <w:uiPriority w:val="99"/>
    <w:semiHidden/>
    <w:unhideWhenUsed/>
    <w:rsid w:val="0051688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2414</Words>
  <Characters>13764</Characters>
  <Application>Microsoft Office Word</Application>
  <DocSecurity>0</DocSecurity>
  <Lines>114</Lines>
  <Paragraphs>32</Paragraphs>
  <ScaleCrop>false</ScaleCrop>
  <Company/>
  <LinksUpToDate>false</LinksUpToDate>
  <CharactersWithSpaces>16146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zhang</dc:creator>
  <cp:keywords/>
  <dc:description/>
  <cp:lastModifiedBy>eileen zhang</cp:lastModifiedBy>
  <cp:revision>1</cp:revision>
  <dcterms:created xsi:type="dcterms:W3CDTF">2026-02-02T05:09:00Z</dcterms:created>
  <dcterms:modified xsi:type="dcterms:W3CDTF">2026-02-02T06:22:00Z</dcterms:modified>
</cp:coreProperties>
</file>