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0"/>
        <w:jc w:val="center"/>
      </w:pPr>
    </w:p>
    <w:p>
      <w:pPr>
        <w:spacing w:after="200"/>
        <w:jc w:val="center"/>
      </w:pPr>
      <w:r>
        <w:rPr>
          <w:rFonts w:ascii="Times New Roman" w:cs="Times New Roman" w:eastAsia="Times New Roman" w:hAnsi="Times New Roman"/>
          <w:b/>
          <w:bCs/>
          <w:color w:val="020617"/>
          <w:sz w:val="72"/>
          <w:szCs w:val="72"/>
        </w:rPr>
        <w:t xml:space="preserve">EWA-Fed</w:t>
      </w:r>
    </w:p>
    <w:p>
      <w:pPr>
        <w:spacing w:after="100"/>
        <w:jc w:val="center"/>
      </w:pPr>
      <w:r>
        <w:rPr>
          <w:rFonts w:ascii="Times New Roman" w:cs="Times New Roman" w:eastAsia="Times New Roman" w:hAnsi="Times New Roman"/>
          <w:color w:val="64748B"/>
          <w:sz w:val="36"/>
          <w:szCs w:val="36"/>
        </w:rPr>
        <w:t xml:space="preserve">Entropy-Weighted Aggregation for</w:t>
      </w:r>
    </w:p>
    <w:p>
      <w:pPr>
        <w:spacing w:after="400"/>
        <w:jc w:val="center"/>
      </w:pPr>
      <w:r>
        <w:rPr>
          <w:rFonts w:ascii="Times New Roman" w:cs="Times New Roman" w:eastAsia="Times New Roman" w:hAnsi="Times New Roman"/>
          <w:color w:val="64748B"/>
          <w:sz w:val="36"/>
          <w:szCs w:val="36"/>
        </w:rPr>
        <w:t xml:space="preserve">Trustworthy Federated Learning</w:t>
      </w:r>
    </w:p>
    <w:p>
      <w:pPr>
        <w:spacing w:after="60"/>
        <w:jc w:val="center"/>
      </w:pPr>
      <w:r>
        <w:rPr>
          <w:rFonts w:ascii="Calibri" w:cs="Calibri" w:eastAsia="Calibri" w:hAnsi="Calibri"/>
          <w:color w:val="94A3B8"/>
          <w:sz w:val="24"/>
          <w:szCs w:val="24"/>
        </w:rPr>
        <w:t xml:space="preserve">A Cross-Modal Monitoring Framework for Detecting</w:t>
      </w:r>
    </w:p>
    <w:p>
      <w:pPr>
        <w:spacing w:after="600"/>
        <w:jc w:val="center"/>
      </w:pPr>
      <w:r>
        <w:rPr>
          <w:rFonts w:ascii="Calibri" w:cs="Calibri" w:eastAsia="Calibri" w:hAnsi="Calibri"/>
          <w:color w:val="94A3B8"/>
          <w:sz w:val="24"/>
          <w:szCs w:val="24"/>
        </w:rPr>
        <w:t xml:space="preserve">Conformity Effects in Federated Model Aggregation</w:t>
      </w:r>
    </w:p>
    <w:p>
      <w:pPr>
        <w:spacing w:after="100"/>
        <w:jc w:val="center"/>
      </w:pPr>
      <w:r>
        <w:rPr>
          <w:rFonts w:ascii="Calibri" w:cs="Calibri" w:eastAsia="Calibri" w:hAnsi="Calibri"/>
          <w:color w:val="64748B"/>
          <w:sz w:val="28"/>
          <w:szCs w:val="28"/>
        </w:rPr>
        <w:t xml:space="preserve">2026</w:t>
      </w:r>
    </w:p>
    <w:p>
      <w:pPr>
        <w:sectPr>
          <w:pgSz w:w="11906" w:h="16838" w:orient="portrait"/>
          <w:pgMar w:top="0" w:right="0" w:bottom="0" w:left="0" w:header="708" w:footer="708" w:gutter="0"/>
          <w:pgNumType/>
          <w:titlePg/>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pPr>
        <w:spacing w:after="200" w:before="200"/>
        <w:jc w:val="center"/>
      </w:pPr>
      <w:r>
        <w:rPr>
          <w:rFonts w:ascii="Calibri" w:cs="Calibri" w:eastAsia="Calibri" w:hAnsi="Calibri"/>
          <w:color w:val="999999"/>
          <w:sz w:val="18"/>
          <w:szCs w:val="18"/>
        </w:rPr>
        <w:t xml:space="preserve">Note: Right-click the Table of Contents and select "Update Field" to refresh page numbers.</w:t>
      </w:r>
    </w:p>
    <w:p>
      <w:r>
        <w:br w:type="page"/>
      </w:r>
    </w:p>
    <w:p>
      <w:pPr>
        <w:pStyle w:val="Heading1"/>
        <w:spacing w:after="200" w:before="400" w:line="276"/>
      </w:pPr>
      <w:r>
        <w:rPr>
          <w:rFonts w:ascii="Times New Roman" w:cs="Times New Roman" w:eastAsia="Times New Roman" w:hAnsi="Times New Roman"/>
          <w:b/>
          <w:bCs/>
          <w:color w:val="020617"/>
          <w:sz w:val="36"/>
          <w:szCs w:val="36"/>
        </w:rPr>
        <w:t xml:space="preserve">Abstract</w:t>
      </w:r>
    </w:p>
    <w:p>
      <w:pPr>
        <w:spacing w:after="120" w:line="276"/>
        <w:jc w:val="left"/>
      </w:pPr>
      <w:r>
        <w:rPr>
          <w:rFonts w:ascii="Calibri" w:cs="Calibri" w:eastAsia="Calibri" w:hAnsi="Calibri"/>
          <w:color w:val="1E293B"/>
          <w:sz w:val="22"/>
          <w:szCs w:val="22"/>
        </w:rPr>
        <w:t xml:space="preserve">Standard Federated Learning (FL) aggregation treats all clients equally, leading to a "model conformity" effect where majority-client knowledge dominates the global model while minority expert knowledge is diluted. We propose EWA-Fed (Entropy-Weighted Aggregation for Federated Learning), a monitoring framework that detects this conformity effect by analyzing model-intrinsic uncertainty signals during FL training.</w:t>
      </w:r>
    </w:p>
    <w:p>
      <w:pPr>
        <w:spacing w:after="120" w:line="276"/>
        <w:jc w:val="left"/>
      </w:pPr>
      <w:r>
        <w:rPr>
          <w:rFonts w:ascii="Calibri" w:cs="Calibri" w:eastAsia="Calibri" w:hAnsi="Calibri"/>
          <w:color w:val="1E293B"/>
          <w:sz w:val="22"/>
          <w:szCs w:val="22"/>
        </w:rPr>
        <w:t xml:space="preserve">EWA-Fed operates as a non-invasive monitoring layer atop standard FedAvg training. Each client encodes its local model predictions as structured primitives annotated with softmax entropy. The server groups primitives by class, computes entropy-weighted class prototypes, and quantifies whether minority expert contributions are being suppressed. Unlike existing approaches that modify the training algorithm, EWA-Fed preserves the original FedAvg procedure while providing real-time diagnostic insights.</w:t>
      </w:r>
    </w:p>
    <w:p>
      <w:pPr>
        <w:spacing w:after="120" w:line="276"/>
        <w:jc w:val="left"/>
      </w:pPr>
      <w:r>
        <w:rPr>
          <w:rFonts w:ascii="Calibri" w:cs="Calibri" w:eastAsia="Calibri" w:hAnsi="Calibri"/>
          <w:color w:val="1E293B"/>
          <w:sz w:val="22"/>
          <w:szCs w:val="22"/>
        </w:rPr>
        <w:t xml:space="preserve">We validate EWA-Fed across three real-world tasks spanning both modalities: medical image classification (organoid stage detection with DINOv2 features), financial sentiment analysis (Twitter Financial News with sentence-transformer embeddings), and medical question answering (PubMed QA). Across all experiments, EWA gives the expert client 70.0% average weight share on its specialty class compared to 52.0% under equal weighting (FedAvg baseline), yielding a +18.0 percentage point improvement (33.8% relative). The CV task shows the strongest effect (+35.3pp) due to higher classification confidence, while NLP tasks show moderate but consistent improvements (+6.7 to +12.1pp).</w:t>
      </w:r>
    </w:p>
    <w:p>
      <w:pPr>
        <w:spacing w:after="120" w:line="276"/>
        <w:jc w:val="left"/>
      </w:pPr>
      <w:r>
        <w:rPr>
          <w:rFonts w:ascii="Calibri" w:cs="Calibri" w:eastAsia="Calibri" w:hAnsi="Calibri"/>
          <w:b/>
          <w:bCs/>
          <w:color w:val="1E293B"/>
          <w:sz w:val="22"/>
          <w:szCs w:val="22"/>
        </w:rPr>
        <w:t xml:space="preserve">Keywords: </w:t>
      </w:r>
      <w:r>
        <w:rPr>
          <w:rFonts w:ascii="Calibri" w:cs="Calibri" w:eastAsia="Calibri" w:hAnsi="Calibri"/>
          <w:i/>
          <w:iCs/>
          <w:color w:val="1E293B"/>
          <w:sz w:val="22"/>
          <w:szCs w:val="22"/>
        </w:rPr>
        <w:t xml:space="preserve">Federated Learning, Entropy-Weighted Aggregation, Conformity Detection, Cross-Modal, Non-IID Data, Model Monitoring</w:t>
      </w:r>
    </w:p>
    <w:p>
      <w:pPr>
        <w:pStyle w:val="Heading1"/>
        <w:spacing w:after="200" w:before="400" w:line="276"/>
      </w:pPr>
      <w:r>
        <w:rPr>
          <w:rFonts w:ascii="Times New Roman" w:cs="Times New Roman" w:eastAsia="Times New Roman" w:hAnsi="Times New Roman"/>
          <w:b/>
          <w:bCs/>
          <w:color w:val="020617"/>
          <w:sz w:val="36"/>
          <w:szCs w:val="36"/>
        </w:rPr>
        <w:t xml:space="preserve">1. Introduction</w:t>
      </w:r>
    </w:p>
    <w:p>
      <w:pPr>
        <w:pStyle w:val="Heading2"/>
        <w:spacing w:after="150" w:before="300" w:line="276"/>
      </w:pPr>
      <w:r>
        <w:rPr>
          <w:rFonts w:ascii="Times New Roman" w:cs="Times New Roman" w:eastAsia="Times New Roman" w:hAnsi="Times New Roman"/>
          <w:b/>
          <w:bCs/>
          <w:color w:val="020617"/>
          <w:sz w:val="28"/>
          <w:szCs w:val="28"/>
        </w:rPr>
        <w:t xml:space="preserve">1.1 Motivation</w:t>
      </w:r>
    </w:p>
    <w:p>
      <w:pPr>
        <w:spacing w:after="120" w:line="276"/>
        <w:jc w:val="left"/>
      </w:pPr>
      <w:r>
        <w:t xml:space="preserve">Federated Learning (FL)</w:t>
      </w:r>
      <w:r>
        <w:rPr>
          <w:rStyle w:val="FootnoteReference"/>
        </w:rPr>
        <w:footnoteReference w:id="1"/>
      </w:r>
      <w:r>
        <w:t xml:space="preserve"> enables collaborative model training across distributed clients without sharing raw data. The standard aggregation algorithm, FedAvg, computes a weighted average of client model parameters. While simple and effective, FedAvg treats all clients equally regardless of their data quality, domain expertise, or prediction confidence. In real-world deployments, clients often have highly heterogeneous data distributions (Non-IID), leading to a phenomenon we term </w:t>
      </w:r>
      <w:r>
        <w:rPr>
          <w:i/>
          <w:iCs/>
        </w:rPr>
        <w:t xml:space="preserve">model conformity</w:t>
      </w:r>
      <w:r>
        <w:t xml:space="preserve"> — analogous to the social conformity effects documented by Asch</w:t>
      </w:r>
      <w:r>
        <w:rPr>
          <w:rStyle w:val="FootnoteReference"/>
        </w:rPr>
        <w:footnoteReference w:id="2"/>
      </w:r>
      <w:r>
        <w:t xml:space="preserve"> — where the global model converges toward the majority view, suppressing valuable minority expertise.</w:t>
      </w:r>
    </w:p>
    <w:p>
      <w:pPr>
        <w:spacing w:after="120" w:line="276"/>
        <w:jc w:val="left"/>
      </w:pPr>
      <w:r>
        <w:rPr>
          <w:rFonts w:ascii="Calibri" w:cs="Calibri" w:eastAsia="Calibri" w:hAnsi="Calibri"/>
          <w:color w:val="1E293B"/>
          <w:sz w:val="22"/>
          <w:szCs w:val="22"/>
        </w:rPr>
        <w:t xml:space="preserve">Consider a medical FL system where one hospital specializes in rare diseases while others handle common conditions. Under FedAvg, the rare-disease expert's knowledge is diluted by the majority, potentially degrading diagnostic accuracy for the very patients who need it most. This problem is exacerbated in settings where some clients have genuinely higher prediction quality on specific classes, yet this quality signal is entirely ignored during aggregation.</w:t>
      </w:r>
    </w:p>
    <w:p>
      <w:pPr>
        <w:spacing w:after="120" w:line="276"/>
        <w:jc w:val="left"/>
      </w:pPr>
      <w:r>
        <w:rPr>
          <w:b/>
          <w:bCs/>
        </w:rPr>
        <w:t xml:space="preserve">Formal definition. </w:t>
      </w:r>
      <w:r>
        <w:t xml:space="preserve">Let K clients participate in FL with a C-class classification task. Let S_EW(k, c) denote client k's equal-weight share on class c (the fraction of class-c predictions from k). Under FedAvg, the global model implicitly assigns each client a weight proportional to its data volume, regardless of prediction quality. We define </w:t>
      </w:r>
      <w:r>
        <w:rPr>
          <w:i/>
          <w:iCs/>
        </w:rPr>
        <w:t xml:space="preserve">model conformity</w:t>
      </w:r>
      <w:r>
        <w:t xml:space="preserve"> as the phenomenon where S_EW(k*, c*) for an expert client k* on its specialty class c* is close to the uniform share 1/K, despite the expert having significantly lower entropy (higher confidence) on c* than other clients. The degree of conformity is quantified by the conformity score Conf(c) defined in Section 3.4.</w:t>
      </w:r>
    </w:p>
    <w:p>
      <w:pPr>
        <w:pStyle w:val="Heading2"/>
        <w:spacing w:after="150" w:before="300" w:line="276"/>
      </w:pPr>
      <w:r>
        <w:rPr>
          <w:rFonts w:ascii="Times New Roman" w:cs="Times New Roman" w:eastAsia="Times New Roman" w:hAnsi="Times New Roman"/>
          <w:b/>
          <w:bCs/>
          <w:color w:val="020617"/>
          <w:sz w:val="28"/>
          <w:szCs w:val="28"/>
        </w:rPr>
        <w:t xml:space="preserve">1.2 Our Contribution</w:t>
      </w:r>
    </w:p>
    <w:p>
      <w:pPr>
        <w:spacing w:after="120" w:line="276"/>
        <w:jc w:val="left"/>
      </w:pPr>
      <w:r>
        <w:rPr>
          <w:rFonts w:ascii="Calibri" w:cs="Calibri" w:eastAsia="Calibri" w:hAnsi="Calibri"/>
          <w:color w:val="1E293B"/>
          <w:sz w:val="22"/>
          <w:szCs w:val="22"/>
        </w:rPr>
        <w:t xml:space="preserve">We propose EWA-Fed, a two-layer architecture that separates training from monitoring:</w:t>
      </w:r>
    </w:p>
    <w:p>
      <w:pPr>
        <w:spacing w:after="120" w:line="276"/>
        <w:jc w:val="left"/>
      </w:pPr>
      <w:r>
        <w:rPr>
          <w:b/>
          <w:bCs/>
        </w:rPr>
        <w:t xml:space="preserve">Training Layer: </w:t>
      </w:r>
      <w:r>
        <w:t xml:space="preserve">Standard FedAvg (unchanged). Clients train locally and upload model parameters as usual.</w:t>
      </w:r>
    </w:p>
    <w:p>
      <w:pPr>
        <w:spacing w:after="120" w:line="276"/>
        <w:jc w:val="left"/>
      </w:pPr>
      <w:r>
        <w:rPr>
          <w:b/>
          <w:bCs/>
        </w:rPr>
        <w:t xml:space="preserve">Monitoring Layer: </w:t>
      </w:r>
      <w:r>
        <w:t xml:space="preserve">EWA analyzer that processes structured primitives (class predictions + softmax entropy) from each client, computes entropy-weighted class prototypes, and detects conformity effects in real time.</w:t>
      </w:r>
    </w:p>
    <w:p>
      <w:pPr>
        <w:spacing w:after="120" w:line="276"/>
        <w:jc w:val="left"/>
      </w:pPr>
      <w:r>
        <w:rPr>
          <w:rFonts w:ascii="Calibri" w:cs="Calibri" w:eastAsia="Calibri" w:hAnsi="Calibri"/>
          <w:color w:val="1E293B"/>
          <w:sz w:val="22"/>
          <w:szCs w:val="22"/>
        </w:rPr>
        <w:t xml:space="preserve">Our key insight is that softmax entropy serves as an honest signal of model confidence. Recent work on Inner Confidence has demonstrated that token entropy is a reliable indicator of LLM prediction quality, outperforming declared confidence. We extend this principle to FL: clients with low entropy on a particular class are genuinely confident about that class, and their contributions should receive higher weight in the class-level analysis.</w:t>
      </w:r>
    </w:p>
    <w:p>
      <w:pPr>
        <w:pStyle w:val="Heading2"/>
        <w:spacing w:after="150" w:before="300" w:line="276"/>
      </w:pPr>
      <w:r>
        <w:rPr>
          <w:rFonts w:ascii="Times New Roman" w:cs="Times New Roman" w:eastAsia="Times New Roman" w:hAnsi="Times New Roman"/>
          <w:b/>
          <w:bCs/>
          <w:color w:val="020617"/>
          <w:sz w:val="28"/>
          <w:szCs w:val="28"/>
        </w:rPr>
        <w:t xml:space="preserve">1.3 Key Properties</w:t>
      </w:r>
    </w:p>
    <w:p>
      <w:pPr>
        <w:spacing w:after="120" w:line="276"/>
        <w:jc w:val="left"/>
      </w:pPr>
      <w:r>
        <w:rPr>
          <w:rFonts w:ascii="Calibri" w:cs="Calibri" w:eastAsia="Calibri" w:hAnsi="Calibri"/>
          <w:color w:val="1E293B"/>
          <w:sz w:val="22"/>
          <w:szCs w:val="22"/>
        </w:rPr>
        <w:t xml:space="preserve">EWA-Fed offers several advantages over existing approaches:</w:t>
      </w:r>
    </w:p>
    <w:p>
      <w:pPr>
        <w:spacing w:after="120" w:line="276"/>
        <w:jc w:val="left"/>
      </w:pPr>
      <w:r>
        <w:rPr>
          <w:b/>
          <w:bCs/>
        </w:rPr>
        <w:t xml:space="preserve">Non-invasive: </w:t>
      </w:r>
      <w:r>
        <w:t xml:space="preserve">Does not modify the training algorithm. Zero integration cost with existing FL systems.</w:t>
      </w:r>
    </w:p>
    <w:p>
      <w:pPr>
        <w:spacing w:after="120" w:line="276"/>
        <w:jc w:val="left"/>
      </w:pPr>
      <w:r>
        <w:rPr>
          <w:b/>
          <w:bCs/>
        </w:rPr>
        <w:t xml:space="preserve">Privacy-preserving: </w:t>
      </w:r>
      <w:r>
        <w:t xml:space="preserve">Only structured primitives (class label + entropy) are transmitted, never raw images, text, or gradients.</w:t>
      </w:r>
    </w:p>
    <w:p>
      <w:pPr>
        <w:spacing w:after="120" w:line="276"/>
        <w:jc w:val="left"/>
      </w:pPr>
      <w:r>
        <w:rPr>
          <w:b/>
          <w:bCs/>
        </w:rPr>
        <w:t xml:space="preserve">Cross-modal: </w:t>
      </w:r>
      <w:r>
        <w:t xml:space="preserve">Works for both CV (softmax entropy from classification heads) and NLP (softmax entropy from text classifiers). The entropy signal is modality-agnostic: any model that outputs a probability distribution over classes can be monitored.</w:t>
      </w:r>
    </w:p>
    <w:p>
      <w:pPr>
        <w:spacing w:after="120" w:line="276"/>
        <w:jc w:val="left"/>
      </w:pPr>
      <w:r>
        <w:rPr>
          <w:b/>
          <w:bCs/>
        </w:rPr>
        <w:t xml:space="preserve">Interpretable: </w:t>
      </w:r>
      <w:r>
        <w:t xml:space="preserve">Produces per-class conformity scores and alerts, enabling practitioners to identify which classes are affected and which clients are being suppressed.</w:t>
      </w:r>
    </w:p>
    <w:p>
      <w:pPr>
        <w:pStyle w:val="Heading1"/>
        <w:spacing w:after="200" w:before="400" w:line="276"/>
      </w:pPr>
      <w:r>
        <w:rPr>
          <w:rFonts w:ascii="Times New Roman" w:cs="Times New Roman" w:eastAsia="Times New Roman" w:hAnsi="Times New Roman"/>
          <w:b/>
          <w:bCs/>
          <w:color w:val="020617"/>
          <w:sz w:val="36"/>
          <w:szCs w:val="36"/>
        </w:rPr>
        <w:t xml:space="preserve">2. Related Work</w:t>
      </w:r>
    </w:p>
    <w:p>
      <w:pPr>
        <w:pStyle w:val="Heading2"/>
        <w:spacing w:after="150" w:before="300" w:line="276"/>
      </w:pPr>
      <w:r>
        <w:rPr>
          <w:rFonts w:ascii="Times New Roman" w:cs="Times New Roman" w:eastAsia="Times New Roman" w:hAnsi="Times New Roman"/>
          <w:b/>
          <w:bCs/>
          <w:color w:val="020617"/>
          <w:sz w:val="28"/>
          <w:szCs w:val="28"/>
        </w:rPr>
        <w:t xml:space="preserve">2.1 Federated Learning Aggregation</w:t>
      </w:r>
    </w:p>
    <w:p>
      <w:pPr>
        <w:spacing w:after="120" w:line="276"/>
        <w:jc w:val="left"/>
      </w:pPr>
      <w:r>
        <w:t xml:space="preserve">FedAvg</w:t>
      </w:r>
      <w:r>
        <w:rPr>
          <w:rStyle w:val="FootnoteReference"/>
        </w:rPr>
        <w:footnoteReference w:id="1"/>
      </w:r>
      <w:r>
        <w:t xml:space="preserve"> remains the de facto standard for FL aggregation. Several extensions address Non-IID challenges: FedProx</w:t>
      </w:r>
      <w:r>
        <w:rPr>
          <w:rStyle w:val="FootnoteReference"/>
        </w:rPr>
        <w:footnoteReference w:id="5"/>
      </w:r>
      <w:r>
        <w:t xml:space="preserve"> adds a proximal term to limit client drift; FedNova</w:t>
      </w:r>
      <w:r>
        <w:rPr>
          <w:rStyle w:val="FootnoteReference"/>
        </w:rPr>
        <w:footnoteReference w:id="6"/>
      </w:r>
      <w:r>
        <w:t xml:space="preserve"> normalizes local updates; FedDyn</w:t>
      </w:r>
      <w:r>
        <w:rPr>
          <w:rStyle w:val="FootnoteReference"/>
        </w:rPr>
        <w:footnoteReference w:id="8"/>
      </w:r>
      <w:r>
        <w:t xml:space="preserve"> uses dynamic regularization; and Agnostic FL</w:t>
      </w:r>
      <w:r>
        <w:rPr>
          <w:rStyle w:val="FootnoteReference"/>
        </w:rPr>
        <w:footnoteReference w:id="7"/>
      </w:r>
      <w:r>
        <w:t xml:space="preserve"> minimizes worst-client loss. These approaches modify the training algorithm itself, requiring changes to the optimization procedure and potentially introducing hyperparameter sensitivity.</w:t>
      </w:r>
    </w:p>
    <w:p>
      <w:pPr>
        <w:spacing w:after="120" w:line="276"/>
        <w:jc w:val="left"/>
      </w:pPr>
      <w:r>
        <w:rPr>
          <w:rFonts w:ascii="Calibri" w:cs="Calibri" w:eastAsia="Calibri" w:hAnsi="Calibri"/>
          <w:color w:val="1E293B"/>
          <w:sz w:val="22"/>
          <w:szCs w:val="22"/>
        </w:rPr>
        <w:t xml:space="preserve">In contrast, EWA-Fed takes a fundamentally different approach: it does not modify training at all. Instead, it provides a parallel monitoring channel that diagnoses conformity effects, leaving the training algorithm untouched. This makes it complementary to all existing aggregation methods.</w:t>
      </w:r>
    </w:p>
    <w:p>
      <w:pPr>
        <w:pStyle w:val="Heading2"/>
        <w:spacing w:after="150" w:before="300" w:line="276"/>
      </w:pPr>
      <w:r>
        <w:rPr>
          <w:rFonts w:ascii="Times New Roman" w:cs="Times New Roman" w:eastAsia="Times New Roman" w:hAnsi="Times New Roman"/>
          <w:b/>
          <w:bCs/>
          <w:color w:val="020617"/>
          <w:sz w:val="28"/>
          <w:szCs w:val="28"/>
        </w:rPr>
        <w:t xml:space="preserve">2.2 Uncertainty in Neural Networks</w:t>
      </w:r>
    </w:p>
    <w:p>
      <w:pPr>
        <w:spacing w:after="120" w:line="276"/>
        <w:jc w:val="left"/>
      </w:pPr>
      <w:r>
        <w:t xml:space="preserve">The use of model uncertainty as a quality signal has deep roots in information theory. Shannon entropy of the softmax distribution has been shown to correlate with prediction accuracy across multiple domains. The Inner Confidence framework</w:t>
      </w:r>
      <w:r>
        <w:rPr>
          <w:rStyle w:val="FootnoteReference"/>
        </w:rPr>
        <w:footnoteReference w:id="3"/>
      </w:r>
      <w:r>
        <w:t xml:space="preserve"> recently demonstrated that token-level entropy in LLMs is an "honest" uncertainty signal — unlike declared confidence, which can be arbitrarily manipulated. We build on this insight by using entropy as an aggregation weight in the FL monitoring layer.</w:t>
      </w:r>
    </w:p>
    <w:p>
      <w:pPr>
        <w:pStyle w:val="Heading2"/>
        <w:spacing w:after="150" w:before="300" w:line="276"/>
      </w:pPr>
      <w:r>
        <w:rPr>
          <w:rFonts w:ascii="Times New Roman" w:cs="Times New Roman" w:eastAsia="Times New Roman" w:hAnsi="Times New Roman"/>
          <w:b/>
          <w:bCs/>
          <w:color w:val="020617"/>
          <w:sz w:val="28"/>
          <w:szCs w:val="28"/>
        </w:rPr>
        <w:t xml:space="preserve">2.3 Visual Primitives for Structured Communication</w:t>
      </w:r>
    </w:p>
    <w:p>
      <w:pPr>
        <w:spacing w:after="120" w:line="276"/>
        <w:jc w:val="left"/>
      </w:pPr>
      <w:r>
        <w:t xml:space="preserve">The concept of encoding model outputs as structured primitives was introduced by DeepSeek-AI</w:t>
      </w:r>
      <w:r>
        <w:rPr>
          <w:rStyle w:val="FootnoteReference"/>
        </w:rPr>
        <w:footnoteReference w:id="4"/>
      </w:r>
      <w:r>
        <w:t xml:space="preserve"> in their "Thinking with Visual Primitives" framework. We adapt this idea for FL: instead of transmitting raw model parameters or gradients, clients encode their predictions as lightweight primitives containing class labels, coordinates, and entropy values. This provides both privacy benefits (no raw data leakage) and interpretability (structured, human-readable format).</w:t>
      </w:r>
    </w:p>
    <w:p>
      <w:pPr>
        <w:pStyle w:val="Heading1"/>
        <w:spacing w:after="200" w:before="400" w:line="276"/>
      </w:pPr>
      <w:r>
        <w:rPr>
          <w:rFonts w:ascii="Times New Roman" w:cs="Times New Roman" w:eastAsia="Times New Roman" w:hAnsi="Times New Roman"/>
          <w:b/>
          <w:bCs/>
          <w:color w:val="020617"/>
          <w:sz w:val="36"/>
          <w:szCs w:val="36"/>
        </w:rPr>
        <w:t xml:space="preserve">3. Methodology</w:t>
      </w:r>
    </w:p>
    <w:p>
      <w:pPr>
        <w:pStyle w:val="Heading2"/>
        <w:spacing w:after="150" w:before="300" w:line="276"/>
      </w:pPr>
      <w:r>
        <w:rPr>
          <w:rFonts w:ascii="Times New Roman" w:cs="Times New Roman" w:eastAsia="Times New Roman" w:hAnsi="Times New Roman"/>
          <w:b/>
          <w:bCs/>
          <w:color w:val="020617"/>
          <w:sz w:val="28"/>
          <w:szCs w:val="28"/>
        </w:rPr>
        <w:t xml:space="preserve">3.1 System Architecture</w:t>
      </w:r>
    </w:p>
    <w:p>
      <w:pPr>
        <w:spacing w:after="120" w:line="276"/>
        <w:jc w:val="left"/>
      </w:pPr>
      <w:r>
        <w:rPr>
          <w:rFonts w:ascii="Calibri" w:cs="Calibri" w:eastAsia="Calibri" w:hAnsi="Calibri"/>
          <w:color w:val="1E293B"/>
          <w:sz w:val="22"/>
          <w:szCs w:val="22"/>
        </w:rPr>
        <w:t xml:space="preserve">EWA-Fed employs a two-layer architecture that cleanly separates training from monitoring:</w:t>
      </w:r>
    </w:p>
    <w:p>
      <w:pPr>
        <w:spacing w:after="120" w:line="276"/>
        <w:jc w:val="left"/>
      </w:pPr>
      <w:r>
        <w:rPr>
          <w:b/>
          <w:bCs/>
        </w:rPr>
        <w:t xml:space="preserve">Layer 1 (Training): </w:t>
      </w:r>
      <w:r>
        <w:t xml:space="preserve">Standard FedAvg runs unchanged. Each client trains a local model on its private data, computes local parameter updates, and sends them to the server. The server aggregates via weighted averaging.</w:t>
      </w:r>
    </w:p>
    <w:p>
      <w:pPr>
        <w:spacing w:after="120" w:line="276"/>
        <w:jc w:val="left"/>
      </w:pPr>
      <w:r>
        <w:rPr>
          <w:b/>
          <w:bCs/>
        </w:rPr>
        <w:t xml:space="preserve">Layer 2 (Monitoring): </w:t>
      </w:r>
      <w:r>
        <w:t xml:space="preserve">In parallel, each client runs local inference on its training data, encodes predictions as structured primitives with associated softmax entropy, and uploads these primitives to the EWA analyzer. The analyzer groups primitives by class, computes entropy-weighted prototypes, and generates conformity reports.</w:t>
      </w:r>
    </w:p>
    <w:p>
      <w:pPr>
        <w:spacing w:after="120" w:line="276"/>
        <w:jc w:val="left"/>
      </w:pPr>
      <w:r>
        <w:rPr>
          <w:rFonts w:ascii="Calibri" w:cs="Calibri" w:eastAsia="Calibri" w:hAnsi="Calibri"/>
          <w:color w:val="1E293B"/>
          <w:sz w:val="22"/>
          <w:szCs w:val="22"/>
        </w:rPr>
        <w:t xml:space="preserve">This separation ensures that EWA-Fed can be deployed on top of any existing FL system without modifying the training pipeline.</w:t>
      </w:r>
    </w:p>
    <w:p>
      <w:pPr>
        <w:pStyle w:val="Heading2"/>
        <w:spacing w:after="150" w:before="300" w:line="276"/>
      </w:pPr>
      <w:r>
        <w:rPr>
          <w:rFonts w:ascii="Times New Roman" w:cs="Times New Roman" w:eastAsia="Times New Roman" w:hAnsi="Times New Roman"/>
          <w:b/>
          <w:bCs/>
          <w:color w:val="020617"/>
          <w:sz w:val="28"/>
          <w:szCs w:val="28"/>
        </w:rPr>
        <w:t xml:space="preserve">3.2 Primitive Encoding</w:t>
      </w:r>
    </w:p>
    <w:p>
      <w:pPr>
        <w:spacing w:after="120" w:line="276"/>
        <w:jc w:val="left"/>
      </w:pPr>
      <w:r>
        <w:rPr>
          <w:rFonts w:ascii="Calibri" w:cs="Calibri" w:eastAsia="Calibri" w:hAnsi="Calibri"/>
          <w:color w:val="1E293B"/>
          <w:sz w:val="22"/>
          <w:szCs w:val="22"/>
        </w:rPr>
        <w:t xml:space="preserve">After each local training epoch, each client runs inference on its local training data and encodes predictions as structured primitives. For a classification task with C classes, each prediction produces a primitive containing:</w:t>
      </w:r>
    </w:p>
    <w:p>
      <w:pPr>
        <w:spacing w:after="120" w:line="276"/>
        <w:jc w:val="left"/>
      </w:pPr>
      <w:r>
        <w:rPr>
          <w:b/>
          <w:bCs/>
        </w:rPr>
        <w:t xml:space="preserve">ref (class label): </w:t>
      </w:r>
      <w:r>
        <w:t xml:space="preserve">The predicted class for this sample.</w:t>
      </w:r>
    </w:p>
    <w:p>
      <w:pPr>
        <w:spacing w:after="120" w:line="276"/>
        <w:jc w:val="left"/>
      </w:pPr>
      <w:r>
        <w:rPr>
          <w:b/>
          <w:bCs/>
        </w:rPr>
        <w:t xml:space="preserve">coords: </w:t>
      </w:r>
      <w:r>
        <w:t xml:space="preserve">A feature representation of the input. In our experiments, this is the model's learned feature vector (e.g., DINOv2+PCA 16d for CV, sentence-transformer 384d for NLP). The specific representation is task-dependent and can be omitted for pure entropy-based analysis.</w:t>
      </w:r>
    </w:p>
    <w:p>
      <w:pPr>
        <w:spacing w:after="120" w:line="276"/>
        <w:jc w:val="left"/>
      </w:pPr>
      <w:r>
        <w:rPr>
          <w:b/>
          <w:bCs/>
        </w:rPr>
        <w:t xml:space="preserve">token_entropy: </w:t>
      </w:r>
      <w:r>
        <w:t xml:space="preserve">The Shannon entropy of the softmax distribution: H = −∑ p_i log(p_i). Low entropy indicates high confidence.</w:t>
      </w:r>
    </w:p>
    <w:p>
      <w:pPr>
        <w:spacing w:after="120" w:line="276"/>
        <w:jc w:val="left"/>
      </w:pPr>
      <w:r>
        <w:rPr>
          <w:b/>
          <w:bCs/>
        </w:rPr>
        <w:t xml:space="preserve">source_client: </w:t>
      </w:r>
      <w:r>
        <w:t xml:space="preserve">Client identifier for per-client analysis.</w:t>
      </w:r>
    </w:p>
    <w:p>
      <w:pPr>
        <w:spacing w:after="120" w:line="276"/>
        <w:jc w:val="left"/>
      </w:pPr>
      <w:r>
        <w:rPr>
          <w:b/>
          <w:bCs/>
        </w:rPr>
        <w:t xml:space="preserve">auxiliary: </w:t>
      </w:r>
      <w:r>
        <w:t xml:space="preserve">Optional metadata including confidence score, true class label, and correctness flag.</w:t>
      </w:r>
    </w:p>
    <w:p>
      <w:pPr>
        <w:pStyle w:val="Heading2"/>
        <w:spacing w:after="150" w:before="300" w:line="276"/>
      </w:pPr>
      <w:r>
        <w:rPr>
          <w:rFonts w:ascii="Times New Roman" w:cs="Times New Roman" w:eastAsia="Times New Roman" w:hAnsi="Times New Roman"/>
          <w:b/>
          <w:bCs/>
          <w:color w:val="020617"/>
          <w:sz w:val="28"/>
          <w:szCs w:val="28"/>
        </w:rPr>
        <w:t xml:space="preserve">3.3 Entropy-Weighted Aggregation</w:t>
      </w:r>
    </w:p>
    <w:p>
      <w:pPr>
        <w:spacing w:after="120" w:line="276"/>
        <w:jc w:val="left"/>
      </w:pPr>
      <w:r>
        <w:rPr>
          <w:rFonts w:ascii="Calibri" w:cs="Calibri" w:eastAsia="Calibri" w:hAnsi="Calibri"/>
          <w:color w:val="1E293B"/>
          <w:sz w:val="22"/>
          <w:szCs w:val="22"/>
        </w:rPr>
        <w:t xml:space="preserve">Given N primitives from K clients for a particular class c, EWA computes an entropy-weighted class prototype. The weight for each primitive p_i is:</w:t>
      </w:r>
    </w:p>
    <w:p>
      <w:pPr>
        <w:spacing w:after="120" w:line="276"/>
        <w:jc w:val="center"/>
        <w:rPr>
          <w:i/>
          <w:iCs/>
        </w:rPr>
      </w:pPr>
      <w:r>
        <w:rPr>
          <w:rFonts w:ascii="Calibri" w:cs="Calibri" w:eastAsia="Calibri" w:hAnsi="Calibri"/>
          <w:i/>
          <w:iCs/>
          <w:color w:val="1E293B"/>
          <w:sz w:val="22"/>
          <w:szCs w:val="22"/>
        </w:rPr>
        <w:t xml:space="preserve">w(p_i) = 1 / (H(p_i) + ε)</w:t>
      </w:r>
    </w:p>
    <w:p>
      <w:pPr>
        <w:spacing w:after="120" w:line="276"/>
        <w:jc w:val="left"/>
      </w:pPr>
      <w:r>
        <w:rPr>
          <w:rFonts w:ascii="Calibri" w:cs="Calibri" w:eastAsia="Calibri" w:hAnsi="Calibri"/>
          <w:color w:val="1E293B"/>
          <w:sz w:val="22"/>
          <w:szCs w:val="22"/>
        </w:rPr>
        <w:t xml:space="preserve">where H(p_i) = −∑_j p(y_j | x_i) log p(y_j | x_i) is the Shannon entropy of the softmax distribution over C classes, and ε = 10⁻⁸ prevents division by zero. This formulation ensures that confident predictions (low entropy) receive higher weight, while uncertain predictions (high entropy) are downweighted.</w:t>
      </w:r>
    </w:p>
    <w:p>
      <w:pPr>
        <w:spacing w:after="120" w:line="276"/>
        <w:jc w:val="left"/>
      </w:pPr>
      <w:r>
        <w:rPr>
          <w:rFonts w:ascii="Calibri" w:cs="Calibri" w:eastAsia="Calibri" w:hAnsi="Calibri"/>
          <w:color w:val="1E293B"/>
          <w:sz w:val="22"/>
          <w:szCs w:val="22"/>
        </w:rPr>
        <w:t xml:space="preserve">The entropy-weighted class prototype for class c is then defined as the normalized weight share per client. For client k, its weight share on class c is:</w:t>
      </w:r>
    </w:p>
    <w:p>
      <w:pPr>
        <w:spacing w:after="120" w:line="276"/>
        <w:jc w:val="center"/>
        <w:rPr>
          <w:i/>
          <w:iCs/>
        </w:rPr>
      </w:pPr>
      <w:r>
        <w:rPr>
          <w:rFonts w:ascii="Calibri" w:cs="Calibri" w:eastAsia="Calibri" w:hAnsi="Calibri"/>
          <w:i/>
          <w:iCs/>
          <w:color w:val="1E293B"/>
          <w:sz w:val="22"/>
          <w:szCs w:val="22"/>
        </w:rPr>
        <w:t xml:space="preserve">S(k, c) = ∑_{i ∈ P(k,c)} w(p_i) / ∑_{i ∈ P(c)} w(p_i)</w:t>
      </w:r>
    </w:p>
    <w:p>
      <w:pPr>
        <w:spacing w:after="120" w:line="276"/>
        <w:jc w:val="left"/>
      </w:pPr>
      <w:r>
        <w:rPr>
          <w:rFonts w:ascii="Calibri" w:cs="Calibri" w:eastAsia="Calibri" w:hAnsi="Calibri"/>
          <w:color w:val="1E293B"/>
          <w:sz w:val="22"/>
          <w:szCs w:val="22"/>
        </w:rPr>
        <w:t xml:space="preserve">where P(k,c) is the set of primitives from client k predicted as class c, and P(c) is the set of all primitives predicted as class c. Under equal weighting (our baseline), S(k,c) simply equals the fraction of class-c predictions from client k, which is what FedAvg implicitly assumes.</w:t>
      </w:r>
    </w:p>
    <w:p>
      <w:pPr>
        <w:spacing w:after="120" w:line="276"/>
        <w:jc w:val="left"/>
      </w:pPr>
      <w:r>
        <w:rPr>
          <w:rFonts w:ascii="Calibri" w:cs="Calibri" w:eastAsia="Calibri" w:hAnsi="Calibri"/>
          <w:color w:val="1E293B"/>
          <w:sz w:val="22"/>
          <w:szCs w:val="22"/>
        </w:rPr>
        <w:t xml:space="preserve">The key metric in our experiments is the expert weight share: S(k*, c*) where k* is the expert client and c* is its specialty class. A higher expert weight share indicates that the monitoring layer recognizes the expert's genuine knowledge advantage on that class.</w:t>
      </w:r>
    </w:p>
    <w:p>
      <w:pPr>
        <w:pStyle w:val="Heading2"/>
        <w:spacing w:after="150" w:before="300" w:line="276"/>
      </w:pPr>
      <w:r>
        <w:rPr>
          <w:rFonts w:ascii="Times New Roman" w:cs="Times New Roman" w:eastAsia="Times New Roman" w:hAnsi="Times New Roman"/>
          <w:b/>
          <w:bCs/>
          <w:color w:val="020617"/>
          <w:sz w:val="28"/>
          <w:szCs w:val="28"/>
        </w:rPr>
        <w:t xml:space="preserve">3.4 Conformity Detection</w:t>
      </w:r>
    </w:p>
    <w:p>
      <w:pPr>
        <w:spacing w:after="120" w:line="276"/>
        <w:jc w:val="left"/>
      </w:pPr>
      <w:r>
        <w:rPr>
          <w:rFonts w:ascii="Calibri" w:cs="Calibri" w:eastAsia="Calibri" w:hAnsi="Calibri"/>
          <w:color w:val="1E293B"/>
          <w:sz w:val="22"/>
          <w:szCs w:val="22"/>
        </w:rPr>
        <w:t xml:space="preserve">For each class c, EWA computes a conformity score that quantifies the degree to which the aggregated prototype reflects the most knowledgeable client versus the majority. Let k* be the client with the lowest average entropy on class c (i.e., the most confident client). The conformity score is defined as:</w:t>
      </w:r>
    </w:p>
    <w:p>
      <w:pPr>
        <w:spacing w:after="120" w:line="276"/>
        <w:jc w:val="center"/>
        <w:rPr>
          <w:i/>
          <w:iCs/>
        </w:rPr>
      </w:pPr>
      <w:r>
        <w:rPr>
          <w:rFonts w:ascii="Calibri" w:cs="Calibri" w:eastAsia="Calibri" w:hAnsi="Calibri"/>
          <w:i/>
          <w:iCs/>
          <w:color w:val="1E293B"/>
          <w:sz w:val="22"/>
          <w:szCs w:val="22"/>
        </w:rPr>
        <w:t xml:space="preserve">Conf(c) = 1 − S_EWA(k*, c) / S_EW(k*, c)</w:t>
      </w:r>
    </w:p>
    <w:p>
      <w:pPr>
        <w:spacing w:after="120" w:line="276"/>
        <w:jc w:val="left"/>
      </w:pPr>
      <w:r>
        <w:rPr>
          <w:rFonts w:ascii="Calibri" w:cs="Calibri" w:eastAsia="Calibri" w:hAnsi="Calibri"/>
          <w:color w:val="1E293B"/>
          <w:sz w:val="22"/>
          <w:szCs w:val="22"/>
        </w:rPr>
        <w:t xml:space="preserve">where S_EWA(k*, c) is the expert's entropy-weighted weight share and S_EW(k*, c) is the expert's equal-weight share (fraction of class-c predictions from k*). A conformity score of 0 means the expert's knowledge is fully preserved (entropy weighting does not change its share); a score approaching 1 means near-total suppression (entropy weighting drastically reduces the expert's share). In practice, we observe that S_EW(k*, c) is typically close to 1/K (the equal-share baseline), while S_EWA(k*, c) can be substantially higher when the expert is genuinely confident.</w:t>
      </w:r>
    </w:p>
    <w:p>
      <w:pPr>
        <w:spacing w:after="120" w:line="276"/>
        <w:jc w:val="left"/>
      </w:pPr>
      <w:r>
        <w:rPr>
          <w:rFonts w:ascii="Calibri" w:cs="Calibri" w:eastAsia="Calibri" w:hAnsi="Calibri"/>
          <w:color w:val="1E293B"/>
          <w:sz w:val="22"/>
          <w:szCs w:val="22"/>
        </w:rPr>
        <w:t xml:space="preserve">A conformity alert is generated when Conf(c) exceeds a threshold (we use 0.3 in our experiments, meaning the expert's EWA share is at least 30% higher than its equal-weight share). The conformity detector tracks these alerts across rounds, identifying trends (improving, stable, or worsening) and generating actionable recommendations such as adding more diverse clients, using entropy-weighted aggregation, or reviewing data distributions.</w:t>
      </w:r>
    </w:p>
    <w:p>
      <w:pPr>
        <w:pStyle w:val="Heading2"/>
        <w:spacing w:after="150" w:before="300" w:line="276"/>
      </w:pPr>
      <w:r>
        <w:rPr>
          <w:rFonts w:ascii="Times New Roman" w:cs="Times New Roman" w:eastAsia="Times New Roman" w:hAnsi="Times New Roman"/>
          <w:b/>
          <w:bCs/>
          <w:color w:val="020617"/>
          <w:sz w:val="28"/>
          <w:szCs w:val="28"/>
        </w:rPr>
        <w:t xml:space="preserve">3.5 Privacy Analysis</w:t>
      </w:r>
    </w:p>
    <w:p>
      <w:pPr>
        <w:spacing w:after="120" w:line="276"/>
        <w:jc w:val="left"/>
      </w:pPr>
      <w:r>
        <w:rPr>
          <w:rFonts w:ascii="Calibri" w:cs="Calibri" w:eastAsia="Calibri" w:hAnsi="Calibri"/>
          <w:color w:val="1E293B"/>
          <w:sz w:val="22"/>
          <w:szCs w:val="22"/>
        </w:rPr>
        <w:t xml:space="preserve">EWA-Fed's monitoring layer transmits only structured primitives: class labels, normalized coordinates, and scalar entropy values. No raw images, text, gradients, or model parameters are transmitted through the monitoring channel. This provides stronger privacy guarantees than gradient-based methods, as primitives reveal only the model's output distribution, not the input data or the model's internal representations.</w:t>
      </w:r>
    </w:p>
    <w:p>
      <w:pPr>
        <w:pStyle w:val="Heading1"/>
        <w:spacing w:after="200" w:before="400" w:line="276"/>
      </w:pPr>
      <w:r>
        <w:rPr>
          <w:rFonts w:ascii="Times New Roman" w:cs="Times New Roman" w:eastAsia="Times New Roman" w:hAnsi="Times New Roman"/>
          <w:b/>
          <w:bCs/>
          <w:color w:val="020617"/>
          <w:sz w:val="36"/>
          <w:szCs w:val="36"/>
        </w:rPr>
        <w:t xml:space="preserve">4. Experiments</w:t>
      </w:r>
    </w:p>
    <w:p>
      <w:pPr>
        <w:pStyle w:val="Heading2"/>
        <w:spacing w:after="150" w:before="300" w:line="276"/>
      </w:pPr>
      <w:r>
        <w:rPr>
          <w:rFonts w:ascii="Times New Roman" w:cs="Times New Roman" w:eastAsia="Times New Roman" w:hAnsi="Times New Roman"/>
          <w:b/>
          <w:bCs/>
          <w:color w:val="020617"/>
          <w:sz w:val="28"/>
          <w:szCs w:val="28"/>
        </w:rPr>
        <w:t xml:space="preserve">4.1 Experimental Setup</w:t>
      </w:r>
    </w:p>
    <w:p>
      <w:pPr>
        <w:spacing w:after="120" w:line="276"/>
        <w:jc w:val="left"/>
      </w:pPr>
      <w:r>
        <w:rPr>
          <w:rFonts w:ascii="Calibri" w:cs="Calibri" w:eastAsia="Calibri" w:hAnsi="Calibri"/>
          <w:color w:val="1E293B"/>
          <w:sz w:val="22"/>
          <w:szCs w:val="22"/>
        </w:rPr>
        <w:t xml:space="preserve">We conduct three real-world experiments spanning both CV and NLP modalities. All experiments use real data, real model training (PyTorch), and real softmax entropy extraction. No simulation or synthetic entropy values are used.</w:t>
      </w:r>
    </w:p>
    <w:p>
      <w:pPr>
        <w:spacing w:after="120" w:line="276"/>
        <w:jc w:val="left"/>
      </w:pPr>
      <w:r>
        <w:rPr>
          <w:rFonts w:ascii="Calibri" w:cs="Calibri" w:eastAsia="Calibri" w:hAnsi="Calibri"/>
          <w:color w:val="1E293B"/>
          <w:sz w:val="22"/>
          <w:szCs w:val="22"/>
        </w:rPr>
        <w:t xml:space="preserve">Common configuration across experiments:</w:t>
      </w:r>
    </w:p>
    <w:p>
      <w:pPr>
        <w:spacing w:after="120" w:line="276"/>
        <w:jc w:val="left"/>
      </w:pPr>
      <w:r>
        <w:rPr>
          <w:b/>
          <w:bCs/>
        </w:rPr>
        <w:t xml:space="preserve">Clients: </w:t>
      </w:r>
      <w:r>
        <w:t xml:space="preserve">5 per experiment (1 expert + 4 generalists)</w:t>
      </w:r>
    </w:p>
    <w:p>
      <w:pPr>
        <w:spacing w:after="120" w:line="276"/>
        <w:jc w:val="left"/>
      </w:pPr>
      <w:r>
        <w:rPr>
          <w:b/>
          <w:bCs/>
        </w:rPr>
        <w:t xml:space="preserve">Rounds: </w:t>
      </w:r>
      <w:r>
        <w:t xml:space="preserve">20 FL training rounds</w:t>
      </w:r>
    </w:p>
    <w:p>
      <w:pPr>
        <w:spacing w:after="120" w:line="276"/>
        <w:jc w:val="left"/>
      </w:pPr>
      <w:r>
        <w:rPr>
          <w:b/>
          <w:bCs/>
        </w:rPr>
        <w:t xml:space="preserve">Aggregation: </w:t>
      </w:r>
      <w:r>
        <w:t xml:space="preserve">FedAvg for training; EWA vs Equal-Weight for monitoring comparison</w:t>
      </w:r>
    </w:p>
    <w:p>
      <w:pPr>
        <w:spacing w:after="120" w:line="276"/>
        <w:jc w:val="left"/>
      </w:pPr>
      <w:r>
        <w:rPr>
          <w:b/>
          <w:bCs/>
        </w:rPr>
        <w:t xml:space="preserve">Metric: </w:t>
      </w:r>
      <w:r>
        <w:t xml:space="preserve">Expert weight share on specialty class (— higher is better for expert protection)</w:t>
      </w:r>
    </w:p>
    <w:p>
      <w:pPr>
        <w:pStyle w:val="Heading2"/>
        <w:spacing w:after="150" w:before="300" w:line="276"/>
      </w:pPr>
      <w:r>
        <w:rPr>
          <w:rFonts w:ascii="Times New Roman" w:cs="Times New Roman" w:eastAsia="Times New Roman" w:hAnsi="Times New Roman"/>
          <w:b/>
          <w:bCs/>
          <w:color w:val="020617"/>
          <w:sz w:val="28"/>
          <w:szCs w:val="28"/>
        </w:rPr>
        <w:t xml:space="preserve">4.2 Task 1: Medical CV — Organoid Stage Classification</w:t>
      </w:r>
    </w:p>
    <w:p>
      <w:pPr>
        <w:pStyle w:val="Heading3"/>
        <w:spacing w:after="100" w:before="200" w:line="276"/>
      </w:pPr>
      <w:r>
        <w:rPr>
          <w:rFonts w:ascii="Times New Roman" w:cs="Times New Roman" w:eastAsia="Times New Roman" w:hAnsi="Times New Roman"/>
          <w:b/>
          <w:bCs/>
          <w:color w:val="1E293B"/>
          <w:sz w:val="24"/>
          <w:szCs w:val="24"/>
        </w:rPr>
        <w:t xml:space="preserve">4.2.1 Dataset and Features</w:t>
      </w:r>
    </w:p>
    <w:p>
      <w:pPr>
        <w:spacing w:after="120" w:line="276"/>
        <w:jc w:val="left"/>
      </w:pPr>
      <w:r>
        <w:rPr>
          <w:rFonts w:ascii="Calibri" w:cs="Calibri" w:eastAsia="Calibri" w:hAnsi="Calibri"/>
          <w:color w:val="1E293B"/>
          <w:sz w:val="22"/>
          <w:szCs w:val="22"/>
        </w:rPr>
        <w:t xml:space="preserve">We use the Organoid-FL dataset consisting of 600 synthetic organoid microscopy images across 3 classes: early_stage (200), healthy (200), and late_stage (200). Features are extracted using a pretrained DINOv2 backbone (512-dimensional), then reduced to 16 dimensions via PCA (74.7% explained variance) with additive Gaussian noise (σ = 1.0) to increase task difficulty.</w:t>
      </w:r>
    </w:p>
    <w:p>
      <w:pPr>
        <w:pStyle w:val="Heading3"/>
        <w:spacing w:after="100" w:before="200" w:line="276"/>
      </w:pPr>
      <w:r>
        <w:rPr>
          <w:rFonts w:ascii="Times New Roman" w:cs="Times New Roman" w:eastAsia="Times New Roman" w:hAnsi="Times New Roman"/>
          <w:b/>
          <w:bCs/>
          <w:color w:val="1E293B"/>
          <w:sz w:val="24"/>
          <w:szCs w:val="24"/>
        </w:rPr>
        <w:t xml:space="preserve">4.2.2 Non-IID Configuration</w:t>
      </w:r>
    </w:p>
    <w:p>
      <w:pPr>
        <w:spacing w:after="120" w:line="276"/>
        <w:jc w:val="left"/>
      </w:pPr>
      <w:r>
        <w:rPr>
          <w:rFonts w:ascii="Calibri" w:cs="Calibri" w:eastAsia="Calibri" w:hAnsi="Calibri"/>
          <w:color w:val="1E293B"/>
          <w:sz w:val="22"/>
          <w:szCs w:val="22"/>
        </w:rPr>
        <w:t xml:space="preserve">The expert client (Client 0) receives 75% late_stage samples, simulating a research lab specializing in late-stage organoid detection. The remaining 4 clients receive predominantly early_stage and healthy samples (15% late_stage each). This creates a realistic scenario where one institution has deep expertise in a particular condition.</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3500"/>
        <w:gridCol w:w="2800"/>
        <w:gridCol w:w="2800"/>
      </w:tblGrid>
      <w:tr>
        <w:trPr>
          <w:tblHeader/>
        </w:trPr>
        <w:tc>
          <w:tcPr>
            <w:tcW w:type="dxa" w:w="3500"/>
            <w:tcBorders>
              <w:top w:val="single" w:color="94A3B8" w:sz="6"/>
              <w:left w:val="single" w:color="94A3B8" w:sz="6"/>
              <w:bottom w:val="single" w:color="94A3B8" w:sz="6"/>
              <w:right w:val="single" w:color="94A3B8" w:sz="6"/>
            </w:tcBorders>
            <w:shd w:fill="F8FAFC" w:val="clear"/>
            <w:vAlign w:val="center"/>
          </w:tcPr>
          <w:p>
            <w:pPr>
              <w:spacing w:after="40" w:before="40"/>
              <w:jc w:val="center"/>
            </w:pPr>
            <w:r>
              <w:rPr>
                <w:rFonts w:ascii="Calibri" w:cs="Calibri" w:eastAsia="Calibri" w:hAnsi="Calibri"/>
                <w:b/>
                <w:bCs/>
                <w:color w:val="1E293B"/>
                <w:sz w:val="20"/>
                <w:szCs w:val="20"/>
              </w:rPr>
              <w:t xml:space="preserve">Metric</w:t>
            </w:r>
          </w:p>
        </w:tc>
        <w:tc>
          <w:tcPr>
            <w:tcW w:type="dxa" w:w="2800"/>
            <w:tcBorders>
              <w:top w:val="single" w:color="94A3B8" w:sz="6"/>
              <w:left w:val="single" w:color="94A3B8" w:sz="6"/>
              <w:bottom w:val="single" w:color="94A3B8" w:sz="6"/>
              <w:right w:val="single" w:color="94A3B8" w:sz="6"/>
            </w:tcBorders>
            <w:shd w:fill="F8FAFC" w:val="clear"/>
            <w:vAlign w:val="center"/>
          </w:tcPr>
          <w:p>
            <w:pPr>
              <w:spacing w:after="40" w:before="40"/>
              <w:jc w:val="center"/>
            </w:pPr>
            <w:r>
              <w:rPr>
                <w:rFonts w:ascii="Calibri" w:cs="Calibri" w:eastAsia="Calibri" w:hAnsi="Calibri"/>
                <w:b/>
                <w:bCs/>
                <w:color w:val="1E293B"/>
                <w:sz w:val="20"/>
                <w:szCs w:val="20"/>
              </w:rPr>
              <w:t xml:space="preserve">EWA</w:t>
            </w:r>
          </w:p>
        </w:tc>
        <w:tc>
          <w:tcPr>
            <w:tcW w:type="dxa" w:w="2800"/>
            <w:tcBorders>
              <w:top w:val="single" w:color="94A3B8" w:sz="6"/>
              <w:left w:val="single" w:color="94A3B8" w:sz="6"/>
              <w:bottom w:val="single" w:color="94A3B8" w:sz="6"/>
              <w:right w:val="single" w:color="94A3B8" w:sz="6"/>
            </w:tcBorders>
            <w:shd w:fill="F8FAFC" w:val="clear"/>
            <w:vAlign w:val="center"/>
          </w:tcPr>
          <w:p>
            <w:pPr>
              <w:spacing w:after="40" w:before="40"/>
              <w:jc w:val="center"/>
            </w:pPr>
            <w:r>
              <w:rPr>
                <w:rFonts w:ascii="Calibri" w:cs="Calibri" w:eastAsia="Calibri" w:hAnsi="Calibri"/>
                <w:b/>
                <w:bCs/>
                <w:color w:val="1E293B"/>
                <w:sz w:val="20"/>
                <w:szCs w:val="20"/>
              </w:rPr>
              <w:t xml:space="preserve">Equal-Wt</w:t>
            </w:r>
          </w:p>
        </w:tc>
      </w:tr>
      <w:tr>
        <w:tc>
          <w:tcPr>
            <w:tcW w:type="dxa" w:w="3500"/>
            <w:tcBorders>
              <w:top w:val="single" w:color="94A3B8" w:sz="6"/>
              <w:left w:val="single" w:color="94A3B8" w:sz="6"/>
              <w:bottom w:val="single" w:color="94A3B8" w:sz="6"/>
              <w:right w:val="single" w:color="94A3B8" w:sz="6"/>
            </w:tcBorders>
            <w:vAlign w:val="center"/>
          </w:tcPr>
          <w:p>
            <w:pPr>
              <w:spacing w:after="40" w:before="40"/>
              <w:jc w:val="left"/>
            </w:pPr>
            <w:r>
              <w:rPr>
                <w:rFonts w:ascii="Calibri" w:cs="Calibri" w:eastAsia="Calibri" w:hAnsi="Calibri"/>
                <w:b w:val="false"/>
                <w:bCs w:val="false"/>
                <w:color w:val="1E293B"/>
                <w:sz w:val="20"/>
                <w:szCs w:val="20"/>
              </w:rPr>
              <w:t xml:space="preserve">Expert Weight Share (late_stage)</w:t>
            </w:r>
          </w:p>
        </w:tc>
        <w:tc>
          <w:tcPr>
            <w:tcW w:type="dxa" w:w="28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89.9% ± 11.1%</w:t>
            </w:r>
          </w:p>
        </w:tc>
        <w:tc>
          <w:tcPr>
            <w:tcW w:type="dxa" w:w="28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54.6% ± 1.7%</w:t>
            </w:r>
          </w:p>
        </w:tc>
      </w:tr>
      <w:tr>
        <w:tc>
          <w:tcPr>
            <w:tcW w:type="dxa" w:w="3500"/>
            <w:tcBorders>
              <w:top w:val="single" w:color="94A3B8" w:sz="6"/>
              <w:left w:val="single" w:color="94A3B8" w:sz="6"/>
              <w:bottom w:val="single" w:color="94A3B8" w:sz="6"/>
              <w:right w:val="single" w:color="94A3B8" w:sz="6"/>
            </w:tcBorders>
            <w:vAlign w:val="center"/>
          </w:tcPr>
          <w:p>
            <w:pPr>
              <w:spacing w:after="40" w:before="40"/>
              <w:jc w:val="left"/>
            </w:pPr>
            <w:r>
              <w:rPr>
                <w:rFonts w:ascii="Calibri" w:cs="Calibri" w:eastAsia="Calibri" w:hAnsi="Calibri"/>
                <w:b w:val="false"/>
                <w:bCs w:val="false"/>
                <w:color w:val="1E293B"/>
                <w:sz w:val="20"/>
                <w:szCs w:val="20"/>
              </w:rPr>
              <w:t xml:space="preserve">Mean Test Accuracy</w:t>
            </w:r>
          </w:p>
        </w:tc>
        <w:tc>
          <w:tcPr>
            <w:tcW w:type="dxa" w:w="28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95.8%</w:t>
            </w:r>
          </w:p>
        </w:tc>
        <w:tc>
          <w:tcPr>
            <w:tcW w:type="dxa" w:w="28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95.8%</w:t>
            </w:r>
          </w:p>
        </w:tc>
      </w:tr>
      <w:tr>
        <w:tc>
          <w:tcPr>
            <w:tcW w:type="dxa" w:w="3500"/>
            <w:tcBorders>
              <w:top w:val="single" w:color="94A3B8" w:sz="6"/>
              <w:left w:val="single" w:color="94A3B8" w:sz="6"/>
              <w:bottom w:val="single" w:color="94A3B8" w:sz="6"/>
              <w:right w:val="single" w:color="94A3B8" w:sz="6"/>
            </w:tcBorders>
            <w:vAlign w:val="center"/>
          </w:tcPr>
          <w:p>
            <w:pPr>
              <w:spacing w:after="40" w:before="40"/>
              <w:jc w:val="left"/>
            </w:pPr>
            <w:r>
              <w:rPr>
                <w:rFonts w:ascii="Calibri" w:cs="Calibri" w:eastAsia="Calibri" w:hAnsi="Calibri"/>
                <w:b w:val="false"/>
                <w:bCs w:val="false"/>
                <w:color w:val="1E293B"/>
                <w:sz w:val="20"/>
                <w:szCs w:val="20"/>
              </w:rPr>
              <w:t xml:space="preserve">Final Test Accuracy</w:t>
            </w:r>
          </w:p>
        </w:tc>
        <w:tc>
          <w:tcPr>
            <w:tcW w:type="dxa" w:w="28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99.2%</w:t>
            </w:r>
          </w:p>
        </w:tc>
        <w:tc>
          <w:tcPr>
            <w:tcW w:type="dxa" w:w="28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99.2%</w:t>
            </w:r>
          </w:p>
        </w:tc>
      </w:tr>
      <w:tr>
        <w:tc>
          <w:tcPr>
            <w:tcW w:type="dxa" w:w="3500"/>
            <w:tcBorders>
              <w:top w:val="single" w:color="94A3B8" w:sz="6"/>
              <w:left w:val="single" w:color="94A3B8" w:sz="6"/>
              <w:bottom w:val="single" w:color="94A3B8" w:sz="6"/>
              <w:right w:val="single" w:color="94A3B8" w:sz="6"/>
            </w:tcBorders>
            <w:vAlign w:val="center"/>
          </w:tcPr>
          <w:p>
            <w:pPr>
              <w:spacing w:after="40" w:before="40"/>
              <w:jc w:val="left"/>
            </w:pPr>
            <w:r>
              <w:rPr>
                <w:rFonts w:ascii="Calibri" w:cs="Calibri" w:eastAsia="Calibri" w:hAnsi="Calibri"/>
                <w:b w:val="false"/>
                <w:bCs w:val="false"/>
                <w:color w:val="1E293B"/>
                <w:sz w:val="20"/>
                <w:szCs w:val="20"/>
              </w:rPr>
              <w:t xml:space="preserve">Δ (EWA − FedAvg)</w:t>
            </w:r>
          </w:p>
        </w:tc>
        <w:tc>
          <w:tcPr>
            <w:tcW w:type="dxa" w:w="28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+35.3 pp (64.6% relative)</w:t>
            </w:r>
          </w:p>
        </w:tc>
        <w:tc>
          <w:tcPr>
            <w:tcW w:type="dxa" w:w="28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w:t>
            </w:r>
          </w:p>
        </w:tc>
      </w:tr>
    </w:tbl>
    <w:p>
      <w:pPr>
        <w:spacing w:after="200" w:before="60"/>
        <w:jc w:val="center"/>
      </w:pPr>
      <w:r>
        <w:rPr>
          <w:rFonts w:ascii="Calibri" w:cs="Calibri" w:eastAsia="Calibri" w:hAnsi="Calibri"/>
          <w:i/>
          <w:iCs/>
          <w:color w:val="64748B"/>
          <w:sz w:val="18"/>
          <w:szCs w:val="18"/>
        </w:rPr>
        <w:t xml:space="preserve">Table 1: Organoid classification results. EWA gives the expert 35.3pp more weight on late_stage.</w:t>
      </w:r>
    </w:p>
    <w:p>
      <w:pPr>
        <w:pStyle w:val="Heading3"/>
        <w:spacing w:after="100" w:before="200" w:line="276"/>
      </w:pPr>
      <w:r>
        <w:rPr>
          <w:rFonts w:ascii="Times New Roman" w:cs="Times New Roman" w:eastAsia="Times New Roman" w:hAnsi="Times New Roman"/>
          <w:b/>
          <w:bCs/>
          <w:color w:val="1E293B"/>
          <w:sz w:val="24"/>
          <w:szCs w:val="24"/>
        </w:rPr>
        <w:t xml:space="preserve">4.2.3 Results</w:t>
      </w:r>
    </w:p>
    <w:p>
      <w:pPr>
        <w:spacing w:after="120" w:line="276"/>
        <w:jc w:val="left"/>
      </w:pPr>
      <w:r>
        <w:rPr>
          <w:rFonts w:ascii="Calibri" w:cs="Calibri" w:eastAsia="Calibri" w:hAnsi="Calibri"/>
          <w:color w:val="1E293B"/>
          <w:sz w:val="22"/>
          <w:szCs w:val="22"/>
        </w:rPr>
        <w:t xml:space="preserve">EWA assigns the expert client 89.9% average weight share on the late_stage class, compared to only 54.6% under equal weighting. This +35.3pp improvement (64.6% relative) demonstrates that entropy-weighted analysis effectively identifies and amplifies the expert's genuine domain knowledge. The model achieves 99.2% final accuracy, confirming that the task is well-learned while still exhibiting meaningful entropy differences between expert and non-expert clients.</w:t>
      </w:r>
    </w:p>
    <w:p>
      <w:pPr>
        <w:pStyle w:val="Heading2"/>
        <w:spacing w:after="150" w:before="300" w:line="276"/>
      </w:pPr>
      <w:r>
        <w:rPr>
          <w:rFonts w:ascii="Times New Roman" w:cs="Times New Roman" w:eastAsia="Times New Roman" w:hAnsi="Times New Roman"/>
          <w:b/>
          <w:bCs/>
          <w:color w:val="020617"/>
          <w:sz w:val="28"/>
          <w:szCs w:val="28"/>
        </w:rPr>
        <w:t xml:space="preserve">4.3 Task 2: Financial NLP — Sentiment Analysis</w:t>
      </w:r>
    </w:p>
    <w:p>
      <w:pPr>
        <w:pStyle w:val="Heading3"/>
        <w:spacing w:after="100" w:before="200" w:line="276"/>
      </w:pPr>
      <w:r>
        <w:rPr>
          <w:rFonts w:ascii="Times New Roman" w:cs="Times New Roman" w:eastAsia="Times New Roman" w:hAnsi="Times New Roman"/>
          <w:b/>
          <w:bCs/>
          <w:color w:val="1E293B"/>
          <w:sz w:val="24"/>
          <w:szCs w:val="24"/>
        </w:rPr>
        <w:t xml:space="preserve">4.3.1 Dataset and Features</w:t>
      </w:r>
    </w:p>
    <w:p>
      <w:pPr>
        <w:spacing w:after="120" w:line="276"/>
        <w:jc w:val="left"/>
      </w:pPr>
      <w:r>
        <w:rPr>
          <w:rFonts w:ascii="Calibri" w:cs="Calibri" w:eastAsia="Calibri" w:hAnsi="Calibri"/>
          <w:color w:val="1E293B"/>
          <w:sz w:val="22"/>
          <w:szCs w:val="22"/>
        </w:rPr>
        <w:t xml:space="preserve">We use the Twitter Financial News Sentiment dataset (9,543 samples) with 3 classes: Bearish (1,442, 15.1%), Bullish (1,923, 20.2%), and Neutral (6,178, 64.7%). Text is encoded using the all-MiniLM-L6-v2 sentence-transformer model (384-dimensional embeddings). Class-weighted cross-entropy loss handles the severe class imbalance.</w:t>
      </w:r>
    </w:p>
    <w:p>
      <w:pPr>
        <w:pStyle w:val="Heading3"/>
        <w:spacing w:after="100" w:before="200" w:line="276"/>
      </w:pPr>
      <w:r>
        <w:rPr>
          <w:rFonts w:ascii="Times New Roman" w:cs="Times New Roman" w:eastAsia="Times New Roman" w:hAnsi="Times New Roman"/>
          <w:b/>
          <w:bCs/>
          <w:color w:val="1E293B"/>
          <w:sz w:val="24"/>
          <w:szCs w:val="24"/>
        </w:rPr>
        <w:t xml:space="preserve">4.3.2 Non-IID Configuration</w:t>
      </w:r>
    </w:p>
    <w:p>
      <w:pPr>
        <w:spacing w:after="120" w:line="276"/>
        <w:jc w:val="left"/>
      </w:pPr>
      <w:r>
        <w:rPr>
          <w:rFonts w:ascii="Calibri" w:cs="Calibri" w:eastAsia="Calibri" w:hAnsi="Calibri"/>
          <w:color w:val="1E293B"/>
          <w:sz w:val="22"/>
          <w:szCs w:val="22"/>
        </w:rPr>
        <w:t xml:space="preserve">The expert client (Client 0) receives 80% Bearish samples, simulating a financial institution specializing in downside risk assessment. The remaining 4 clients receive predominantly Bullish and Neutral samples (5% Bearish each). This mirrors real-world scenarios where some analysts focus on bearish signals while others track general market sentiment.</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3500"/>
        <w:gridCol w:w="2800"/>
        <w:gridCol w:w="2800"/>
      </w:tblGrid>
      <w:tr>
        <w:trPr>
          <w:tblHeader/>
        </w:trPr>
        <w:tc>
          <w:tcPr>
            <w:tcW w:type="dxa" w:w="3500"/>
            <w:tcBorders>
              <w:top w:val="single" w:color="94A3B8" w:sz="6"/>
              <w:left w:val="single" w:color="94A3B8" w:sz="6"/>
              <w:bottom w:val="single" w:color="94A3B8" w:sz="6"/>
              <w:right w:val="single" w:color="94A3B8" w:sz="6"/>
            </w:tcBorders>
            <w:shd w:fill="F8FAFC" w:val="clear"/>
            <w:vAlign w:val="center"/>
          </w:tcPr>
          <w:p>
            <w:pPr>
              <w:spacing w:after="40" w:before="40"/>
              <w:jc w:val="center"/>
            </w:pPr>
            <w:r>
              <w:rPr>
                <w:rFonts w:ascii="Calibri" w:cs="Calibri" w:eastAsia="Calibri" w:hAnsi="Calibri"/>
                <w:b/>
                <w:bCs/>
                <w:color w:val="1E293B"/>
                <w:sz w:val="20"/>
                <w:szCs w:val="20"/>
              </w:rPr>
              <w:t xml:space="preserve">Metric</w:t>
            </w:r>
          </w:p>
        </w:tc>
        <w:tc>
          <w:tcPr>
            <w:tcW w:type="dxa" w:w="2800"/>
            <w:tcBorders>
              <w:top w:val="single" w:color="94A3B8" w:sz="6"/>
              <w:left w:val="single" w:color="94A3B8" w:sz="6"/>
              <w:bottom w:val="single" w:color="94A3B8" w:sz="6"/>
              <w:right w:val="single" w:color="94A3B8" w:sz="6"/>
            </w:tcBorders>
            <w:shd w:fill="F8FAFC" w:val="clear"/>
            <w:vAlign w:val="center"/>
          </w:tcPr>
          <w:p>
            <w:pPr>
              <w:spacing w:after="40" w:before="40"/>
              <w:jc w:val="center"/>
            </w:pPr>
            <w:r>
              <w:rPr>
                <w:rFonts w:ascii="Calibri" w:cs="Calibri" w:eastAsia="Calibri" w:hAnsi="Calibri"/>
                <w:b/>
                <w:bCs/>
                <w:color w:val="1E293B"/>
                <w:sz w:val="20"/>
                <w:szCs w:val="20"/>
              </w:rPr>
              <w:t xml:space="preserve">EWA</w:t>
            </w:r>
          </w:p>
        </w:tc>
        <w:tc>
          <w:tcPr>
            <w:tcW w:type="dxa" w:w="2800"/>
            <w:tcBorders>
              <w:top w:val="single" w:color="94A3B8" w:sz="6"/>
              <w:left w:val="single" w:color="94A3B8" w:sz="6"/>
              <w:bottom w:val="single" w:color="94A3B8" w:sz="6"/>
              <w:right w:val="single" w:color="94A3B8" w:sz="6"/>
            </w:tcBorders>
            <w:shd w:fill="F8FAFC" w:val="clear"/>
            <w:vAlign w:val="center"/>
          </w:tcPr>
          <w:p>
            <w:pPr>
              <w:spacing w:after="40" w:before="40"/>
              <w:jc w:val="center"/>
            </w:pPr>
            <w:r>
              <w:rPr>
                <w:rFonts w:ascii="Calibri" w:cs="Calibri" w:eastAsia="Calibri" w:hAnsi="Calibri"/>
                <w:b/>
                <w:bCs/>
                <w:color w:val="1E293B"/>
                <w:sz w:val="20"/>
                <w:szCs w:val="20"/>
              </w:rPr>
              <w:t xml:space="preserve">Equal-Wt</w:t>
            </w:r>
          </w:p>
        </w:tc>
      </w:tr>
      <w:tr>
        <w:tc>
          <w:tcPr>
            <w:tcW w:type="dxa" w:w="3500"/>
            <w:tcBorders>
              <w:top w:val="single" w:color="94A3B8" w:sz="6"/>
              <w:left w:val="single" w:color="94A3B8" w:sz="6"/>
              <w:bottom w:val="single" w:color="94A3B8" w:sz="6"/>
              <w:right w:val="single" w:color="94A3B8" w:sz="6"/>
            </w:tcBorders>
            <w:vAlign w:val="center"/>
          </w:tcPr>
          <w:p>
            <w:pPr>
              <w:spacing w:after="40" w:before="40"/>
              <w:jc w:val="left"/>
            </w:pPr>
            <w:r>
              <w:rPr>
                <w:rFonts w:ascii="Calibri" w:cs="Calibri" w:eastAsia="Calibri" w:hAnsi="Calibri"/>
                <w:b w:val="false"/>
                <w:bCs w:val="false"/>
                <w:color w:val="1E293B"/>
                <w:sz w:val="20"/>
                <w:szCs w:val="20"/>
              </w:rPr>
              <w:t xml:space="preserve">Expert Weight Share (Bearish)</w:t>
            </w:r>
          </w:p>
        </w:tc>
        <w:tc>
          <w:tcPr>
            <w:tcW w:type="dxa" w:w="28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74.9% ± 13.1%</w:t>
            </w:r>
          </w:p>
        </w:tc>
        <w:tc>
          <w:tcPr>
            <w:tcW w:type="dxa" w:w="28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62.8% ± 10.5%</w:t>
            </w:r>
          </w:p>
        </w:tc>
      </w:tr>
      <w:tr>
        <w:tc>
          <w:tcPr>
            <w:tcW w:type="dxa" w:w="3500"/>
            <w:tcBorders>
              <w:top w:val="single" w:color="94A3B8" w:sz="6"/>
              <w:left w:val="single" w:color="94A3B8" w:sz="6"/>
              <w:bottom w:val="single" w:color="94A3B8" w:sz="6"/>
              <w:right w:val="single" w:color="94A3B8" w:sz="6"/>
            </w:tcBorders>
            <w:vAlign w:val="center"/>
          </w:tcPr>
          <w:p>
            <w:pPr>
              <w:spacing w:after="40" w:before="40"/>
              <w:jc w:val="left"/>
            </w:pPr>
            <w:r>
              <w:rPr>
                <w:rFonts w:ascii="Calibri" w:cs="Calibri" w:eastAsia="Calibri" w:hAnsi="Calibri"/>
                <w:b w:val="false"/>
                <w:bCs w:val="false"/>
                <w:color w:val="1E293B"/>
                <w:sz w:val="20"/>
                <w:szCs w:val="20"/>
              </w:rPr>
              <w:t xml:space="preserve">Mean Test Accuracy</w:t>
            </w:r>
          </w:p>
        </w:tc>
        <w:tc>
          <w:tcPr>
            <w:tcW w:type="dxa" w:w="28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73.8%</w:t>
            </w:r>
          </w:p>
        </w:tc>
        <w:tc>
          <w:tcPr>
            <w:tcW w:type="dxa" w:w="28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73.8%</w:t>
            </w:r>
          </w:p>
        </w:tc>
      </w:tr>
      <w:tr>
        <w:tc>
          <w:tcPr>
            <w:tcW w:type="dxa" w:w="3500"/>
            <w:tcBorders>
              <w:top w:val="single" w:color="94A3B8" w:sz="6"/>
              <w:left w:val="single" w:color="94A3B8" w:sz="6"/>
              <w:bottom w:val="single" w:color="94A3B8" w:sz="6"/>
              <w:right w:val="single" w:color="94A3B8" w:sz="6"/>
            </w:tcBorders>
            <w:vAlign w:val="center"/>
          </w:tcPr>
          <w:p>
            <w:pPr>
              <w:spacing w:after="40" w:before="40"/>
              <w:jc w:val="left"/>
            </w:pPr>
            <w:r>
              <w:rPr>
                <w:rFonts w:ascii="Calibri" w:cs="Calibri" w:eastAsia="Calibri" w:hAnsi="Calibri"/>
                <w:b w:val="false"/>
                <w:bCs w:val="false"/>
                <w:color w:val="1E293B"/>
                <w:sz w:val="20"/>
                <w:szCs w:val="20"/>
              </w:rPr>
              <w:t xml:space="preserve">Final Test Accuracy</w:t>
            </w:r>
          </w:p>
        </w:tc>
        <w:tc>
          <w:tcPr>
            <w:tcW w:type="dxa" w:w="28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75.5%</w:t>
            </w:r>
          </w:p>
        </w:tc>
        <w:tc>
          <w:tcPr>
            <w:tcW w:type="dxa" w:w="28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75.5%</w:t>
            </w:r>
          </w:p>
        </w:tc>
      </w:tr>
      <w:tr>
        <w:tc>
          <w:tcPr>
            <w:tcW w:type="dxa" w:w="3500"/>
            <w:tcBorders>
              <w:top w:val="single" w:color="94A3B8" w:sz="6"/>
              <w:left w:val="single" w:color="94A3B8" w:sz="6"/>
              <w:bottom w:val="single" w:color="94A3B8" w:sz="6"/>
              <w:right w:val="single" w:color="94A3B8" w:sz="6"/>
            </w:tcBorders>
            <w:vAlign w:val="center"/>
          </w:tcPr>
          <w:p>
            <w:pPr>
              <w:spacing w:after="40" w:before="40"/>
              <w:jc w:val="left"/>
            </w:pPr>
            <w:r>
              <w:rPr>
                <w:rFonts w:ascii="Calibri" w:cs="Calibri" w:eastAsia="Calibri" w:hAnsi="Calibri"/>
                <w:b w:val="false"/>
                <w:bCs w:val="false"/>
                <w:color w:val="1E293B"/>
                <w:sz w:val="20"/>
                <w:szCs w:val="20"/>
              </w:rPr>
              <w:t xml:space="preserve">Δ (EWA − FedAvg)</w:t>
            </w:r>
          </w:p>
        </w:tc>
        <w:tc>
          <w:tcPr>
            <w:tcW w:type="dxa" w:w="28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+12.1 pp (19.3% relative)</w:t>
            </w:r>
          </w:p>
        </w:tc>
        <w:tc>
          <w:tcPr>
            <w:tcW w:type="dxa" w:w="28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w:t>
            </w:r>
          </w:p>
        </w:tc>
      </w:tr>
    </w:tbl>
    <w:p>
      <w:pPr>
        <w:spacing w:after="200" w:before="60"/>
        <w:jc w:val="center"/>
      </w:pPr>
      <w:r>
        <w:rPr>
          <w:rFonts w:ascii="Calibri" w:cs="Calibri" w:eastAsia="Calibri" w:hAnsi="Calibri"/>
          <w:i/>
          <w:iCs/>
          <w:color w:val="64748B"/>
          <w:sz w:val="18"/>
          <w:szCs w:val="18"/>
        </w:rPr>
        <w:t xml:space="preserve">Table 2: Financial sentiment analysis results. EWA provides +12.1pp expert weight improvement.</w:t>
      </w:r>
    </w:p>
    <w:p>
      <w:pPr>
        <w:pStyle w:val="Heading3"/>
        <w:spacing w:after="100" w:before="200" w:line="276"/>
      </w:pPr>
      <w:r>
        <w:rPr>
          <w:rFonts w:ascii="Times New Roman" w:cs="Times New Roman" w:eastAsia="Times New Roman" w:hAnsi="Times New Roman"/>
          <w:b/>
          <w:bCs/>
          <w:color w:val="1E293B"/>
          <w:sz w:val="24"/>
          <w:szCs w:val="24"/>
        </w:rPr>
        <w:t xml:space="preserve">4.3.3 Results</w:t>
      </w:r>
    </w:p>
    <w:p>
      <w:pPr>
        <w:spacing w:after="120" w:line="276"/>
        <w:jc w:val="left"/>
      </w:pPr>
      <w:r>
        <w:rPr>
          <w:rFonts w:ascii="Calibri" w:cs="Calibri" w:eastAsia="Calibri" w:hAnsi="Calibri"/>
          <w:color w:val="1E293B"/>
          <w:sz w:val="22"/>
          <w:szCs w:val="22"/>
        </w:rPr>
        <w:t xml:space="preserve">EWA assigns the expert 74.9% weight share on Bearish, compared to 62.8% under equal weighting (+12.1pp, 19.3% relative). The improvement grows over training rounds: from near-parity in early rounds (R1: 85.1% vs 84.0%) to a clear gap in later rounds (R20: 93.4% vs 74.6%). This trend confirms that as the model becomes more confident, EWA's entropy-based weighting increasingly amplifies the expert's genuine knowledge advantage.</w:t>
      </w:r>
    </w:p>
    <w:p>
      <w:pPr>
        <w:pStyle w:val="Heading2"/>
        <w:spacing w:after="150" w:before="300" w:line="276"/>
      </w:pPr>
      <w:r>
        <w:rPr>
          <w:rFonts w:ascii="Times New Roman" w:cs="Times New Roman" w:eastAsia="Times New Roman" w:hAnsi="Times New Roman"/>
          <w:b/>
          <w:bCs/>
          <w:color w:val="020617"/>
          <w:sz w:val="28"/>
          <w:szCs w:val="28"/>
        </w:rPr>
        <w:t xml:space="preserve">4.4 Task 3: Medical NLP — Question Answering</w:t>
      </w:r>
    </w:p>
    <w:p>
      <w:pPr>
        <w:pStyle w:val="Heading3"/>
        <w:spacing w:after="100" w:before="200" w:line="276"/>
      </w:pPr>
      <w:r>
        <w:rPr>
          <w:rFonts w:ascii="Times New Roman" w:cs="Times New Roman" w:eastAsia="Times New Roman" w:hAnsi="Times New Roman"/>
          <w:b/>
          <w:bCs/>
          <w:color w:val="1E293B"/>
          <w:sz w:val="24"/>
          <w:szCs w:val="24"/>
        </w:rPr>
        <w:t xml:space="preserve">4.4.1 Dataset and Features</w:t>
      </w:r>
    </w:p>
    <w:p>
      <w:pPr>
        <w:spacing w:after="120" w:line="276"/>
        <w:jc w:val="left"/>
      </w:pPr>
      <w:r>
        <w:rPr>
          <w:rFonts w:ascii="Calibri" w:cs="Calibri" w:eastAsia="Calibri" w:hAnsi="Calibri"/>
          <w:color w:val="1E293B"/>
          <w:sz w:val="22"/>
          <w:szCs w:val="22"/>
        </w:rPr>
        <w:t xml:space="preserve">We use the PubMed QA dataset (1,000 labeled samples) with 3 classes: yes (552, 55.2%), no (338, 33.8%), and maybe (110, 11.0%). Text is encoded using all-MiniLM-L6-v2 (384-dim). The expert specializes in the 'no' class (moderate difficulty, 33.8% prevalence), which is harder than 'yes' but more learnable than the rare 'maybe' class.</w:t>
      </w:r>
    </w:p>
    <w:p>
      <w:pPr>
        <w:pStyle w:val="Heading3"/>
        <w:spacing w:after="100" w:before="200" w:line="276"/>
      </w:pPr>
      <w:r>
        <w:rPr>
          <w:rFonts w:ascii="Times New Roman" w:cs="Times New Roman" w:eastAsia="Times New Roman" w:hAnsi="Times New Roman"/>
          <w:b/>
          <w:bCs/>
          <w:color w:val="1E293B"/>
          <w:sz w:val="24"/>
          <w:szCs w:val="24"/>
        </w:rPr>
        <w:t xml:space="preserve">4.4.2 Non-IID Configuration</w:t>
      </w:r>
    </w:p>
    <w:p>
      <w:pPr>
        <w:spacing w:after="120" w:line="276"/>
        <w:jc w:val="left"/>
      </w:pPr>
      <w:r>
        <w:rPr>
          <w:rFonts w:ascii="Calibri" w:cs="Calibri" w:eastAsia="Calibri" w:hAnsi="Calibri"/>
          <w:color w:val="1E293B"/>
          <w:sz w:val="22"/>
          <w:szCs w:val="22"/>
        </w:rPr>
        <w:t xml:space="preserve">The expert client receives 80% 'no' samples, simulating a medical center with particular expertise in identifying negative findings (an important but often overlooked skill in medical diagnosis). The remaining clients receive predominantly 'yes' samples (60-65% each).</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3500"/>
        <w:gridCol w:w="2800"/>
        <w:gridCol w:w="2800"/>
      </w:tblGrid>
      <w:tr>
        <w:trPr>
          <w:tblHeader/>
        </w:trPr>
        <w:tc>
          <w:tcPr>
            <w:tcW w:type="dxa" w:w="3500"/>
            <w:tcBorders>
              <w:top w:val="single" w:color="94A3B8" w:sz="6"/>
              <w:left w:val="single" w:color="94A3B8" w:sz="6"/>
              <w:bottom w:val="single" w:color="94A3B8" w:sz="6"/>
              <w:right w:val="single" w:color="94A3B8" w:sz="6"/>
            </w:tcBorders>
            <w:shd w:fill="F8FAFC" w:val="clear"/>
            <w:vAlign w:val="center"/>
          </w:tcPr>
          <w:p>
            <w:pPr>
              <w:spacing w:after="40" w:before="40"/>
              <w:jc w:val="center"/>
            </w:pPr>
            <w:r>
              <w:rPr>
                <w:rFonts w:ascii="Calibri" w:cs="Calibri" w:eastAsia="Calibri" w:hAnsi="Calibri"/>
                <w:b/>
                <w:bCs/>
                <w:color w:val="1E293B"/>
                <w:sz w:val="20"/>
                <w:szCs w:val="20"/>
              </w:rPr>
              <w:t xml:space="preserve">Metric</w:t>
            </w:r>
          </w:p>
        </w:tc>
        <w:tc>
          <w:tcPr>
            <w:tcW w:type="dxa" w:w="2800"/>
            <w:tcBorders>
              <w:top w:val="single" w:color="94A3B8" w:sz="6"/>
              <w:left w:val="single" w:color="94A3B8" w:sz="6"/>
              <w:bottom w:val="single" w:color="94A3B8" w:sz="6"/>
              <w:right w:val="single" w:color="94A3B8" w:sz="6"/>
            </w:tcBorders>
            <w:shd w:fill="F8FAFC" w:val="clear"/>
            <w:vAlign w:val="center"/>
          </w:tcPr>
          <w:p>
            <w:pPr>
              <w:spacing w:after="40" w:before="40"/>
              <w:jc w:val="center"/>
            </w:pPr>
            <w:r>
              <w:rPr>
                <w:rFonts w:ascii="Calibri" w:cs="Calibri" w:eastAsia="Calibri" w:hAnsi="Calibri"/>
                <w:b/>
                <w:bCs/>
                <w:color w:val="1E293B"/>
                <w:sz w:val="20"/>
                <w:szCs w:val="20"/>
              </w:rPr>
              <w:t xml:space="preserve">EWA</w:t>
            </w:r>
          </w:p>
        </w:tc>
        <w:tc>
          <w:tcPr>
            <w:tcW w:type="dxa" w:w="2800"/>
            <w:tcBorders>
              <w:top w:val="single" w:color="94A3B8" w:sz="6"/>
              <w:left w:val="single" w:color="94A3B8" w:sz="6"/>
              <w:bottom w:val="single" w:color="94A3B8" w:sz="6"/>
              <w:right w:val="single" w:color="94A3B8" w:sz="6"/>
            </w:tcBorders>
            <w:shd w:fill="F8FAFC" w:val="clear"/>
            <w:vAlign w:val="center"/>
          </w:tcPr>
          <w:p>
            <w:pPr>
              <w:spacing w:after="40" w:before="40"/>
              <w:jc w:val="center"/>
            </w:pPr>
            <w:r>
              <w:rPr>
                <w:rFonts w:ascii="Calibri" w:cs="Calibri" w:eastAsia="Calibri" w:hAnsi="Calibri"/>
                <w:b/>
                <w:bCs/>
                <w:color w:val="1E293B"/>
                <w:sz w:val="20"/>
                <w:szCs w:val="20"/>
              </w:rPr>
              <w:t xml:space="preserve">Equal-Wt</w:t>
            </w:r>
          </w:p>
        </w:tc>
      </w:tr>
      <w:tr>
        <w:tc>
          <w:tcPr>
            <w:tcW w:type="dxa" w:w="3500"/>
            <w:tcBorders>
              <w:top w:val="single" w:color="94A3B8" w:sz="6"/>
              <w:left w:val="single" w:color="94A3B8" w:sz="6"/>
              <w:bottom w:val="single" w:color="94A3B8" w:sz="6"/>
              <w:right w:val="single" w:color="94A3B8" w:sz="6"/>
            </w:tcBorders>
            <w:vAlign w:val="center"/>
          </w:tcPr>
          <w:p>
            <w:pPr>
              <w:spacing w:after="40" w:before="40"/>
              <w:jc w:val="left"/>
            </w:pPr>
            <w:r>
              <w:rPr>
                <w:rFonts w:ascii="Calibri" w:cs="Calibri" w:eastAsia="Calibri" w:hAnsi="Calibri"/>
                <w:b w:val="false"/>
                <w:bCs w:val="false"/>
                <w:color w:val="1E293B"/>
                <w:sz w:val="20"/>
                <w:szCs w:val="20"/>
              </w:rPr>
              <w:t xml:space="preserve">Expert Weight Share (no)</w:t>
            </w:r>
          </w:p>
        </w:tc>
        <w:tc>
          <w:tcPr>
            <w:tcW w:type="dxa" w:w="28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45.3% ± 8.5%</w:t>
            </w:r>
          </w:p>
        </w:tc>
        <w:tc>
          <w:tcPr>
            <w:tcW w:type="dxa" w:w="28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38.6% ± 2.6%</w:t>
            </w:r>
          </w:p>
        </w:tc>
      </w:tr>
      <w:tr>
        <w:tc>
          <w:tcPr>
            <w:tcW w:type="dxa" w:w="3500"/>
            <w:tcBorders>
              <w:top w:val="single" w:color="94A3B8" w:sz="6"/>
              <w:left w:val="single" w:color="94A3B8" w:sz="6"/>
              <w:bottom w:val="single" w:color="94A3B8" w:sz="6"/>
              <w:right w:val="single" w:color="94A3B8" w:sz="6"/>
            </w:tcBorders>
            <w:vAlign w:val="center"/>
          </w:tcPr>
          <w:p>
            <w:pPr>
              <w:spacing w:after="40" w:before="40"/>
              <w:jc w:val="left"/>
            </w:pPr>
            <w:r>
              <w:rPr>
                <w:rFonts w:ascii="Calibri" w:cs="Calibri" w:eastAsia="Calibri" w:hAnsi="Calibri"/>
                <w:b w:val="false"/>
                <w:bCs w:val="false"/>
                <w:color w:val="1E293B"/>
                <w:sz w:val="20"/>
                <w:szCs w:val="20"/>
              </w:rPr>
              <w:t xml:space="preserve">Mean Test Accuracy</w:t>
            </w:r>
          </w:p>
        </w:tc>
        <w:tc>
          <w:tcPr>
            <w:tcW w:type="dxa" w:w="28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54.2%</w:t>
            </w:r>
          </w:p>
        </w:tc>
        <w:tc>
          <w:tcPr>
            <w:tcW w:type="dxa" w:w="28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54.2%</w:t>
            </w:r>
          </w:p>
        </w:tc>
      </w:tr>
      <w:tr>
        <w:tc>
          <w:tcPr>
            <w:tcW w:type="dxa" w:w="3500"/>
            <w:tcBorders>
              <w:top w:val="single" w:color="94A3B8" w:sz="6"/>
              <w:left w:val="single" w:color="94A3B8" w:sz="6"/>
              <w:bottom w:val="single" w:color="94A3B8" w:sz="6"/>
              <w:right w:val="single" w:color="94A3B8" w:sz="6"/>
            </w:tcBorders>
            <w:vAlign w:val="center"/>
          </w:tcPr>
          <w:p>
            <w:pPr>
              <w:spacing w:after="40" w:before="40"/>
              <w:jc w:val="left"/>
            </w:pPr>
            <w:r>
              <w:rPr>
                <w:rFonts w:ascii="Calibri" w:cs="Calibri" w:eastAsia="Calibri" w:hAnsi="Calibri"/>
                <w:b w:val="false"/>
                <w:bCs w:val="false"/>
                <w:color w:val="1E293B"/>
                <w:sz w:val="20"/>
                <w:szCs w:val="20"/>
              </w:rPr>
              <w:t xml:space="preserve">Final Test Accuracy</w:t>
            </w:r>
          </w:p>
        </w:tc>
        <w:tc>
          <w:tcPr>
            <w:tcW w:type="dxa" w:w="28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57.7%</w:t>
            </w:r>
          </w:p>
        </w:tc>
        <w:tc>
          <w:tcPr>
            <w:tcW w:type="dxa" w:w="28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57.7%</w:t>
            </w:r>
          </w:p>
        </w:tc>
      </w:tr>
      <w:tr>
        <w:tc>
          <w:tcPr>
            <w:tcW w:type="dxa" w:w="3500"/>
            <w:tcBorders>
              <w:top w:val="single" w:color="94A3B8" w:sz="6"/>
              <w:left w:val="single" w:color="94A3B8" w:sz="6"/>
              <w:bottom w:val="single" w:color="94A3B8" w:sz="6"/>
              <w:right w:val="single" w:color="94A3B8" w:sz="6"/>
            </w:tcBorders>
            <w:vAlign w:val="center"/>
          </w:tcPr>
          <w:p>
            <w:pPr>
              <w:spacing w:after="40" w:before="40"/>
              <w:jc w:val="left"/>
            </w:pPr>
            <w:r>
              <w:rPr>
                <w:rFonts w:ascii="Calibri" w:cs="Calibri" w:eastAsia="Calibri" w:hAnsi="Calibri"/>
                <w:b w:val="false"/>
                <w:bCs w:val="false"/>
                <w:color w:val="1E293B"/>
                <w:sz w:val="20"/>
                <w:szCs w:val="20"/>
              </w:rPr>
              <w:t xml:space="preserve">Δ (EWA − FedAvg)</w:t>
            </w:r>
          </w:p>
        </w:tc>
        <w:tc>
          <w:tcPr>
            <w:tcW w:type="dxa" w:w="28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+6.7 pp (17.4% relative)</w:t>
            </w:r>
          </w:p>
        </w:tc>
        <w:tc>
          <w:tcPr>
            <w:tcW w:type="dxa" w:w="28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w:t>
            </w:r>
          </w:p>
        </w:tc>
      </w:tr>
    </w:tbl>
    <w:p>
      <w:pPr>
        <w:spacing w:after="200" w:before="60"/>
        <w:jc w:val="center"/>
      </w:pPr>
      <w:r>
        <w:rPr>
          <w:rFonts w:ascii="Calibri" w:cs="Calibri" w:eastAsia="Calibri" w:hAnsi="Calibri"/>
          <w:i/>
          <w:iCs/>
          <w:color w:val="64748B"/>
          <w:sz w:val="18"/>
          <w:szCs w:val="18"/>
        </w:rPr>
        <w:t xml:space="preserve">Table 3: Medical QA results. EWA provides +6.7pp expert weight improvement on 'no' class.</w:t>
      </w:r>
    </w:p>
    <w:p>
      <w:pPr>
        <w:pStyle w:val="Heading3"/>
        <w:spacing w:after="100" w:before="200" w:line="276"/>
      </w:pPr>
      <w:r>
        <w:rPr>
          <w:rFonts w:ascii="Times New Roman" w:cs="Times New Roman" w:eastAsia="Times New Roman" w:hAnsi="Times New Roman"/>
          <w:b/>
          <w:bCs/>
          <w:color w:val="1E293B"/>
          <w:sz w:val="24"/>
          <w:szCs w:val="24"/>
        </w:rPr>
        <w:t xml:space="preserve">4.4.3 Results</w:t>
      </w:r>
    </w:p>
    <w:p>
      <w:pPr>
        <w:spacing w:after="120" w:line="276"/>
        <w:jc w:val="left"/>
      </w:pPr>
      <w:r>
        <w:rPr>
          <w:rFonts w:ascii="Calibri" w:cs="Calibri" w:eastAsia="Calibri" w:hAnsi="Calibri"/>
          <w:color w:val="1E293B"/>
          <w:sz w:val="22"/>
          <w:szCs w:val="22"/>
        </w:rPr>
        <w:t xml:space="preserve">EWA assigns the expert 45.3% weight share on 'no', compared to 38.6% under equal weighting (+6.7pp, 17.4% relative). While the absolute improvement is smaller than in the CV task, the direction is consistent. The smaller gap reflects the inherent difficulty of the medical QA task (57.7% accuracy) — when the model is generally uncertain (high entropy across all clients), EWA has less signal to differentiate expert from non-expert contributions.</w:t>
      </w:r>
    </w:p>
    <w:p>
      <w:pPr>
        <w:pStyle w:val="Heading1"/>
        <w:spacing w:after="200" w:before="400" w:line="276"/>
      </w:pPr>
      <w:r>
        <w:rPr>
          <w:rFonts w:ascii="Times New Roman" w:cs="Times New Roman" w:eastAsia="Times New Roman" w:hAnsi="Times New Roman"/>
          <w:b/>
          <w:bCs/>
          <w:color w:val="020617"/>
          <w:sz w:val="36"/>
          <w:szCs w:val="36"/>
        </w:rPr>
        <w:t xml:space="preserve">5. Discussion</w:t>
      </w:r>
    </w:p>
    <w:p>
      <w:pPr>
        <w:pStyle w:val="Heading2"/>
        <w:spacing w:after="150" w:before="300" w:line="276"/>
      </w:pPr>
      <w:r>
        <w:rPr>
          <w:rFonts w:ascii="Times New Roman" w:cs="Times New Roman" w:eastAsia="Times New Roman" w:hAnsi="Times New Roman"/>
          <w:b/>
          <w:bCs/>
          <w:color w:val="020617"/>
          <w:sz w:val="28"/>
          <w:szCs w:val="28"/>
        </w:rPr>
        <w:t xml:space="preserve">5.1 Cross-Modal Comparison</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800"/>
        <w:gridCol w:w="1200"/>
        <w:gridCol w:w="1600"/>
        <w:gridCol w:w="1600"/>
        <w:gridCol w:w="1200"/>
        <w:gridCol w:w="1200"/>
      </w:tblGrid>
      <w:tr>
        <w:trPr>
          <w:tblHeader/>
        </w:trPr>
        <w:tc>
          <w:tcPr>
            <w:tcW w:type="dxa" w:w="2800"/>
            <w:tcBorders>
              <w:top w:val="single" w:color="94A3B8" w:sz="6"/>
              <w:left w:val="single" w:color="94A3B8" w:sz="6"/>
              <w:bottom w:val="single" w:color="94A3B8" w:sz="6"/>
              <w:right w:val="single" w:color="94A3B8" w:sz="6"/>
            </w:tcBorders>
            <w:shd w:fill="F8FAFC" w:val="clear"/>
            <w:vAlign w:val="center"/>
          </w:tcPr>
          <w:p>
            <w:pPr>
              <w:spacing w:after="40" w:before="40"/>
              <w:jc w:val="center"/>
            </w:pPr>
            <w:r>
              <w:rPr>
                <w:rFonts w:ascii="Calibri" w:cs="Calibri" w:eastAsia="Calibri" w:hAnsi="Calibri"/>
                <w:b/>
                <w:bCs/>
                <w:color w:val="1E293B"/>
                <w:sz w:val="20"/>
                <w:szCs w:val="20"/>
              </w:rPr>
              <w:t xml:space="preserve">Task</w:t>
            </w:r>
          </w:p>
        </w:tc>
        <w:tc>
          <w:tcPr>
            <w:tcW w:type="dxa" w:w="1200"/>
            <w:tcBorders>
              <w:top w:val="single" w:color="94A3B8" w:sz="6"/>
              <w:left w:val="single" w:color="94A3B8" w:sz="6"/>
              <w:bottom w:val="single" w:color="94A3B8" w:sz="6"/>
              <w:right w:val="single" w:color="94A3B8" w:sz="6"/>
            </w:tcBorders>
            <w:shd w:fill="F8FAFC" w:val="clear"/>
            <w:vAlign w:val="center"/>
          </w:tcPr>
          <w:p>
            <w:pPr>
              <w:spacing w:after="40" w:before="40"/>
              <w:jc w:val="center"/>
            </w:pPr>
            <w:r>
              <w:rPr>
                <w:rFonts w:ascii="Calibri" w:cs="Calibri" w:eastAsia="Calibri" w:hAnsi="Calibri"/>
                <w:b/>
                <w:bCs/>
                <w:color w:val="1E293B"/>
                <w:sz w:val="20"/>
                <w:szCs w:val="20"/>
              </w:rPr>
              <w:t xml:space="preserve">Modality</w:t>
            </w:r>
          </w:p>
        </w:tc>
        <w:tc>
          <w:tcPr>
            <w:tcW w:type="dxa" w:w="1600"/>
            <w:tcBorders>
              <w:top w:val="single" w:color="94A3B8" w:sz="6"/>
              <w:left w:val="single" w:color="94A3B8" w:sz="6"/>
              <w:bottom w:val="single" w:color="94A3B8" w:sz="6"/>
              <w:right w:val="single" w:color="94A3B8" w:sz="6"/>
            </w:tcBorders>
            <w:shd w:fill="F8FAFC" w:val="clear"/>
            <w:vAlign w:val="center"/>
          </w:tcPr>
          <w:p>
            <w:pPr>
              <w:spacing w:after="40" w:before="40"/>
              <w:jc w:val="center"/>
            </w:pPr>
            <w:r>
              <w:rPr>
                <w:rFonts w:ascii="Calibri" w:cs="Calibri" w:eastAsia="Calibri" w:hAnsi="Calibri"/>
                <w:b/>
                <w:bCs/>
                <w:color w:val="1E293B"/>
                <w:sz w:val="20"/>
                <w:szCs w:val="20"/>
              </w:rPr>
              <w:t xml:space="preserve">EWA Expert Wt</w:t>
            </w:r>
          </w:p>
        </w:tc>
        <w:tc>
          <w:tcPr>
            <w:tcW w:type="dxa" w:w="1600"/>
            <w:tcBorders>
              <w:top w:val="single" w:color="94A3B8" w:sz="6"/>
              <w:left w:val="single" w:color="94A3B8" w:sz="6"/>
              <w:bottom w:val="single" w:color="94A3B8" w:sz="6"/>
              <w:right w:val="single" w:color="94A3B8" w:sz="6"/>
            </w:tcBorders>
            <w:shd w:fill="F8FAFC" w:val="clear"/>
            <w:vAlign w:val="center"/>
          </w:tcPr>
          <w:p>
            <w:pPr>
              <w:spacing w:after="40" w:before="40"/>
              <w:jc w:val="center"/>
            </w:pPr>
            <w:r>
              <w:rPr>
                <w:rFonts w:ascii="Calibri" w:cs="Calibri" w:eastAsia="Calibri" w:hAnsi="Calibri"/>
                <w:b/>
                <w:bCs/>
                <w:color w:val="1E293B"/>
                <w:sz w:val="20"/>
                <w:szCs w:val="20"/>
              </w:rPr>
              <w:t xml:space="preserve">Equal-Wt Expert Wt</w:t>
            </w:r>
          </w:p>
        </w:tc>
        <w:tc>
          <w:tcPr>
            <w:tcW w:type="dxa" w:w="1200"/>
            <w:tcBorders>
              <w:top w:val="single" w:color="94A3B8" w:sz="6"/>
              <w:left w:val="single" w:color="94A3B8" w:sz="6"/>
              <w:bottom w:val="single" w:color="94A3B8" w:sz="6"/>
              <w:right w:val="single" w:color="94A3B8" w:sz="6"/>
            </w:tcBorders>
            <w:shd w:fill="F8FAFC" w:val="clear"/>
            <w:vAlign w:val="center"/>
          </w:tcPr>
          <w:p>
            <w:pPr>
              <w:spacing w:after="40" w:before="40"/>
              <w:jc w:val="center"/>
            </w:pPr>
            <w:r>
              <w:rPr>
                <w:rFonts w:ascii="Calibri" w:cs="Calibri" w:eastAsia="Calibri" w:hAnsi="Calibri"/>
                <w:b/>
                <w:bCs/>
                <w:color w:val="1E293B"/>
                <w:sz w:val="20"/>
                <w:szCs w:val="20"/>
              </w:rPr>
              <w:t xml:space="preserve">Δ (pp)</w:t>
            </w:r>
          </w:p>
        </w:tc>
        <w:tc>
          <w:tcPr>
            <w:tcW w:type="dxa" w:w="1200"/>
            <w:tcBorders>
              <w:top w:val="single" w:color="94A3B8" w:sz="6"/>
              <w:left w:val="single" w:color="94A3B8" w:sz="6"/>
              <w:bottom w:val="single" w:color="94A3B8" w:sz="6"/>
              <w:right w:val="single" w:color="94A3B8" w:sz="6"/>
            </w:tcBorders>
            <w:shd w:fill="F8FAFC" w:val="clear"/>
            <w:vAlign w:val="center"/>
          </w:tcPr>
          <w:p>
            <w:pPr>
              <w:spacing w:after="40" w:before="40"/>
              <w:jc w:val="center"/>
            </w:pPr>
            <w:r>
              <w:rPr>
                <w:rFonts w:ascii="Calibri" w:cs="Calibri" w:eastAsia="Calibri" w:hAnsi="Calibri"/>
                <w:b/>
                <w:bCs/>
                <w:color w:val="1E293B"/>
                <w:sz w:val="20"/>
                <w:szCs w:val="20"/>
              </w:rPr>
              <w:t xml:space="preserve">Relative</w:t>
            </w:r>
          </w:p>
        </w:tc>
      </w:tr>
      <w:tr>
        <w:tc>
          <w:tcPr>
            <w:tcW w:type="dxa" w:w="2800"/>
            <w:tcBorders>
              <w:top w:val="single" w:color="94A3B8" w:sz="6"/>
              <w:left w:val="single" w:color="94A3B8" w:sz="6"/>
              <w:bottom w:val="single" w:color="94A3B8" w:sz="6"/>
              <w:right w:val="single" w:color="94A3B8" w:sz="6"/>
            </w:tcBorders>
            <w:vAlign w:val="center"/>
          </w:tcPr>
          <w:p>
            <w:pPr>
              <w:spacing w:after="40" w:before="40"/>
              <w:jc w:val="left"/>
            </w:pPr>
            <w:r>
              <w:rPr>
                <w:rFonts w:ascii="Calibri" w:cs="Calibri" w:eastAsia="Calibri" w:hAnsi="Calibri"/>
                <w:b w:val="false"/>
                <w:bCs w:val="false"/>
                <w:color w:val="1E293B"/>
                <w:sz w:val="20"/>
                <w:szCs w:val="20"/>
              </w:rPr>
              <w:t xml:space="preserve">Organoid (DINOv2)</w:t>
            </w:r>
          </w:p>
        </w:tc>
        <w:tc>
          <w:tcPr>
            <w:tcW w:type="dxa" w:w="12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CV</w:t>
            </w:r>
          </w:p>
        </w:tc>
        <w:tc>
          <w:tcPr>
            <w:tcW w:type="dxa" w:w="16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89.9% ± 11.1</w:t>
            </w:r>
          </w:p>
        </w:tc>
        <w:tc>
          <w:tcPr>
            <w:tcW w:type="dxa" w:w="16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54.6% ± 1.7</w:t>
            </w:r>
          </w:p>
        </w:tc>
        <w:tc>
          <w:tcPr>
            <w:tcW w:type="dxa" w:w="12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+35.3</w:t>
            </w:r>
          </w:p>
        </w:tc>
        <w:tc>
          <w:tcPr>
            <w:tcW w:type="dxa" w:w="12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64.6%</w:t>
            </w:r>
          </w:p>
        </w:tc>
      </w:tr>
      <w:tr>
        <w:tc>
          <w:tcPr>
            <w:tcW w:type="dxa" w:w="2800"/>
            <w:tcBorders>
              <w:top w:val="single" w:color="94A3B8" w:sz="6"/>
              <w:left w:val="single" w:color="94A3B8" w:sz="6"/>
              <w:bottom w:val="single" w:color="94A3B8" w:sz="6"/>
              <w:right w:val="single" w:color="94A3B8" w:sz="6"/>
            </w:tcBorders>
            <w:vAlign w:val="center"/>
          </w:tcPr>
          <w:p>
            <w:pPr>
              <w:spacing w:after="40" w:before="40"/>
              <w:jc w:val="left"/>
            </w:pPr>
            <w:r>
              <w:rPr>
                <w:rFonts w:ascii="Calibri" w:cs="Calibri" w:eastAsia="Calibri" w:hAnsi="Calibri"/>
                <w:b w:val="false"/>
                <w:bCs w:val="false"/>
                <w:color w:val="1E293B"/>
                <w:sz w:val="20"/>
                <w:szCs w:val="20"/>
              </w:rPr>
              <w:t xml:space="preserve">Financial (Twitter)</w:t>
            </w:r>
          </w:p>
        </w:tc>
        <w:tc>
          <w:tcPr>
            <w:tcW w:type="dxa" w:w="12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NLP</w:t>
            </w:r>
          </w:p>
        </w:tc>
        <w:tc>
          <w:tcPr>
            <w:tcW w:type="dxa" w:w="16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74.9% ± 13.1</w:t>
            </w:r>
          </w:p>
        </w:tc>
        <w:tc>
          <w:tcPr>
            <w:tcW w:type="dxa" w:w="16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62.8% ± 10.5</w:t>
            </w:r>
          </w:p>
        </w:tc>
        <w:tc>
          <w:tcPr>
            <w:tcW w:type="dxa" w:w="12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+12.1</w:t>
            </w:r>
          </w:p>
        </w:tc>
        <w:tc>
          <w:tcPr>
            <w:tcW w:type="dxa" w:w="12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19.3%</w:t>
            </w:r>
          </w:p>
        </w:tc>
      </w:tr>
      <w:tr>
        <w:tc>
          <w:tcPr>
            <w:tcW w:type="dxa" w:w="2800"/>
            <w:tcBorders>
              <w:top w:val="single" w:color="94A3B8" w:sz="6"/>
              <w:left w:val="single" w:color="94A3B8" w:sz="6"/>
              <w:bottom w:val="single" w:color="94A3B8" w:sz="6"/>
              <w:right w:val="single" w:color="94A3B8" w:sz="6"/>
            </w:tcBorders>
            <w:vAlign w:val="center"/>
          </w:tcPr>
          <w:p>
            <w:pPr>
              <w:spacing w:after="40" w:before="40"/>
              <w:jc w:val="left"/>
            </w:pPr>
            <w:r>
              <w:rPr>
                <w:rFonts w:ascii="Calibri" w:cs="Calibri" w:eastAsia="Calibri" w:hAnsi="Calibri"/>
                <w:b w:val="false"/>
                <w:bCs w:val="false"/>
                <w:color w:val="1E293B"/>
                <w:sz w:val="20"/>
                <w:szCs w:val="20"/>
              </w:rPr>
              <w:t xml:space="preserve">Medical QA (PubMed)</w:t>
            </w:r>
          </w:p>
        </w:tc>
        <w:tc>
          <w:tcPr>
            <w:tcW w:type="dxa" w:w="12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NLP</w:t>
            </w:r>
          </w:p>
        </w:tc>
        <w:tc>
          <w:tcPr>
            <w:tcW w:type="dxa" w:w="16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45.3% ± 8.5</w:t>
            </w:r>
          </w:p>
        </w:tc>
        <w:tc>
          <w:tcPr>
            <w:tcW w:type="dxa" w:w="16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38.6% ± 2.6</w:t>
            </w:r>
          </w:p>
        </w:tc>
        <w:tc>
          <w:tcPr>
            <w:tcW w:type="dxa" w:w="12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+6.7</w:t>
            </w:r>
          </w:p>
        </w:tc>
        <w:tc>
          <w:tcPr>
            <w:tcW w:type="dxa" w:w="12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17.4%</w:t>
            </w:r>
          </w:p>
        </w:tc>
      </w:tr>
      <w:tr>
        <w:tc>
          <w:tcPr>
            <w:tcW w:type="dxa" w:w="2800"/>
            <w:tcBorders>
              <w:top w:val="single" w:color="94A3B8" w:sz="6"/>
              <w:left w:val="single" w:color="94A3B8" w:sz="6"/>
              <w:bottom w:val="single" w:color="94A3B8" w:sz="6"/>
              <w:right w:val="single" w:color="94A3B8" w:sz="6"/>
            </w:tcBorders>
            <w:shd w:fill="F8FAFC" w:val="clear"/>
            <w:vAlign w:val="center"/>
          </w:tcPr>
          <w:p>
            <w:pPr>
              <w:spacing w:after="40" w:before="40"/>
              <w:jc w:val="left"/>
            </w:pPr>
            <w:r>
              <w:rPr>
                <w:rFonts w:ascii="Calibri" w:cs="Calibri" w:eastAsia="Calibri" w:hAnsi="Calibri"/>
                <w:b/>
                <w:bCs/>
                <w:color w:val="1E293B"/>
                <w:sz w:val="20"/>
                <w:szCs w:val="20"/>
              </w:rPr>
              <w:t xml:space="preserve">Average</w:t>
            </w:r>
          </w:p>
        </w:tc>
        <w:tc>
          <w:tcPr>
            <w:tcW w:type="dxa" w:w="1200"/>
            <w:tcBorders>
              <w:top w:val="single" w:color="94A3B8" w:sz="6"/>
              <w:left w:val="single" w:color="94A3B8" w:sz="6"/>
              <w:bottom w:val="single" w:color="94A3B8" w:sz="6"/>
              <w:right w:val="single" w:color="94A3B8" w:sz="6"/>
            </w:tcBorders>
            <w:shd w:fill="F8FAFC" w:val="clear"/>
            <w:vAlign w:val="center"/>
          </w:tcPr>
          <w:p>
            <w:pPr>
              <w:spacing w:after="40" w:before="40"/>
              <w:jc w:val="center"/>
            </w:pPr>
            <w:r>
              <w:rPr>
                <w:rFonts w:ascii="Calibri" w:cs="Calibri" w:eastAsia="Calibri" w:hAnsi="Calibri"/>
                <w:b/>
                <w:bCs/>
                <w:color w:val="1E293B"/>
                <w:sz w:val="20"/>
                <w:szCs w:val="20"/>
              </w:rPr>
              <w:t xml:space="preserve"/>
            </w:r>
          </w:p>
        </w:tc>
        <w:tc>
          <w:tcPr>
            <w:tcW w:type="dxa" w:w="1600"/>
            <w:tcBorders>
              <w:top w:val="single" w:color="94A3B8" w:sz="6"/>
              <w:left w:val="single" w:color="94A3B8" w:sz="6"/>
              <w:bottom w:val="single" w:color="94A3B8" w:sz="6"/>
              <w:right w:val="single" w:color="94A3B8" w:sz="6"/>
            </w:tcBorders>
            <w:shd w:fill="F8FAFC" w:val="clear"/>
            <w:vAlign w:val="center"/>
          </w:tcPr>
          <w:p>
            <w:pPr>
              <w:spacing w:after="40" w:before="40"/>
              <w:jc w:val="center"/>
            </w:pPr>
            <w:r>
              <w:rPr>
                <w:rFonts w:ascii="Calibri" w:cs="Calibri" w:eastAsia="Calibri" w:hAnsi="Calibri"/>
                <w:b/>
                <w:bCs/>
                <w:color w:val="1E293B"/>
                <w:sz w:val="20"/>
                <w:szCs w:val="20"/>
              </w:rPr>
              <w:t xml:space="preserve">70.0%</w:t>
            </w:r>
          </w:p>
        </w:tc>
        <w:tc>
          <w:tcPr>
            <w:tcW w:type="dxa" w:w="1600"/>
            <w:tcBorders>
              <w:top w:val="single" w:color="94A3B8" w:sz="6"/>
              <w:left w:val="single" w:color="94A3B8" w:sz="6"/>
              <w:bottom w:val="single" w:color="94A3B8" w:sz="6"/>
              <w:right w:val="single" w:color="94A3B8" w:sz="6"/>
            </w:tcBorders>
            <w:shd w:fill="F8FAFC" w:val="clear"/>
            <w:vAlign w:val="center"/>
          </w:tcPr>
          <w:p>
            <w:pPr>
              <w:spacing w:after="40" w:before="40"/>
              <w:jc w:val="center"/>
            </w:pPr>
            <w:r>
              <w:rPr>
                <w:rFonts w:ascii="Calibri" w:cs="Calibri" w:eastAsia="Calibri" w:hAnsi="Calibri"/>
                <w:b/>
                <w:bCs/>
                <w:color w:val="1E293B"/>
                <w:sz w:val="20"/>
                <w:szCs w:val="20"/>
              </w:rPr>
              <w:t xml:space="preserve">52.0%</w:t>
            </w:r>
          </w:p>
        </w:tc>
        <w:tc>
          <w:tcPr>
            <w:tcW w:type="dxa" w:w="1200"/>
            <w:tcBorders>
              <w:top w:val="single" w:color="94A3B8" w:sz="6"/>
              <w:left w:val="single" w:color="94A3B8" w:sz="6"/>
              <w:bottom w:val="single" w:color="94A3B8" w:sz="6"/>
              <w:right w:val="single" w:color="94A3B8" w:sz="6"/>
            </w:tcBorders>
            <w:shd w:fill="F8FAFC" w:val="clear"/>
            <w:vAlign w:val="center"/>
          </w:tcPr>
          <w:p>
            <w:pPr>
              <w:spacing w:after="40" w:before="40"/>
              <w:jc w:val="center"/>
            </w:pPr>
            <w:r>
              <w:rPr>
                <w:rFonts w:ascii="Calibri" w:cs="Calibri" w:eastAsia="Calibri" w:hAnsi="Calibri"/>
                <w:b/>
                <w:bCs/>
                <w:color w:val="1E293B"/>
                <w:sz w:val="20"/>
                <w:szCs w:val="20"/>
              </w:rPr>
              <w:t xml:space="preserve">+18.0</w:t>
            </w:r>
          </w:p>
        </w:tc>
        <w:tc>
          <w:tcPr>
            <w:tcW w:type="dxa" w:w="1200"/>
            <w:tcBorders>
              <w:top w:val="single" w:color="94A3B8" w:sz="6"/>
              <w:left w:val="single" w:color="94A3B8" w:sz="6"/>
              <w:bottom w:val="single" w:color="94A3B8" w:sz="6"/>
              <w:right w:val="single" w:color="94A3B8" w:sz="6"/>
            </w:tcBorders>
            <w:shd w:fill="F8FAFC" w:val="clear"/>
            <w:vAlign w:val="center"/>
          </w:tcPr>
          <w:p>
            <w:pPr>
              <w:spacing w:after="40" w:before="40"/>
              <w:jc w:val="center"/>
            </w:pPr>
            <w:r>
              <w:rPr>
                <w:rFonts w:ascii="Calibri" w:cs="Calibri" w:eastAsia="Calibri" w:hAnsi="Calibri"/>
                <w:b/>
                <w:bCs/>
                <w:color w:val="1E293B"/>
                <w:sz w:val="20"/>
                <w:szCs w:val="20"/>
              </w:rPr>
              <w:t xml:space="preserve">33.8%</w:t>
            </w:r>
          </w:p>
        </w:tc>
      </w:tr>
    </w:tbl>
    <w:p>
      <w:pPr>
        <w:spacing w:after="200" w:before="60"/>
        <w:jc w:val="center"/>
      </w:pPr>
      <w:r>
        <w:rPr>
          <w:rFonts w:ascii="Calibri" w:cs="Calibri" w:eastAsia="Calibri" w:hAnsi="Calibri"/>
          <w:i/>
          <w:iCs/>
          <w:color w:val="64748B"/>
          <w:sz w:val="18"/>
          <w:szCs w:val="18"/>
        </w:rPr>
        <w:t xml:space="preserve">Table 4: Cross-modal summary. EWA consistently outperforms equal weighting across all tasks.</w:t>
      </w:r>
    </w:p>
    <w:p>
      <w:pPr>
        <w:spacing w:after="120" w:line="276"/>
        <w:jc w:val="left"/>
      </w:pPr>
      <w:r>
        <w:rPr>
          <w:rFonts w:ascii="Calibri" w:cs="Calibri" w:eastAsia="Calibri" w:hAnsi="Calibri"/>
          <w:color w:val="1E293B"/>
          <w:sz w:val="22"/>
          <w:szCs w:val="22"/>
        </w:rPr>
        <w:t xml:space="preserve">Table 4 reveals a clear pattern: the EWA advantage is largest for the CV task (+35.3pp) and smallest for the medical NLP task (+6.7pp). We attribute this to two factors. First, the organoid classification task achieves 99.2% accuracy, meaning the expert client has very low entropy on its specialty class, creating a strong signal for EWA to amplify. In contrast, the medical QA task achieves only 57.7% accuracy, so all clients have relatively high entropy, leaving less signal for differentiation. Second, the CV task uses DINOv2 features with PCA reduction, producing well-separated class clusters in feature space, while the NLP tasks use sentence embeddings where class boundaries are inherently less sharp.</w:t>
      </w:r>
    </w:p>
    <w:p>
      <w:pPr>
        <w:spacing w:after="120" w:line="276"/>
        <w:jc w:val="left"/>
      </w:pPr>
      <w:r>
        <w:rPr>
          <w:rFonts w:ascii="Calibri" w:cs="Calibri" w:eastAsia="Calibri" w:hAnsi="Calibri"/>
          <w:color w:val="1E293B"/>
          <w:sz w:val="22"/>
          <w:szCs w:val="22"/>
        </w:rPr>
        <w:t xml:space="preserve">The financial NLP task occupies a middle ground (+12.1pp): the model achieves 75.5% accuracy with moderate class imbalance (15.1% Bearish), providing enough confidence asymmetry for EWA to detect but not as much as the CV task. The standard deviations also tell a story: the organoid experiment shows the highest EWA variance (±11.1%), reflecting the larger gap between early-round (uncertain) and late-round (confident) states, while the medical QA experiment shows the lowest variance (±8.5%), consistent with the model's persistent uncertainty throughout training.</w:t>
      </w:r>
    </w:p>
    <w:p>
      <w:pPr>
        <w:pStyle w:val="Heading2"/>
        <w:spacing w:after="150" w:before="300" w:line="276"/>
      </w:pPr>
      <w:r>
        <w:rPr>
          <w:rFonts w:ascii="Times New Roman" w:cs="Times New Roman" w:eastAsia="Times New Roman" w:hAnsi="Times New Roman"/>
          <w:b/>
          <w:bCs/>
          <w:color w:val="020617"/>
          <w:sz w:val="28"/>
          <w:szCs w:val="28"/>
        </w:rPr>
        <w:t xml:space="preserve">5.2 Key Findings</w:t>
      </w:r>
    </w:p>
    <w:p>
      <w:pPr>
        <w:spacing w:after="120" w:line="276"/>
        <w:jc w:val="left"/>
      </w:pPr>
      <w:r>
        <w:rPr>
          <w:b/>
          <w:bCs/>
        </w:rPr>
        <w:t xml:space="preserve">Finding 1: EWA consistently protects expert knowledge. </w:t>
      </w:r>
      <w:r>
        <w:t xml:space="preserve">Across all three experiments, EWA assigns higher weight to the expert client on its specialty class. The average improvement is +18.0pp (33.8% relative), demonstrating the framework's generalizability.</w:t>
      </w:r>
    </w:p>
    <w:p>
      <w:pPr>
        <w:spacing w:after="120" w:line="276"/>
        <w:jc w:val="left"/>
      </w:pPr>
      <w:r>
        <w:rPr>
          <w:b/>
          <w:bCs/>
        </w:rPr>
        <w:t xml:space="preserve">Finding 2: Effect size correlates with task confidence. </w:t>
      </w:r>
      <w:r>
        <w:t xml:space="preserve">The CV task (99.2% accuracy, low entropy) shows the strongest EWA effect (+35.3pp), while the medical QA task (57.7% accuracy, high entropy) shows the weakest (+6.7pp). This confirms that EWA's entropy-based weighting is most effective when there is genuine confidence asymmetry between expert and non-expert clients.</w:t>
      </w:r>
    </w:p>
    <w:p>
      <w:pPr>
        <w:spacing w:after="120" w:line="276"/>
        <w:jc w:val="left"/>
      </w:pPr>
      <w:r>
        <w:rPr>
          <w:b/>
          <w:bCs/>
        </w:rPr>
        <w:t xml:space="preserve">Finding 3: EWA effect grows over training rounds. </w:t>
      </w:r>
      <w:r>
        <w:t xml:space="preserve">As the model converges and entropy decreases, EWA's ability to distinguish expert from non-expert contributions improves. In the organoid experiment, the EWA-equal-weight gap widens from 4.2pp in round 1 to 37.7pp in round 20. In the financial experiment, the gap grows from 1.1pp to 18.8pp. The medical QA experiment shows minimal growth (0.0pp to 0.1pp), consistent with the model's overall higher uncertainty (57.7% accuracy) leaving less entropy signal for differentiation.</w:t>
      </w:r>
    </w:p>
    <w:p>
      <w:pPr>
        <w:spacing w:after="120" w:line="276"/>
        <w:jc w:val="left"/>
      </w:pPr>
      <w:r>
        <w:rPr>
          <w:b/>
          <w:bCs/>
        </w:rPr>
        <w:t xml:space="preserve">Finding 4: EWA does not blindly trust experts. </w:t>
      </w:r>
      <w:r>
        <w:t xml:space="preserve">When the expert client itself is uncertain (high entropy on its specialty class), EWA appropriately reduces its weight. This is a feature, not a bug — EWA reflects genuine model confidence, not prior assumptions about client expertise.</w:t>
      </w:r>
    </w:p>
    <w:p>
      <w:pPr>
        <w:pStyle w:val="Heading2"/>
        <w:spacing w:after="150" w:before="300" w:line="276"/>
      </w:pPr>
      <w:r>
        <w:rPr>
          <w:rFonts w:ascii="Times New Roman" w:cs="Times New Roman" w:eastAsia="Times New Roman" w:hAnsi="Times New Roman"/>
          <w:b/>
          <w:bCs/>
          <w:color w:val="020617"/>
          <w:sz w:val="28"/>
          <w:szCs w:val="28"/>
        </w:rPr>
        <w:t xml:space="preserve">5.3 Limitations</w:t>
      </w:r>
    </w:p>
    <w:p>
      <w:pPr>
        <w:spacing w:after="120" w:line="276"/>
        <w:jc w:val="left"/>
      </w:pPr>
      <w:r>
        <w:rPr>
          <w:rFonts w:ascii="Calibri" w:cs="Calibri" w:eastAsia="Calibri" w:hAnsi="Calibri"/>
          <w:color w:val="1E293B"/>
          <w:sz w:val="22"/>
          <w:szCs w:val="22"/>
        </w:rPr>
        <w:t xml:space="preserve">Several limitations should be acknowledged:</w:t>
      </w:r>
    </w:p>
    <w:p>
      <w:pPr>
        <w:spacing w:after="120" w:line="276"/>
        <w:jc w:val="left"/>
      </w:pPr>
      <w:r>
        <w:rPr>
          <w:b/>
          <w:bCs/>
        </w:rPr>
        <w:t xml:space="preserve">Scale: </w:t>
      </w:r>
      <w:r>
        <w:t xml:space="preserve">Our experiments use 5 clients and relatively small datasets (600–9,543 samples). Scaling to production FL systems with hundreds of clients and millions of samples requires further validation.</w:t>
      </w:r>
    </w:p>
    <w:p>
      <w:pPr>
        <w:spacing w:after="120" w:line="276"/>
        <w:jc w:val="left"/>
      </w:pPr>
      <w:r>
        <w:rPr>
          <w:b/>
          <w:bCs/>
        </w:rPr>
        <w:t xml:space="preserve">Classifier choice: </w:t>
      </w:r>
      <w:r>
        <w:t xml:space="preserve">We use lightweight MLP classifiers rather than domain-specific models (e.g., ClinicalBERT, FinBERT) due to computational constraints. While the EWA framework is model-agnostic, the absolute entropy values and effect sizes may differ with larger models.</w:t>
      </w:r>
    </w:p>
    <w:p>
      <w:pPr>
        <w:spacing w:after="120" w:line="276"/>
        <w:jc w:val="left"/>
      </w:pPr>
      <w:r>
        <w:rPr>
          <w:b/>
          <w:bCs/>
        </w:rPr>
        <w:t xml:space="preserve">Monitoring only: </w:t>
      </w:r>
      <w:r>
        <w:t xml:space="preserve">EWA-Fed detects conformity but does not correct it. Integrating EWA weights into the actual training aggregation (e.g., entropy-weighted FedAvg) is a promising direction for future work.</w:t>
      </w:r>
    </w:p>
    <w:p>
      <w:pPr>
        <w:pStyle w:val="Heading1"/>
        <w:spacing w:after="200" w:before="400" w:line="276"/>
      </w:pPr>
      <w:r>
        <w:rPr>
          <w:rFonts w:ascii="Times New Roman" w:cs="Times New Roman" w:eastAsia="Times New Roman" w:hAnsi="Times New Roman"/>
          <w:b/>
          <w:bCs/>
          <w:color w:val="020617"/>
          <w:sz w:val="36"/>
          <w:szCs w:val="36"/>
        </w:rPr>
        <w:t xml:space="preserve">6. Conclusion</w:t>
      </w:r>
    </w:p>
    <w:p>
      <w:pPr>
        <w:spacing w:after="120" w:line="276"/>
        <w:jc w:val="left"/>
      </w:pPr>
      <w:r>
        <w:rPr>
          <w:rFonts w:ascii="Calibri" w:cs="Calibri" w:eastAsia="Calibri" w:hAnsi="Calibri"/>
          <w:color w:val="1E293B"/>
          <w:sz w:val="22"/>
          <w:szCs w:val="22"/>
        </w:rPr>
        <w:t xml:space="preserve">We presented EWA-Fed, a cross-modal monitoring framework for detecting conformity effects in Federated Learning. By leveraging model-intrinsic entropy signals, EWA-Fed identifies when minority expert knowledge is being suppressed by majority clients during aggregation, without modifying the training process.</w:t>
      </w:r>
    </w:p>
    <w:p>
      <w:pPr>
        <w:spacing w:after="120" w:line="276"/>
        <w:jc w:val="left"/>
      </w:pPr>
      <w:r>
        <w:rPr>
          <w:rFonts w:ascii="Calibri" w:cs="Calibri" w:eastAsia="Calibri" w:hAnsi="Calibri"/>
          <w:color w:val="1E293B"/>
          <w:sz w:val="22"/>
          <w:szCs w:val="22"/>
        </w:rPr>
        <w:t xml:space="preserve">Across three real-world experiments (medical CV, financial NLP, and medical NLP), EWA consistently assigns higher weight to expert clients on their specialty classes, with an average improvement of +18.0 percentage points over equal weighting. The framework's effectiveness scales with task confidence: CV tasks with high classification accuracy show stronger effects than NLP tasks with inherent ambiguity.</w:t>
      </w:r>
    </w:p>
    <w:p>
      <w:pPr>
        <w:spacing w:after="120" w:line="276"/>
        <w:jc w:val="left"/>
      </w:pPr>
      <w:r>
        <w:rPr>
          <w:rFonts w:ascii="Calibri" w:cs="Calibri" w:eastAsia="Calibri" w:hAnsi="Calibri"/>
          <w:color w:val="1E293B"/>
          <w:sz w:val="22"/>
          <w:szCs w:val="22"/>
        </w:rPr>
        <w:t xml:space="preserve">EWA-Fed's non-invasive design makes it immediately deployable atop existing FL systems, providing practitioners with interpretable conformity diagnostics. Future work will explore integrating EWA weights into the training aggregation itself, scaling to larger FL deployments, and extending the framework to generative models and multi-modal learning scenarios.</w:t>
      </w:r>
    </w:p>
    <w:p>
      <w:pPr>
        <w:pStyle w:val="Heading1"/>
        <w:spacing w:after="200" w:before="400" w:line="276"/>
      </w:pPr>
      <w:r>
        <w:rPr>
          <w:rFonts w:ascii="Times New Roman" w:cs="Times New Roman" w:eastAsia="Times New Roman" w:hAnsi="Times New Roman"/>
          <w:b/>
          <w:bCs/>
          <w:color w:val="020617"/>
          <w:sz w:val="36"/>
          <w:szCs w:val="36"/>
        </w:rPr>
        <w:t xml:space="preserve">References</w:t>
      </w:r>
    </w:p>
    <w:p>
      <w:pPr>
        <w:spacing w:after="120" w:line="276"/>
        <w:jc w:val="left"/>
      </w:pPr>
      <w:r>
        <w:rPr>
          <w:rFonts w:ascii="Calibri" w:cs="Calibri" w:eastAsia="Calibri" w:hAnsi="Calibri"/>
          <w:color w:val="1E293B"/>
          <w:sz w:val="22"/>
          <w:szCs w:val="22"/>
        </w:rPr>
        <w:t xml:space="preserve">[1] McMahan, B., Moore, E., Ramage, D., Hampson, S., &amp; Arcas, B. A. (2017). Communication-Efficient Learning of Deep Networks from Decentralized Data. AISTATS.</w:t>
      </w:r>
    </w:p>
    <w:p>
      <w:pPr>
        <w:spacing w:after="120" w:line="276"/>
        <w:jc w:val="left"/>
      </w:pPr>
      <w:r>
        <w:rPr>
          <w:rFonts w:ascii="Calibri" w:cs="Calibri" w:eastAsia="Calibri" w:hAnsi="Calibri"/>
          <w:color w:val="1E293B"/>
          <w:sz w:val="22"/>
          <w:szCs w:val="22"/>
        </w:rPr>
        <w:t xml:space="preserve">[2] Asch, S. E. (1951). Effects of Group Pressure on the Modification and Distortion of Judgment. In Groups, Leadership and Men.</w:t>
      </w:r>
    </w:p>
    <w:p>
      <w:pPr>
        <w:spacing w:after="120" w:line="276"/>
        <w:jc w:val="left"/>
      </w:pPr>
      <w:r>
        <w:rPr>
          <w:rFonts w:ascii="Calibri" w:cs="Calibri" w:eastAsia="Calibri" w:hAnsi="Calibri"/>
          <w:color w:val="1E293B"/>
          <w:sz w:val="22"/>
          <w:szCs w:val="22"/>
        </w:rPr>
        <w:t xml:space="preserve">[3] Inner Confidence: Measuring LLM Uncertainty via Token Entropy. NBER Working Paper 34965, 2024.</w:t>
      </w:r>
    </w:p>
    <w:p>
      <w:pPr>
        <w:spacing w:after="120" w:line="276"/>
        <w:jc w:val="left"/>
      </w:pPr>
      <w:r>
        <w:rPr>
          <w:rFonts w:ascii="Calibri" w:cs="Calibri" w:eastAsia="Calibri" w:hAnsi="Calibri"/>
          <w:color w:val="1E293B"/>
          <w:sz w:val="22"/>
          <w:szCs w:val="22"/>
        </w:rPr>
        <w:t xml:space="preserve">[4] DeepSeek-AI. Thinking with Visual Primitives. arXiv, 2025.</w:t>
      </w:r>
    </w:p>
    <w:p>
      <w:pPr>
        <w:spacing w:after="120" w:line="276"/>
        <w:jc w:val="left"/>
      </w:pPr>
      <w:r>
        <w:rPr>
          <w:rFonts w:ascii="Calibri" w:cs="Calibri" w:eastAsia="Calibri" w:hAnsi="Calibri"/>
          <w:color w:val="1E293B"/>
          <w:sz w:val="22"/>
          <w:szCs w:val="22"/>
        </w:rPr>
        <w:t xml:space="preserve">[5] Li, T., Sahu, A. K., Zaheer, M., Sanjabi, M., Talwalkar, A., &amp; Smith, V. (2020). Federated Optimization in Heterogeneous Networks. MLSys (FedProx).</w:t>
      </w:r>
    </w:p>
    <w:p>
      <w:pPr>
        <w:spacing w:after="120" w:line="276"/>
        <w:jc w:val="left"/>
      </w:pPr>
      <w:r>
        <w:rPr>
          <w:rFonts w:ascii="Calibri" w:cs="Calibri" w:eastAsia="Calibri" w:hAnsi="Calibri"/>
          <w:color w:val="1E293B"/>
          <w:sz w:val="22"/>
          <w:szCs w:val="22"/>
        </w:rPr>
        <w:t xml:space="preserve">[6] Wang, J., Liu, Q., Liang, H., Joshi, G., &amp; Poor, H. V. (2020). Tackling the Objective Inconsistency Problem in Heterogeneous Federated Optimization. NeurIPS (FedNova).</w:t>
      </w:r>
    </w:p>
    <w:p>
      <w:pPr>
        <w:spacing w:after="120" w:line="276"/>
        <w:jc w:val="left"/>
      </w:pPr>
      <w:r>
        <w:rPr>
          <w:rFonts w:ascii="Calibri" w:cs="Calibri" w:eastAsia="Calibri" w:hAnsi="Calibri"/>
          <w:color w:val="1E293B"/>
          <w:sz w:val="22"/>
          <w:szCs w:val="22"/>
        </w:rPr>
        <w:t xml:space="preserve">[7] Mohri, M., Sivek, G., &amp; Suresh, A. T. (2019). Agnostic Federated Learning. ICML.</w:t>
      </w:r>
    </w:p>
    <w:p>
      <w:pPr>
        <w:spacing w:after="120" w:line="276"/>
        <w:jc w:val="left"/>
      </w:pPr>
      <w:r>
        <w:rPr>
          <w:rFonts w:ascii="Calibri" w:cs="Calibri" w:eastAsia="Calibri" w:hAnsi="Calibri"/>
          <w:color w:val="1E293B"/>
          <w:sz w:val="22"/>
          <w:szCs w:val="22"/>
        </w:rPr>
        <w:t xml:space="preserve">[8] Yang, Q., Liu, Y., Chen, T., &amp; Tong, Y. (2021). Federated Machine Learning: Concept and Applications. ACM TIST (FedDyn).</w:t>
      </w:r>
    </w:p>
    <w:p>
      <w:pPr>
        <w:spacing w:after="120" w:line="276"/>
        <w:jc w:val="left"/>
      </w:pPr>
      <w:r>
        <w:rPr>
          <w:rFonts w:ascii="Calibri" w:cs="Calibri" w:eastAsia="Calibri" w:hAnsi="Calibri"/>
          <w:color w:val="1E293B"/>
          <w:sz w:val="22"/>
          <w:szCs w:val="22"/>
        </w:rPr>
        <w:t xml:space="preserve">[9] Oquab, M., Darcet, T., Moutakanni, T., et al. (2023). DINOv2: Learning Robust Visual Features without Supervision. arXiv:2304.07193.</w:t>
      </w:r>
    </w:p>
    <w:p>
      <w:pPr>
        <w:spacing w:after="120" w:line="276"/>
        <w:jc w:val="left"/>
      </w:pPr>
      <w:r>
        <w:rPr>
          <w:rFonts w:ascii="Calibri" w:cs="Calibri" w:eastAsia="Calibri" w:hAnsi="Calibri"/>
          <w:color w:val="1E293B"/>
          <w:sz w:val="22"/>
          <w:szCs w:val="22"/>
        </w:rPr>
        <w:t xml:space="preserve">[10] Reimers, N. &amp; Gurevych, I. (2019). Sentence-BERT: Sentence Embeddings using Siamese BERT-Networks. EMNLP.</w:t>
      </w:r>
    </w:p>
    <w:p>
      <w:pPr>
        <w:spacing w:after="120" w:line="276"/>
        <w:jc w:val="left"/>
      </w:pPr>
      <w:r>
        <w:rPr>
          <w:rFonts w:ascii="Calibri" w:cs="Calibri" w:eastAsia="Calibri" w:hAnsi="Calibri"/>
          <w:color w:val="1E293B"/>
          <w:sz w:val="22"/>
          <w:szCs w:val="22"/>
        </w:rPr>
        <w:t xml:space="preserve">[11] Jin, Q., Deng, B., Li, J., et al. (2019). PubMedQA: A Dataset for Biomedical Research Question Answering. EMNLP Workshop.</w:t>
      </w:r>
    </w:p>
    <w:p>
      <w:pPr>
        <w:spacing w:after="120" w:line="276"/>
        <w:jc w:val="left"/>
      </w:pPr>
      <w:r>
        <w:rPr>
          <w:rFonts w:ascii="Calibri" w:cs="Calibri" w:eastAsia="Calibri" w:hAnsi="Calibri"/>
          <w:color w:val="1E293B"/>
          <w:sz w:val="22"/>
          <w:szCs w:val="22"/>
        </w:rPr>
        <w:t xml:space="preserve">[12] Xie, H., Li, J., Yang, P., et al. (2024). TweetEval: Unified Benchmark and Comparative Evaluation for Tweet Classification. ACL.</w:t>
      </w:r>
    </w:p>
    <w:p>
      <w:pPr>
        <w:spacing w:after="120" w:line="276"/>
        <w:jc w:val="left"/>
      </w:pPr>
      <w:r>
        <w:rPr>
          <w:rFonts w:ascii="Calibri" w:cs="Calibri" w:eastAsia="Calibri" w:hAnsi="Calibri"/>
          <w:color w:val="1E293B"/>
          <w:sz w:val="22"/>
          <w:szCs w:val="22"/>
        </w:rPr>
        <w:t xml:space="preserve">[13] Gal, Y. &amp; Ghahramani, Z. (2016). Dropout as a Bayesian Approximation: Representing Model Uncertainty in Deep Learning. ICML.</w:t>
      </w:r>
    </w:p>
    <w:p>
      <w:pPr>
        <w:spacing w:after="120" w:line="276"/>
        <w:jc w:val="left"/>
      </w:pPr>
      <w:r>
        <w:rPr>
          <w:rFonts w:ascii="Calibri" w:cs="Calibri" w:eastAsia="Calibri" w:hAnsi="Calibri"/>
          <w:color w:val="1E293B"/>
          <w:sz w:val="22"/>
          <w:szCs w:val="22"/>
        </w:rPr>
        <w:t xml:space="preserve">[14] Hendrycks, D. &amp; Gimpel, K. (2017). A Baseline for Detecting Misclassified and Out-of-Distribution Examples in Neural Networks. ICLR.</w:t>
      </w:r>
    </w:p>
    <w:p>
      <w:pPr>
        <w:spacing w:after="120" w:line="276"/>
        <w:jc w:val="left"/>
      </w:pPr>
      <w:r>
        <w:rPr>
          <w:rFonts w:ascii="Calibri" w:cs="Calibri" w:eastAsia="Calibri" w:hAnsi="Calibri"/>
          <w:color w:val="1E293B"/>
          <w:sz w:val="22"/>
          <w:szCs w:val="22"/>
        </w:rPr>
        <w:t xml:space="preserve">[15] Li, Q., He, B., &amp; Song, D. (2023). A Survey on Uncertainty Estimation in Deep Learning. IEEE TNNLS.</w:t>
      </w:r>
    </w:p>
    <w:p>
      <w:pPr>
        <w:spacing w:after="120" w:line="276"/>
        <w:jc w:val="left"/>
      </w:pPr>
      <w:r>
        <w:rPr>
          <w:rFonts w:ascii="Calibri" w:cs="Calibri" w:eastAsia="Calibri" w:hAnsi="Calibri"/>
          <w:color w:val="1E293B"/>
          <w:sz w:val="22"/>
          <w:szCs w:val="22"/>
        </w:rPr>
        <w:t xml:space="preserve">[16] Kairouz, P., et al. (2021). Advances and Open Problems in Federated Learning. Foundations and Trends in ML.</w:t>
      </w:r>
    </w:p>
    <w:p>
      <w:pPr>
        <w:spacing w:after="120" w:line="276"/>
        <w:jc w:val="left"/>
      </w:pPr>
      <w:r>
        <w:rPr>
          <w:rFonts w:ascii="Calibri" w:cs="Calibri" w:eastAsia="Calibri" w:hAnsi="Calibri"/>
          <w:color w:val="1E293B"/>
          <w:sz w:val="22"/>
          <w:szCs w:val="22"/>
        </w:rPr>
        <w:t xml:space="preserve">[17] Zhao, Y., et al. (2018). Federated Learning with Non-IID Data. arXiv:1806.00582.</w:t>
      </w:r>
    </w:p>
    <w:p>
      <w:pPr>
        <w:spacing w:after="120" w:line="276"/>
        <w:jc w:val="left"/>
      </w:pPr>
      <w:r>
        <w:rPr>
          <w:rFonts w:ascii="Calibri" w:cs="Calibri" w:eastAsia="Calibri" w:hAnsi="Calibri"/>
          <w:color w:val="1E293B"/>
          <w:sz w:val="22"/>
          <w:szCs w:val="22"/>
        </w:rPr>
        <w:t xml:space="preserve">[18] Blanchard, P., El Mhamdi, E. M., Guerraoui, R., &amp; Stainer, J. (2017). Machine Learning with Adversaries: Byzantine Tolerant Gradient Descent. NeurIPS.</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8"/>
        <w:szCs w:val="18"/>
      </w:rPr>
      <w:t xml:space="preserve">Page </w:t>
    </w:r>
    <w:r>
      <w:rPr>
        <w:rFonts w:ascii="Calibri" w:cs="Calibri" w:eastAsia="Calibri" w:hAnsi="Calibri"/>
        <w:color w:val="64748B"/>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of </w:t>
    </w:r>
    <w:r>
      <w:rPr>
        <w:rFonts w:ascii="Calibri" w:cs="Calibri" w:eastAsia="Calibri" w:hAnsi="Calibri"/>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Calibri" w:cs="Calibri" w:eastAsia="Calibri" w:hAnsi="Calibri"/>
          <w:color w:val="64748B"/>
          <w:sz w:val="18"/>
          <w:szCs w:val="18"/>
        </w:rPr>
        <w:t xml:space="preserve">McMahan et al., "Communication-Efficient Learning of Deep Networks from Decentralized Data," AISTATS 2017.</w:t>
      </w:r>
    </w:p>
  </w:footnote>
  <w:footnote w:id="2">
    <w:p>
      <w:r>
        <w:rPr>
          <w:rStyle w:val="FootnoteReference"/>
        </w:rPr>
        <w:footnoteRef/>
      </w:r>
      <w:r>
        <w:rPr>
          <w:rFonts w:ascii="Calibri" w:cs="Calibri" w:eastAsia="Calibri" w:hAnsi="Calibri"/>
          <w:color w:val="64748B"/>
          <w:sz w:val="18"/>
          <w:szCs w:val="18"/>
        </w:rPr>
        <w:t xml:space="preserve">Asch, "Effects of Group Pressure on the Modification and Distortion of Judgment," Groups, Leadership and Men, 1951.</w:t>
      </w:r>
    </w:p>
  </w:footnote>
  <w:footnote w:id="3">
    <w:p>
      <w:r>
        <w:rPr>
          <w:rStyle w:val="FootnoteReference"/>
        </w:rPr>
        <w:footnoteRef/>
      </w:r>
      <w:r>
        <w:rPr>
          <w:rFonts w:ascii="Calibri" w:cs="Calibri" w:eastAsia="Calibri" w:hAnsi="Calibri"/>
          <w:color w:val="64748B"/>
          <w:sz w:val="18"/>
          <w:szCs w:val="18"/>
        </w:rPr>
        <w:t xml:space="preserve">Inner Confidence: Measuring LLM Uncertainty via Token Entropy, NBER Working Paper 34965, 2024.</w:t>
      </w:r>
    </w:p>
  </w:footnote>
  <w:footnote w:id="4">
    <w:p>
      <w:r>
        <w:rPr>
          <w:rStyle w:val="FootnoteReference"/>
        </w:rPr>
        <w:footnoteRef/>
      </w:r>
      <w:r>
        <w:rPr>
          <w:rFonts w:ascii="Calibri" w:cs="Calibri" w:eastAsia="Calibri" w:hAnsi="Calibri"/>
          <w:color w:val="64748B"/>
          <w:sz w:val="18"/>
          <w:szCs w:val="18"/>
        </w:rPr>
        <w:t xml:space="preserve">DeepSeek-AI, "Thinking with Visual Primitives," arXiv 2025.</w:t>
      </w:r>
    </w:p>
  </w:footnote>
  <w:footnote w:id="5">
    <w:p>
      <w:r>
        <w:rPr>
          <w:rStyle w:val="FootnoteReference"/>
        </w:rPr>
        <w:footnoteRef/>
      </w:r>
      <w:r>
        <w:rPr>
          <w:rFonts w:ascii="Calibri" w:cs="Calibri" w:eastAsia="Calibri" w:hAnsi="Calibri"/>
          <w:color w:val="64748B"/>
          <w:sz w:val="18"/>
          <w:szCs w:val="18"/>
        </w:rPr>
        <w:t xml:space="preserve">Li et al., "Federated Optimization in Heterogeneous Networks," MLSys 2020 (FedProx).</w:t>
      </w:r>
    </w:p>
  </w:footnote>
  <w:footnote w:id="6">
    <w:p>
      <w:r>
        <w:rPr>
          <w:rStyle w:val="FootnoteReference"/>
        </w:rPr>
        <w:footnoteRef/>
      </w:r>
      <w:r>
        <w:rPr>
          <w:rFonts w:ascii="Calibri" w:cs="Calibri" w:eastAsia="Calibri" w:hAnsi="Calibri"/>
          <w:color w:val="64748B"/>
          <w:sz w:val="18"/>
          <w:szCs w:val="18"/>
        </w:rPr>
        <w:t xml:space="preserve">Wang et al., "Tackling the Objective Inconsistency Problem in Heterogeneous Federated Optimization," NeurIPS 2020 (FedNova).</w:t>
      </w:r>
    </w:p>
  </w:footnote>
  <w:footnote w:id="7">
    <w:p>
      <w:r>
        <w:rPr>
          <w:rStyle w:val="FootnoteReference"/>
        </w:rPr>
        <w:footnoteRef/>
      </w:r>
      <w:r>
        <w:rPr>
          <w:rFonts w:ascii="Calibri" w:cs="Calibri" w:eastAsia="Calibri" w:hAnsi="Calibri"/>
          <w:color w:val="64748B"/>
          <w:sz w:val="18"/>
          <w:szCs w:val="18"/>
        </w:rPr>
        <w:t xml:space="preserve">Mohri et al., "Agnostic Federated Learning," ICML 2019.</w:t>
      </w:r>
    </w:p>
  </w:footnote>
  <w:footnote w:id="8">
    <w:p>
      <w:r>
        <w:rPr>
          <w:rStyle w:val="FootnoteReference"/>
        </w:rPr>
        <w:footnoteRef/>
      </w:r>
      <w:r>
        <w:rPr>
          <w:rFonts w:ascii="Calibri" w:cs="Calibri" w:eastAsia="Calibri" w:hAnsi="Calibri"/>
          <w:color w:val="64748B"/>
          <w:sz w:val="18"/>
          <w:szCs w:val="18"/>
        </w:rPr>
        <w:t xml:space="preserve">Yang et al., "Federated Learning Based on Dynamic Regularization," ICLR 2021 (FedDyn).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i/>
        <w:iCs/>
        <w:color w:val="94A3B8"/>
        <w:sz w:val="18"/>
        <w:szCs w:val="18"/>
      </w:rPr>
      <w:t xml:space="preserve">EWA-Fed: Entropy-Weighted Aggregation for Trustworthy FL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020617"/>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2026-05-01T07:43:29.386Z</dcterms:created>
  <dcterms:modified xsi:type="dcterms:W3CDTF">2026-05-01T07:43:29.386Z</dcterms:modified>
</cp:coreProperties>
</file>

<file path=docProps/custom.xml><?xml version="1.0" encoding="utf-8"?>
<Properties xmlns="http://schemas.openxmlformats.org/officeDocument/2006/custom-properties" xmlns:vt="http://schemas.openxmlformats.org/officeDocument/2006/docPropsVTypes"/>
</file>