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24E7D01">
      <w:pPr>
        <w:pStyle w:val="style0"/>
        <w:spacing w:before="480" w:after="160" w:lineRule="auto" w:line="360"/>
        <w:jc w:val="center"/>
        <w:rPr/>
      </w:pPr>
      <w:r>
        <w:rPr>
          <w:rFonts w:ascii="SimSun" w:eastAsia="SimSun" w:hAnsi="SimSun"/>
          <w:b/>
          <w:color w:val="1a3a6b"/>
          <w:sz w:val="44"/>
        </w:rPr>
        <w:t>TWC-FL Platform</w:t>
      </w:r>
    </w:p>
    <w:p w14:paraId="D9C6BD3C">
      <w:pPr>
        <w:pStyle w:val="style0"/>
        <w:spacing w:before="0" w:after="120" w:lineRule="auto" w:line="360"/>
        <w:jc w:val="center"/>
        <w:rPr/>
      </w:pPr>
      <w:r>
        <w:rPr>
          <w:rFonts w:ascii="SimSun" w:eastAsia="SimSun" w:hAnsi="SimSun"/>
          <w:b/>
          <w:color w:val="1a3a6b"/>
          <w:sz w:val="32"/>
        </w:rPr>
        <w:t>三元催化配方联邦学习协作平台</w:t>
      </w:r>
    </w:p>
    <w:p w14:paraId="07DA1BCC">
      <w:pPr>
        <w:pStyle w:val="style0"/>
        <w:spacing w:before="0" w:after="80" w:lineRule="auto" w:line="360"/>
        <w:jc w:val="center"/>
        <w:rPr/>
      </w:pPr>
      <w:r>
        <w:rPr>
          <w:rFonts w:ascii="SimSun" w:eastAsia="SimSun" w:hAnsi="SimSun"/>
          <w:b w:val="false"/>
          <w:color w:val="646464"/>
          <w:sz w:val="24"/>
        </w:rPr>
        <w:t>产品需求文档（PRD）  v1.0 Draft</w:t>
      </w:r>
    </w:p>
    <w:p w14:paraId="3A9A6360">
      <w:pPr>
        <w:pStyle w:val="style0"/>
        <w:spacing w:before="0" w:after="60" w:lineRule="auto" w:line="360"/>
        <w:jc w:val="center"/>
        <w:rPr/>
      </w:pPr>
      <w:r>
        <w:rPr>
          <w:rFonts w:ascii="SimSun" w:eastAsia="SimSun" w:hAnsi="SimSun"/>
          <w:b w:val="false"/>
          <w:color w:val="787878"/>
          <w:sz w:val="22"/>
        </w:rPr>
        <w:t>徐德昌课题组 · 西交利物浦大学人工智能学院</w:t>
      </w:r>
    </w:p>
    <w:p w14:paraId="C51C189E">
      <w:pPr>
        <w:pStyle w:val="style0"/>
        <w:spacing w:before="0" w:after="480" w:lineRule="auto" w:line="360"/>
        <w:jc w:val="center"/>
        <w:rPr/>
      </w:pPr>
      <w:r>
        <w:rPr>
          <w:rFonts w:ascii="SimSun" w:eastAsia="SimSun" w:hAnsi="SimSun"/>
          <w:b w:val="false"/>
          <w:color w:val="787878"/>
          <w:sz w:val="22"/>
        </w:rPr>
        <w:t>2026-04-28</w:t>
      </w:r>
    </w:p>
    <w:p w14:paraId="466B5DA7">
      <w:pPr>
        <w:pStyle w:val="style0"/>
        <w:spacing w:before="0" w:after="0" w:lineRule="auto" w:line="360"/>
        <w:jc w:val="center"/>
        <w:rPr/>
      </w:pPr>
      <w:r>
        <w:rPr>
          <w:color w:val="c8c8c8"/>
        </w:rPr>
        <w:t>------------------------------------------------------------</w:t>
      </w:r>
    </w:p>
    <w:p w14:paraId="BF87CFB2">
      <w:pPr>
        <w:pStyle w:val="style0"/>
        <w:spacing w:before="400" w:after="120" w:lineRule="auto" w:line="360"/>
        <w:rPr/>
      </w:pPr>
      <w:r>
        <w:rPr>
          <w:rFonts w:ascii="SimSun" w:eastAsia="SimSun" w:hAnsi="SimSun"/>
          <w:b/>
          <w:color w:val="1a3a6b"/>
          <w:sz w:val="26"/>
        </w:rPr>
        <w:t>1. 产品概述</w:t>
      </w:r>
    </w:p>
    <w:p w14:paraId="A1B052A7">
      <w:pPr>
        <w:pStyle w:val="style0"/>
        <w:spacing w:before="240" w:after="80" w:lineRule="auto" w:line="360"/>
        <w:rPr/>
      </w:pPr>
      <w:r>
        <w:rPr>
          <w:rFonts w:ascii="SimSun" w:eastAsia="SimSun" w:hAnsi="SimSun"/>
          <w:b/>
          <w:color w:val="282828"/>
          <w:sz w:val="22"/>
        </w:rPr>
        <w:t>1.1 一句话说明</w:t>
      </w:r>
    </w:p>
    <w:p w14:paraId="43F60015">
      <w:pPr>
        <w:pStyle w:val="style0"/>
        <w:spacing w:before="0" w:after="0" w:lineRule="auto" w:line="360"/>
        <w:ind w:firstLine="480"/>
        <w:rPr/>
      </w:pPr>
      <w:r>
        <w:rPr>
          <w:rFonts w:ascii="SimSun" w:eastAsia="SimSun" w:hAnsi="SimSun"/>
          <w:b w:val="false"/>
          <w:sz w:val="22"/>
        </w:rPr>
        <w:t>TWC-FL Platform是一个面向三元催化（Three-Way Catalytic converter, TWC）行业的联邦学习协作平台，让多家催化剂企业在配方数据不出厂的前提下联合训练AI预测模型，实现全行业共享模型进步、同时单家企业独守配方机密的双赢格局。</w:t>
      </w:r>
    </w:p>
    <w:p w14:paraId="5B1220E9">
      <w:pPr>
        <w:pStyle w:val="style0"/>
        <w:spacing w:before="0" w:after="0" w:lineRule="auto" w:line="360"/>
        <w:ind w:firstLine="480"/>
        <w:rPr/>
      </w:pPr>
    </w:p>
    <w:p w14:paraId="583249EA">
      <w:pPr>
        <w:pStyle w:val="style0"/>
        <w:spacing w:before="240" w:after="80" w:lineRule="auto" w:line="360"/>
        <w:rPr/>
      </w:pPr>
      <w:r>
        <w:rPr>
          <w:rFonts w:ascii="SimSun" w:eastAsia="SimSun" w:hAnsi="SimSun"/>
          <w:b/>
          <w:color w:val="282828"/>
          <w:sz w:val="22"/>
        </w:rPr>
        <w:t>1.2 核心价值主张</w:t>
      </w:r>
    </w:p>
    <w:p w14:paraId="9F044C4E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催化剂企业：用全行业数据训练模型，但配方永远在自己服务器里</w:t>
      </w:r>
    </w:p>
    <w:p w14:paraId="FBF79D29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高校/科研机构：把实验室成果快速导入产业端，形成真实数据闭环</w:t>
      </w:r>
    </w:p>
    <w:p w14:paraId="4F772383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主机厂/OEM：更早介入上游催化剂R&amp;D，缩短认证周期</w:t>
      </w:r>
    </w:p>
    <w:p w14:paraId="81AA81B8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政府/园区：建立产业技术标准，占据AI for Science制高点</w:t>
      </w:r>
    </w:p>
    <w:p w14:paraId="EF5C5E5C">
      <w:pPr>
        <w:pStyle w:val="style0"/>
        <w:spacing w:before="400" w:after="120" w:lineRule="auto" w:line="360"/>
        <w:rPr/>
      </w:pPr>
      <w:r>
        <w:rPr>
          <w:rFonts w:ascii="SimSun" w:eastAsia="SimSun" w:hAnsi="SimSun"/>
          <w:b/>
          <w:color w:val="1a3a6b"/>
          <w:sz w:val="26"/>
        </w:rPr>
        <w:t>2. 背景与市场机会</w:t>
      </w:r>
    </w:p>
    <w:p w14:paraId="AAEAC601">
      <w:pPr>
        <w:pStyle w:val="style0"/>
        <w:spacing w:before="240" w:after="80" w:lineRule="auto" w:line="360"/>
        <w:rPr/>
      </w:pPr>
      <w:r>
        <w:rPr>
          <w:rFonts w:ascii="SimSun" w:eastAsia="SimSun" w:hAnsi="SimSun"/>
          <w:b/>
          <w:color w:val="282828"/>
          <w:sz w:val="22"/>
        </w:rPr>
        <w:t>2.1 三元催化行业现状</w:t>
      </w:r>
    </w:p>
    <w:p w14:paraId="304B4558">
      <w:pPr>
        <w:pStyle w:val="style0"/>
        <w:spacing w:before="0" w:after="0" w:lineRule="auto" w:line="360"/>
        <w:ind w:firstLine="480"/>
        <w:rPr/>
      </w:pPr>
      <w:r>
        <w:rPr>
          <w:rFonts w:ascii="SimSun" w:eastAsia="SimSun" w:hAnsi="SimSun"/>
          <w:b w:val="false"/>
          <w:sz w:val="22"/>
        </w:rPr>
        <w:t>三元催化器是汽车尾气净化的核心部件。配方设计的目标是：在最低贵金属用量（Pt/Pd/Rh）下，实现CO转化率不低于94%、HC转化率不低于94%、NOx转化率不低于90%（满足Euro 6d / China 6b）。行业三大痛点：Rhodium极度稀缺、配方试错成本极高（一次高温老化实验耗资几万至几十万）、配方是核心竞争力但各家企业数据封闭。</w:t>
      </w:r>
    </w:p>
    <w:p w14:paraId="AFF3C8A3">
      <w:pPr>
        <w:pStyle w:val="style0"/>
        <w:spacing w:before="240" w:after="80" w:lineRule="auto" w:line="360"/>
        <w:rPr/>
      </w:pPr>
      <w:r>
        <w:rPr>
          <w:rFonts w:ascii="SimSun" w:eastAsia="SimSun" w:hAnsi="SimSun"/>
          <w:b/>
          <w:color w:val="282828"/>
          <w:sz w:val="22"/>
        </w:rPr>
        <w:t>2.2 市场机会</w:t>
      </w:r>
    </w:p>
    <w:p w14:paraId="9ADB7301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中国汽车催化剂市场规模：约800亿元/年（中国内燃机工业协会，2024）</w:t>
      </w:r>
    </w:p>
    <w:p w14:paraId="9F7F9266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全球TWC市场（含后处理）：约350亿美元/年（Grand View Research, 2024）</w:t>
      </w:r>
    </w:p>
    <w:p w14:paraId="F1A6A893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降本目标：AI优化后贵金属用量降低20%至40%（理论估算）</w:t>
      </w:r>
    </w:p>
    <w:p w14:paraId="F76FF155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实验压缩：AI加自动化可将实验次数压缩60%以上（Nature Chemical Biology, Noel团队, 2025）</w:t>
      </w:r>
    </w:p>
    <w:p w14:paraId="7E444A64">
      <w:pPr>
        <w:pStyle w:val="style0"/>
        <w:spacing w:before="240" w:after="80" w:lineRule="auto" w:line="360"/>
        <w:rPr/>
      </w:pPr>
      <w:r>
        <w:rPr>
          <w:rFonts w:ascii="SimSun" w:eastAsia="SimSun" w:hAnsi="SimSun"/>
          <w:b/>
          <w:color w:val="282828"/>
          <w:sz w:val="22"/>
        </w:rPr>
        <w:t>2.3 竞争格局</w:t>
      </w:r>
    </w:p>
    <w:p w14:paraId="6B514149">
      <w:pPr>
        <w:pStyle w:val="style0"/>
        <w:spacing w:before="0" w:after="0" w:lineRule="auto" w:line="360"/>
        <w:ind w:firstLine="480"/>
        <w:rPr/>
      </w:pPr>
      <w:r>
        <w:rPr>
          <w:rFonts w:ascii="SimSun" w:eastAsia="SimSun" w:hAnsi="SimSun"/>
          <w:b w:val="false"/>
          <w:sz w:val="22"/>
        </w:rPr>
        <w:t>差异化定位：唯一一家同时具备联邦学习框架、硬件执行平台、私有化AI Agent完整能力建设的产学研团队。</w:t>
      </w:r>
    </w:p>
    <w:p w14:paraId="083D8F3D">
      <w:pPr>
        <w:pStyle w:val="style0"/>
        <w:spacing w:before="400" w:after="120" w:lineRule="auto" w:line="360"/>
        <w:rPr/>
      </w:pPr>
      <w:r>
        <w:rPr>
          <w:rFonts w:ascii="SimSun" w:eastAsia="SimSun" w:hAnsi="SimSun"/>
          <w:b/>
          <w:color w:val="1a3a6b"/>
          <w:sz w:val="26"/>
        </w:rPr>
        <w:t>3. 产品功能规格</w:t>
      </w:r>
    </w:p>
    <w:p w14:paraId="DF9976D0">
      <w:pPr>
        <w:pStyle w:val="style0"/>
        <w:spacing w:before="240" w:after="80" w:lineRule="auto" w:line="360"/>
        <w:rPr/>
      </w:pPr>
      <w:r>
        <w:rPr>
          <w:rFonts w:ascii="SimSun" w:eastAsia="SimSun" w:hAnsi="SimSun"/>
          <w:b/>
          <w:color w:val="282828"/>
          <w:sz w:val="22"/>
        </w:rPr>
        <w:t>Phase 1 功能模块（MVP，1至2个月）</w:t>
      </w:r>
    </w:p>
    <w:p w14:paraId="F85552E4">
      <w:pPr>
        <w:pStyle w:val="style0"/>
        <w:spacing w:before="240" w:after="80" w:lineRule="auto" w:line="360"/>
        <w:rPr/>
      </w:pPr>
      <w:r>
        <w:rPr>
          <w:rFonts w:ascii="SimSun" w:eastAsia="SimSun" w:hAnsi="SimSun"/>
          <w:b/>
          <w:color w:val="282828"/>
          <w:sz w:val="22"/>
        </w:rPr>
        <w:t>模块A：配方数据管理（Local Data Vault）</w:t>
      </w:r>
    </w:p>
    <w:p w14:paraId="5A299197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P0 配方数据导入：支持CSV/Excel/JSON格式，自动识别列类型</w:t>
      </w:r>
    </w:p>
    <w:p w14:paraId="14B94F76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P0 配方数据脱敏：导出前自动脱敏，供FL参与时使用</w:t>
      </w:r>
    </w:p>
    <w:p w14:paraId="193C1A08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P1 数据质量报告：自动检测异常值、缺失字段、数据分布</w:t>
      </w:r>
    </w:p>
    <w:p w14:paraId="B2C21F27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P1 配方相似度检索：基于Rust HNSW向量引擎，毫秒级检索</w:t>
      </w:r>
    </w:p>
    <w:p w14:paraId="99F11F52">
      <w:pPr>
        <w:pStyle w:val="style0"/>
        <w:spacing w:before="240" w:after="80" w:lineRule="auto" w:line="360"/>
        <w:rPr/>
      </w:pPr>
      <w:r>
        <w:rPr>
          <w:rFonts w:ascii="SimSun" w:eastAsia="SimSun" w:hAnsi="SimSun"/>
          <w:b/>
          <w:color w:val="282828"/>
          <w:sz w:val="22"/>
        </w:rPr>
        <w:t>模块B：TWC领域知识库（TWC Knowledge Hub）</w:t>
      </w:r>
    </w:p>
    <w:p w14:paraId="D48EEF38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P0 行业问题查询：预设20个以上常见TWC问题，向量检索匹配答案</w:t>
      </w:r>
    </w:p>
    <w:p w14:paraId="B26F82E2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P1 文献摘要生成：接入arXiv/Patent数据库，自动生成中文摘要</w:t>
      </w:r>
    </w:p>
    <w:p w14:paraId="1106D66D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P1 配方参考推荐：给定目标，推荐最接近的参考配方及文献</w:t>
      </w:r>
    </w:p>
    <w:p w14:paraId="50C518ED">
      <w:pPr>
        <w:pStyle w:val="style0"/>
        <w:spacing w:before="240" w:after="80" w:lineRule="auto" w:line="360"/>
        <w:rPr/>
      </w:pPr>
      <w:r>
        <w:rPr>
          <w:rFonts w:ascii="SimSun" w:eastAsia="SimSun" w:hAnsi="SimSun"/>
          <w:b/>
          <w:color w:val="282828"/>
          <w:sz w:val="22"/>
        </w:rPr>
        <w:t>模块C：Bayesian配方优化（Bayesian Optimizer）</w:t>
      </w:r>
    </w:p>
    <w:p w14:paraId="C3AB31D4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P0 历史数据导入：建立初始Surrogate Model</w:t>
      </w:r>
    </w:p>
    <w:p w14:paraId="F821682E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P0 推荐实验批次：基于贝叶斯优化，推荐下一批3至5个候选配方</w:t>
      </w:r>
    </w:p>
    <w:p w14:paraId="69418660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P1 实验结果回填：自动更新模型</w:t>
      </w:r>
    </w:p>
    <w:p w14:paraId="B84A48D5">
      <w:pPr>
        <w:pStyle w:val="style0"/>
        <w:spacing w:before="240" w:after="80" w:lineRule="auto" w:line="360"/>
        <w:rPr/>
      </w:pPr>
      <w:r>
        <w:rPr>
          <w:rFonts w:ascii="SimSun" w:eastAsia="SimSun" w:hAnsi="SimSun"/>
          <w:b/>
          <w:color w:val="282828"/>
          <w:sz w:val="22"/>
        </w:rPr>
        <w:t>Phase 2 功能模块（FL协作版，3至4个月）</w:t>
      </w:r>
    </w:p>
    <w:p w14:paraId="65DEB82E">
      <w:pPr>
        <w:pStyle w:val="style0"/>
        <w:spacing w:before="240" w:after="80" w:lineRule="auto" w:line="360"/>
        <w:rPr/>
      </w:pPr>
      <w:r>
        <w:rPr>
          <w:rFonts w:ascii="SimSun" w:eastAsia="SimSun" w:hAnsi="SimSun"/>
          <w:b/>
          <w:color w:val="282828"/>
          <w:sz w:val="22"/>
        </w:rPr>
        <w:t>模块E：联邦学习引擎（FL Engine）</w:t>
      </w:r>
    </w:p>
    <w:p w14:paraId="904A089A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P0 FL节点注册：企业作为FL节点接入，数据协议链上存证</w:t>
      </w:r>
    </w:p>
    <w:p w14:paraId="7CA825E4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P0 本地训练：各节点在本地数据上训练，仅上传梯度/参数（加密）</w:t>
      </w:r>
    </w:p>
    <w:p w14:paraId="2F08B0C3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P0 FedAvg聚合：服务器端执行联邦平均，生成全局模型参数</w:t>
      </w:r>
    </w:p>
    <w:p w14:paraId="D8B1D082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P0 模型分发：全局模型参数分发至各节点，本地更新</w:t>
      </w:r>
    </w:p>
    <w:p w14:paraId="894B2850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P1 贡献度评估：追踪各节点对全局模型的贡献度</w:t>
      </w:r>
    </w:p>
    <w:p w14:paraId="3C6944B6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P1 差分隐私：可选，防止梯度反演攻击</w:t>
      </w:r>
    </w:p>
    <w:p w14:paraId="85709DC5">
      <w:pPr>
        <w:pStyle w:val="style0"/>
        <w:spacing w:before="240" w:after="80" w:lineRule="auto" w:line="360"/>
        <w:rPr/>
      </w:pPr>
      <w:r>
        <w:rPr>
          <w:rFonts w:ascii="SimSun" w:eastAsia="SimSun" w:hAnsi="SimSun"/>
          <w:b/>
          <w:color w:val="282828"/>
          <w:sz w:val="22"/>
        </w:rPr>
        <w:t>模块F：催化剂专用AI Agent（基于百度千帆私有化平台）</w:t>
      </w:r>
    </w:p>
    <w:p w14:paraId="97F858C5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P0 自然语言配方查询：如哪种配方在降低Rh的同时能保持NOx大于88%</w:t>
      </w:r>
    </w:p>
    <w:p w14:paraId="1D0C9EDB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P1 实验SOP生成：给定目标配方，自动生成实验操作流程</w:t>
      </w:r>
    </w:p>
    <w:p w14:paraId="75F176EC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P1 认证合规咨询：回答Euro 6d / China 6b相关问题</w:t>
      </w:r>
    </w:p>
    <w:p w14:paraId="3AE96671">
      <w:pPr>
        <w:pStyle w:val="style0"/>
        <w:spacing w:before="400" w:after="120" w:lineRule="auto" w:line="360"/>
        <w:rPr/>
      </w:pPr>
      <w:r>
        <w:rPr>
          <w:rFonts w:ascii="SimSun" w:eastAsia="SimSun" w:hAnsi="SimSun"/>
          <w:b/>
          <w:color w:val="1a3a6b"/>
          <w:sz w:val="26"/>
        </w:rPr>
        <w:t>4. 技术架构</w:t>
      </w:r>
    </w:p>
    <w:p w14:paraId="723EEBCC">
      <w:pPr>
        <w:pStyle w:val="style0"/>
        <w:spacing w:before="0" w:after="0" w:lineRule="auto" w:line="360"/>
        <w:ind w:firstLine="480"/>
        <w:rPr/>
      </w:pPr>
      <w:r>
        <w:rPr>
          <w:rFonts w:ascii="SimSun" w:eastAsia="SimSun" w:hAnsi="SimSun"/>
          <w:b w:val="false"/>
          <w:sz w:val="22"/>
        </w:rPr>
        <w:t>系统采用分层架构：前端层（Web加微信）负责配方管理界面；AI Agent层（百度千帆，私有化部署）负责自然语言理解和SOP生成；业务逻辑层（FastAPI加Python）负责配方管理、Bayesian优化、FL协调；数据层包含Rust HNSW向量数据库（配方检索）、FL Engine（FedAvg加gRPC）、西浦AI融创工坊（硬件执行层）。</w:t>
      </w:r>
    </w:p>
    <w:p w14:paraId="3B988715">
      <w:pPr>
        <w:pStyle w:val="style0"/>
        <w:spacing w:before="0" w:after="0" w:lineRule="auto" w:line="360"/>
        <w:ind w:firstLine="480"/>
        <w:rPr/>
      </w:pPr>
    </w:p>
    <w:p w14:paraId="FF095123">
      <w:pPr>
        <w:pStyle w:val="style0"/>
        <w:spacing w:before="0" w:after="0" w:lineRule="auto" w:line="360"/>
        <w:ind w:firstLine="480"/>
        <w:rPr/>
      </w:pPr>
      <w:r>
        <w:rPr>
          <w:rFonts w:ascii="SimSun" w:eastAsia="SimSun" w:hAnsi="SimSun"/>
          <w:b w:val="false"/>
          <w:sz w:val="22"/>
        </w:rPr>
        <w:t>技术选型：前端使用Streamlit或React；后端使用FastAPI；FL框架自研（FedAvg，完全可控）；向量数据库使用Rust HNSW（已在organoid-fl验证）；AI Agent使用百度千帆App Builder（私有化，数据不出厂）；区块链使用Fabric（轻量级链，用于存证）。</w:t>
      </w:r>
    </w:p>
    <w:p w14:paraId="4705E13E">
      <w:pPr>
        <w:pStyle w:val="style0"/>
        <w:spacing w:before="400" w:after="120" w:lineRule="auto" w:line="360"/>
        <w:rPr/>
      </w:pPr>
      <w:r>
        <w:rPr>
          <w:rFonts w:ascii="SimSun" w:eastAsia="SimSun" w:hAnsi="SimSun"/>
          <w:b/>
          <w:color w:val="1a3a6b"/>
          <w:sz w:val="26"/>
        </w:rPr>
        <w:t>5. 用户旅程与用户故事</w:t>
      </w:r>
    </w:p>
    <w:p w14:paraId="D26FC233">
      <w:pPr>
        <w:pStyle w:val="style0"/>
        <w:spacing w:before="240" w:after="80" w:lineRule="auto" w:line="360"/>
        <w:rPr/>
      </w:pPr>
      <w:r>
        <w:rPr>
          <w:rFonts w:ascii="SimSun" w:eastAsia="SimSun" w:hAnsi="SimSun"/>
          <w:b/>
          <w:color w:val="282828"/>
          <w:sz w:val="22"/>
        </w:rPr>
        <w:t>用户故事一：配方工程师找到最优降本方案</w:t>
      </w:r>
    </w:p>
    <w:p w14:paraId="97246C60">
      <w:pPr>
        <w:pStyle w:val="style0"/>
        <w:spacing w:before="0" w:after="0" w:lineRule="auto" w:line="360"/>
        <w:ind w:firstLine="480"/>
        <w:rPr/>
      </w:pPr>
      <w:r>
        <w:rPr>
          <w:rFonts w:ascii="SimSun" w:eastAsia="SimSun" w:hAnsi="SimSun"/>
          <w:b w:val="false"/>
          <w:sz w:val="22"/>
        </w:rPr>
        <w:t>角色：配方工程师小王，威孚高科。</w:t>
      </w:r>
    </w:p>
    <w:p w14:paraId="2BE3FDA6">
      <w:pPr>
        <w:pStyle w:val="style0"/>
        <w:spacing w:before="0" w:after="0" w:lineRule="auto" w:line="360"/>
        <w:ind w:firstLine="480"/>
        <w:rPr/>
      </w:pPr>
      <w:r>
        <w:rPr>
          <w:rFonts w:ascii="SimSun" w:eastAsia="SimSun" w:hAnsi="SimSun"/>
          <w:b w:val="false"/>
          <w:sz w:val="22"/>
        </w:rPr>
        <w:t>场景：我在TWC-FL平台知识库输入"降低Rh载量20%，同时保持NOx不低于88%"。系统推荐了3个参考配方，分别来自Nature Catalysis论文、企业B脱敏数据和FL全局模型预测。我选择了企业B数据作为起点，用Bayesian优化生成了5个候选配方。经过2轮实验验证，找到了Rh降低22%、NOx保持90.3%的配方。</w:t>
      </w:r>
    </w:p>
    <w:p w14:paraId="2F35C04B">
      <w:pPr>
        <w:pStyle w:val="style0"/>
        <w:spacing w:before="240" w:after="80" w:lineRule="auto" w:line="360"/>
        <w:rPr/>
      </w:pPr>
      <w:r>
        <w:rPr>
          <w:rFonts w:ascii="SimSun" w:eastAsia="SimSun" w:hAnsi="SimSun"/>
          <w:b/>
          <w:color w:val="282828"/>
          <w:sz w:val="22"/>
        </w:rPr>
        <w:t>用户故事二：技术总监批准参与FL</w:t>
      </w:r>
    </w:p>
    <w:p w14:paraId="5A1361CC">
      <w:pPr>
        <w:pStyle w:val="style0"/>
        <w:spacing w:before="0" w:after="0" w:lineRule="auto" w:line="360"/>
        <w:ind w:firstLine="480"/>
        <w:rPr/>
      </w:pPr>
      <w:r>
        <w:rPr>
          <w:rFonts w:ascii="SimSun" w:eastAsia="SimSun" w:hAnsi="SimSun"/>
          <w:b w:val="false"/>
          <w:sz w:val="22"/>
        </w:rPr>
        <w:t>角色：技术总监李总，凯立新材。</w:t>
      </w:r>
    </w:p>
    <w:p w14:paraId="9646A5CC">
      <w:pPr>
        <w:pStyle w:val="style0"/>
        <w:spacing w:before="0" w:after="0" w:lineRule="auto" w:line="360"/>
        <w:ind w:firstLine="480"/>
        <w:rPr/>
      </w:pPr>
      <w:r>
        <w:rPr>
          <w:rFonts w:ascii="SimSun" w:eastAsia="SimSun" w:hAnsi="SimSun"/>
          <w:b w:val="false"/>
          <w:sz w:val="22"/>
        </w:rPr>
        <w:t>场景：我看到了FL数据流向的完整说明：配方数据永远在自家服务器，只有梯度加密上传，每一次上传都有区块链存证。我批准了参与FL。3个月后，T50温度预测误差从正负12摄氏度降到了正负5.8摄氏度，节省了约30%的试错成本。</w:t>
      </w:r>
    </w:p>
    <w:p w14:paraId="AEDE5844">
      <w:pPr>
        <w:pStyle w:val="style0"/>
        <w:spacing w:before="240" w:after="80" w:lineRule="auto" w:line="360"/>
        <w:rPr/>
      </w:pPr>
      <w:r>
        <w:rPr>
          <w:rFonts w:ascii="SimSun" w:eastAsia="SimSun" w:hAnsi="SimSun"/>
          <w:b/>
          <w:color w:val="282828"/>
          <w:sz w:val="22"/>
        </w:rPr>
        <w:t>用户故事三：主机厂快速找到合规供应商</w:t>
      </w:r>
    </w:p>
    <w:p w14:paraId="47369E34">
      <w:pPr>
        <w:pStyle w:val="style0"/>
        <w:spacing w:before="0" w:after="0" w:lineRule="auto" w:line="360"/>
        <w:ind w:firstLine="480"/>
        <w:rPr/>
      </w:pPr>
      <w:r>
        <w:rPr>
          <w:rFonts w:ascii="SimSun" w:eastAsia="SimSun" w:hAnsi="SimSun"/>
          <w:b w:val="false"/>
          <w:sz w:val="22"/>
        </w:rPr>
        <w:t>角色：采购经理张经理，某新能源汽车品牌。</w:t>
      </w:r>
    </w:p>
    <w:p w14:paraId="080B3ED5">
      <w:pPr>
        <w:pStyle w:val="style0"/>
        <w:spacing w:before="0" w:after="0" w:lineRule="auto" w:line="360"/>
        <w:ind w:firstLine="480"/>
        <w:rPr/>
      </w:pPr>
      <w:r>
        <w:rPr>
          <w:rFonts w:ascii="SimSun" w:eastAsia="SimSun" w:hAnsi="SimSun"/>
          <w:b w:val="false"/>
          <w:sz w:val="22"/>
        </w:rPr>
        <w:t>场景：我把排放目标输入OEM Bridge模块，系统自动筛选出3家已通过认证的供应商，并推荐了2家正在FL优化中的供应商。我联系了威孚高科合作，认证周期从18个月缩短到了11个月。</w:t>
      </w:r>
    </w:p>
    <w:p w14:paraId="0D5B5094">
      <w:pPr>
        <w:pStyle w:val="style0"/>
        <w:spacing w:before="400" w:after="120" w:lineRule="auto" w:line="360"/>
        <w:rPr/>
      </w:pPr>
      <w:r>
        <w:rPr>
          <w:rFonts w:ascii="SimSun" w:eastAsia="SimSun" w:hAnsi="SimSun"/>
          <w:b/>
          <w:color w:val="1a3a6b"/>
          <w:sz w:val="26"/>
        </w:rPr>
        <w:t>6. 成功指标（KPI）</w:t>
      </w:r>
    </w:p>
    <w:p w14:paraId="E832E0BA">
      <w:pPr>
        <w:pStyle w:val="style0"/>
        <w:spacing w:before="240" w:after="80" w:lineRule="auto" w:line="360"/>
        <w:rPr/>
      </w:pPr>
      <w:r>
        <w:rPr>
          <w:rFonts w:ascii="SimSun" w:eastAsia="SimSun" w:hAnsi="SimSun"/>
          <w:b/>
          <w:color w:val="282828"/>
          <w:sz w:val="22"/>
        </w:rPr>
        <w:t>产品指标</w:t>
      </w:r>
    </w:p>
    <w:p w14:paraId="37F1DE4E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配方预测MAE：Phase 1正负8摄氏度，目标Phase 3低于正负5摄氏度</w:t>
      </w:r>
    </w:p>
    <w:p w14:paraId="E18EEAE9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FL参与企业数：Phase 2达到2家，Phase 4达到5家以上</w:t>
      </w:r>
    </w:p>
    <w:p w14:paraId="63CCE63F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知识库覆盖率：Phase 1达到20个问题，Phase 3达到100个以上</w:t>
      </w:r>
    </w:p>
    <w:p w14:paraId="5AD30FB6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平台注册用户：Phase 3达到100人以上</w:t>
      </w:r>
    </w:p>
    <w:p w14:paraId="C660384E">
      <w:pPr>
        <w:pStyle w:val="style0"/>
        <w:spacing w:before="240" w:after="80" w:lineRule="auto" w:line="360"/>
        <w:rPr/>
      </w:pPr>
      <w:r>
        <w:rPr>
          <w:rFonts w:ascii="SimSun" w:eastAsia="SimSun" w:hAnsi="SimSun"/>
          <w:b/>
          <w:color w:val="282828"/>
          <w:sz w:val="22"/>
        </w:rPr>
        <w:t>业务指标</w:t>
      </w:r>
    </w:p>
    <w:p w14:paraId="668E06B6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贵金属降本幅度：达到20%以上（较基准线）</w:t>
      </w:r>
    </w:p>
    <w:p w14:paraId="0471E83B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研发周期缩短：实验次数压缩60%以上</w:t>
      </w:r>
    </w:p>
    <w:p w14:paraId="953C111A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论文产出：Phase 4达到3篇以上</w:t>
      </w:r>
    </w:p>
    <w:p w14:paraId="381AAC10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专利申请：Phase 4达到2项以上</w:t>
      </w:r>
    </w:p>
    <w:p w14:paraId="4B0955C7">
      <w:pPr>
        <w:pStyle w:val="style0"/>
        <w:spacing w:before="400" w:after="120" w:lineRule="auto" w:line="360"/>
        <w:rPr/>
      </w:pPr>
      <w:r>
        <w:rPr>
          <w:rFonts w:ascii="SimSun" w:eastAsia="SimSun" w:hAnsi="SimSun"/>
          <w:b/>
          <w:color w:val="1a3a6b"/>
          <w:sz w:val="26"/>
        </w:rPr>
        <w:t>7. 团队与资源</w:t>
      </w:r>
    </w:p>
    <w:p w14:paraId="4E17078D">
      <w:pPr>
        <w:pStyle w:val="style0"/>
        <w:spacing w:before="0" w:after="0" w:lineRule="auto" w:line="360"/>
        <w:ind w:firstLine="480"/>
        <w:rPr/>
      </w:pPr>
      <w:r>
        <w:rPr>
          <w:rFonts w:ascii="SimSun" w:eastAsia="SimSun" w:hAnsi="SimSun"/>
          <w:b w:val="false"/>
          <w:sz w:val="22"/>
        </w:rPr>
        <w:t>核心团队：徐德昌（课题组长，西浦AI学院副院长）负责整体把控和产业对接；高丽娜负责FL框架和Bayesian优化；张凯负责系统架构和AI Agent；朱丽虹负责硬件对接；陈东敏负责企业对接和项目管理。</w:t>
      </w:r>
    </w:p>
    <w:p w14:paraId="51BC94B0">
      <w:pPr>
        <w:pStyle w:val="style0"/>
        <w:spacing w:before="0" w:after="0" w:lineRule="auto" w:line="360"/>
        <w:ind w:firstLine="480"/>
        <w:rPr/>
      </w:pPr>
    </w:p>
    <w:p w14:paraId="7ABE60CE">
      <w:pPr>
        <w:pStyle w:val="style0"/>
        <w:spacing w:before="0" w:after="0" w:lineRule="auto" w:line="360"/>
        <w:ind w:firstLine="480"/>
        <w:rPr/>
      </w:pPr>
      <w:r>
        <w:rPr>
          <w:rFonts w:ascii="SimSun" w:eastAsia="SimSun" w:hAnsi="SimSun"/>
          <w:b w:val="false"/>
          <w:sz w:val="22"/>
        </w:rPr>
        <w:t>已有资源：西浦AI融创工坊（AMR加机械臂加CNC加3D打印加视觉检测加MES，已建成）；百度千帆App Builder（私有化部署）；电子设计实验室；organoid-fl框架（R平方等于99.17%已验证）；hw_opc_platform（GitHub已开源）。</w:t>
      </w:r>
    </w:p>
    <w:p w14:paraId="D8145456">
      <w:pPr>
        <w:pStyle w:val="style0"/>
        <w:spacing w:before="0" w:after="0" w:lineRule="auto" w:line="360"/>
        <w:ind w:firstLine="480"/>
        <w:rPr/>
      </w:pPr>
    </w:p>
    <w:p w14:paraId="C965FF55">
      <w:pPr>
        <w:pStyle w:val="style0"/>
        <w:spacing w:before="0" w:after="0" w:lineRule="auto" w:line="360"/>
        <w:ind w:firstLine="480"/>
        <w:rPr/>
      </w:pPr>
      <w:r>
        <w:rPr>
          <w:rFonts w:ascii="SimSun" w:eastAsia="SimSun" w:hAnsi="SimSun"/>
          <w:b w:val="false"/>
          <w:sz w:val="22"/>
        </w:rPr>
        <w:t>所需资源：Phase 1开发约20万元（课题经费）；种子企业合作约30万元（企业联合研发）；Phase 2至3扩展约50万元（政府产业专项或企业合同）。</w:t>
      </w:r>
    </w:p>
    <w:p w14:paraId="25F10A63">
      <w:pPr>
        <w:pStyle w:val="style0"/>
        <w:spacing w:before="400" w:after="120" w:lineRule="auto" w:line="360"/>
        <w:rPr/>
      </w:pPr>
      <w:r>
        <w:rPr>
          <w:rFonts w:ascii="SimSun" w:eastAsia="SimSun" w:hAnsi="SimSun"/>
          <w:b/>
          <w:color w:val="1a3a6b"/>
          <w:sz w:val="26"/>
        </w:rPr>
        <w:t>8. 发布计划</w:t>
      </w:r>
    </w:p>
    <w:p w14:paraId="DCBAA3DA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PRD定稿：2026年5月10日（产业方评审通过）</w:t>
      </w:r>
    </w:p>
    <w:p w14:paraId="69D11B23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种子企业签约：2026年5月31日（威孚高科或贵研铂业签约）</w:t>
      </w:r>
    </w:p>
    <w:p w14:paraId="982C09BB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Phase 1上线：2026年6月30日（MVP发布，2家种子企业试用）</w:t>
      </w:r>
    </w:p>
    <w:p w14:paraId="53DB361A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Phase 2上线：2026年9月30日（FL v1上线，2家以上真实FL参与）</w:t>
      </w:r>
    </w:p>
    <w:p w14:paraId="1B67419C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Phase 3上线：2026年12月31日（平台化，5家以上企业接入）</w:t>
      </w:r>
    </w:p>
    <w:p w14:paraId="6D6DEA31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社科联课题结题：2027年3月31日（提交结题报告加论文加专利）</w:t>
      </w:r>
    </w:p>
    <w:p w14:paraId="51675916">
      <w:pPr>
        <w:pStyle w:val="style0"/>
        <w:spacing w:before="400" w:after="120" w:lineRule="auto" w:line="360"/>
        <w:rPr/>
      </w:pPr>
      <w:r>
        <w:rPr>
          <w:rFonts w:ascii="SimSun" w:eastAsia="SimSun" w:hAnsi="SimSun"/>
          <w:b/>
          <w:color w:val="1a3a6b"/>
          <w:sz w:val="26"/>
        </w:rPr>
        <w:t>9. 风险与缓解</w:t>
      </w:r>
    </w:p>
    <w:p w14:paraId="210BE578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企业不愿共享数据（高概率/高影响）：强调数据安全；先做脱敏数据FL；邀请头部企业做标杆客户</w:t>
      </w:r>
    </w:p>
    <w:p w14:paraId="5871DEB2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配方数据量不足（中概率/中影响）：用公开数据集补充知识库；用RoboChem-Flex模式补充实验数据</w:t>
      </w:r>
    </w:p>
    <w:p w14:paraId="5FC81742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硬件对接周期长（中概率/中影响）：优先做纯软件MVP；Phase 2再接入西浦硬件平台</w:t>
      </w:r>
    </w:p>
    <w:p w14:paraId="DD79511F">
      <w:pPr>
        <w:pStyle w:val="style0"/>
        <w:spacing w:before="0" w:after="0" w:lineRule="auto" w:line="360"/>
        <w:rPr/>
      </w:pPr>
      <w:r>
        <w:rPr>
          <w:rFonts w:ascii="SimSun" w:eastAsia="SimSun" w:hAnsi="SimSun"/>
          <w:b w:val="false"/>
          <w:sz w:val="22"/>
        </w:rPr>
        <w:t>• 催化剂企业IT能力弱（高概率/低影响）：提供本地一键部署；支持离线使用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72c8997c-79fd-43a3-a3be-de46b2d99795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6d958a1d-2a04-4068-b59c-ffc9618b8655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3f82f04f-6294-4327-9132-05c44d88f54e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78b51af5-0229-4835-8875-080592727e93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7b4e255a-bead-4620-99e0-692e25f14e8f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36d4d2fc-51c8-44c3-b4ca-ff8903713cd7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111d1db8-d693-46b7-8922-cb6bcc4f22a9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837dcaf9-625d-4d0b-a70e-fc48647648ce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9a59a977-3d79-4a49-a850-34b3da61ec42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b2e99a2e-327a-4b58-b564-ef0c2a892761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41214e54-3ed4-4b12-b3af-9a2fdf603e73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4d6ea310-558d-4d57-ac9d-8d2304b6e999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27a834e1-822e-452f-ac48-212e10b67022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dba0ebd6-83f6-4424-9dd6-faadb0908a5c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2531</Words>
  <Pages>1</Pages>
  <Characters>3306</Characters>
  <Application>WPS Office</Application>
  <DocSecurity>0</DocSecurity>
  <Paragraphs>95</Paragraphs>
  <ScaleCrop>false</ScaleCrop>
  <LinksUpToDate>false</LinksUpToDate>
  <CharactersWithSpaces>3451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2410DPN6CC</lastModifiedBy>
  <dcterms:modified xsi:type="dcterms:W3CDTF">2026-04-29T13:28:26Z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9cb84edce5834728a62c60d4d51c2972_23</vt:lpwstr>
  </property>
</Properties>
</file>